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25B8" w14:textId="77777777" w:rsidR="00F17340" w:rsidRPr="00A1043D" w:rsidRDefault="00F17340" w:rsidP="0097443B">
      <w:pPr>
        <w:pBdr>
          <w:top w:val="none" w:sz="0" w:space="4" w:color="auto"/>
        </w:pBdr>
        <w:spacing w:after="0" w:line="240" w:lineRule="auto"/>
        <w:jc w:val="both"/>
        <w:rPr>
          <w:rFonts w:ascii="Georgia" w:hAnsi="Georgia"/>
          <w:color w:val="000000" w:themeColor="text1"/>
          <w:sz w:val="22"/>
          <w:szCs w:val="22"/>
        </w:rPr>
      </w:pPr>
      <w:bookmarkStart w:id="0" w:name="I19812a96a5b343b991c8f1562eaa1a5a_Targe"/>
      <w:bookmarkStart w:id="1" w:name="co_document_1"/>
      <w:bookmarkEnd w:id="0"/>
    </w:p>
    <w:bookmarkEnd w:id="1"/>
    <w:p w14:paraId="0E808C41" w14:textId="06C56C47" w:rsidR="00F17340" w:rsidRPr="00A1043D" w:rsidRDefault="00000000" w:rsidP="0097443B">
      <w:pPr>
        <w:spacing w:after="0" w:line="240" w:lineRule="auto"/>
        <w:ind w:left="120" w:right="120"/>
        <w:jc w:val="center"/>
        <w:rPr>
          <w:rFonts w:ascii="Georgia" w:hAnsi="Georgia"/>
          <w:b/>
          <w:bCs/>
          <w:color w:val="000000" w:themeColor="text1"/>
          <w:sz w:val="32"/>
          <w:szCs w:val="32"/>
          <w:lang w:val="fr-FR"/>
        </w:rPr>
      </w:pPr>
      <w:r w:rsidRPr="00A1043D">
        <w:rPr>
          <w:rFonts w:ascii="Georgia" w:hAnsi="Georgia"/>
          <w:b/>
          <w:bCs/>
          <w:color w:val="000000" w:themeColor="text1"/>
          <w:sz w:val="32"/>
          <w:szCs w:val="32"/>
        </w:rPr>
        <w:fldChar w:fldCharType="begin"/>
      </w:r>
      <w:r w:rsidRPr="00A1043D">
        <w:rPr>
          <w:rFonts w:ascii="Georgia" w:hAnsi="Georgia"/>
          <w:b/>
          <w:bCs/>
          <w:color w:val="000000" w:themeColor="text1"/>
          <w:sz w:val="32"/>
          <w:szCs w:val="32"/>
          <w:lang w:val="fr-FR"/>
        </w:rPr>
        <w:instrText>HYPERLINK "https://www.westlaw.com/Search/Results.html?query=advanced%3a+WCAID(IA7573A8341E911DDAD6B0014224D2780)&amp;saveJuris=False&amp;contentType=BUSINESS-INVESTIGATOR&amp;startIndex=1&amp;contextData=(sc.Default)&amp;categoryPageUrl=Home%2fCompanyInvestigator&amp;originationContext=document&amp;vr=3.0&amp;rs=cblt1.0&amp;transitionType=DocumentItem" \h</w:instrText>
      </w:r>
      <w:r w:rsidRPr="00A1043D">
        <w:rPr>
          <w:rFonts w:ascii="Georgia" w:hAnsi="Georgia"/>
          <w:b/>
          <w:bCs/>
          <w:color w:val="000000" w:themeColor="text1"/>
          <w:sz w:val="32"/>
          <w:szCs w:val="32"/>
        </w:rPr>
      </w:r>
      <w:r w:rsidRPr="00A1043D">
        <w:rPr>
          <w:rFonts w:ascii="Georgia" w:hAnsi="Georgia"/>
          <w:b/>
          <w:bCs/>
          <w:color w:val="000000" w:themeColor="text1"/>
          <w:sz w:val="32"/>
          <w:szCs w:val="32"/>
        </w:rPr>
        <w:fldChar w:fldCharType="separate"/>
      </w:r>
      <w:r w:rsidRPr="00A1043D">
        <w:rPr>
          <w:rFonts w:ascii="Georgia" w:hAnsi="Georgia"/>
          <w:b/>
          <w:bCs/>
          <w:color w:val="000000" w:themeColor="text1"/>
          <w:sz w:val="32"/>
          <w:szCs w:val="32"/>
          <w:lang w:val="fr-FR"/>
        </w:rPr>
        <w:t>COX COMMUNICATIONS, INC.</w:t>
      </w:r>
      <w:r w:rsidRPr="00A1043D">
        <w:rPr>
          <w:rFonts w:ascii="Georgia" w:hAnsi="Georgia"/>
          <w:b/>
          <w:bCs/>
          <w:color w:val="000000" w:themeColor="text1"/>
          <w:sz w:val="32"/>
          <w:szCs w:val="32"/>
        </w:rPr>
        <w:fldChar w:fldCharType="end"/>
      </w:r>
      <w:r w:rsidRPr="00A1043D">
        <w:rPr>
          <w:rFonts w:ascii="Georgia" w:hAnsi="Georgia"/>
          <w:b/>
          <w:bCs/>
          <w:color w:val="000000" w:themeColor="text1"/>
          <w:sz w:val="32"/>
          <w:szCs w:val="32"/>
          <w:lang w:val="fr-FR"/>
        </w:rPr>
        <w:t>, et al.</w:t>
      </w:r>
      <w:r w:rsidR="0097443B" w:rsidRPr="00A1043D">
        <w:rPr>
          <w:rFonts w:ascii="Georgia" w:hAnsi="Georgia"/>
          <w:b/>
          <w:bCs/>
          <w:color w:val="000000" w:themeColor="text1"/>
          <w:sz w:val="32"/>
          <w:szCs w:val="32"/>
          <w:lang w:val="fr-FR"/>
        </w:rPr>
        <w:t xml:space="preserve"> </w:t>
      </w:r>
      <w:r w:rsidRPr="00A1043D">
        <w:rPr>
          <w:rFonts w:ascii="Georgia" w:hAnsi="Georgia"/>
          <w:b/>
          <w:bCs/>
          <w:color w:val="000000" w:themeColor="text1"/>
          <w:sz w:val="32"/>
          <w:szCs w:val="32"/>
          <w:lang w:val="fr-FR"/>
        </w:rPr>
        <w:t>v.</w:t>
      </w:r>
      <w:r w:rsidR="0097443B" w:rsidRPr="00A1043D">
        <w:rPr>
          <w:rFonts w:ascii="Georgia" w:hAnsi="Georgia"/>
          <w:b/>
          <w:bCs/>
          <w:color w:val="000000" w:themeColor="text1"/>
          <w:sz w:val="32"/>
          <w:szCs w:val="32"/>
          <w:lang w:val="fr-FR"/>
        </w:rPr>
        <w:t xml:space="preserve"> </w:t>
      </w:r>
      <w:hyperlink r:id="rId7">
        <w:r w:rsidRPr="00A1043D">
          <w:rPr>
            <w:rFonts w:ascii="Georgia" w:hAnsi="Georgia"/>
            <w:b/>
            <w:bCs/>
            <w:color w:val="000000" w:themeColor="text1"/>
            <w:sz w:val="32"/>
            <w:szCs w:val="32"/>
            <w:lang w:val="fr-FR"/>
          </w:rPr>
          <w:t>SONY MUSIC ENTERTAINMENT</w:t>
        </w:r>
      </w:hyperlink>
      <w:r w:rsidRPr="00A1043D">
        <w:rPr>
          <w:rFonts w:ascii="Georgia" w:hAnsi="Georgia"/>
          <w:b/>
          <w:bCs/>
          <w:color w:val="000000" w:themeColor="text1"/>
          <w:sz w:val="32"/>
          <w:szCs w:val="32"/>
          <w:lang w:val="fr-FR"/>
        </w:rPr>
        <w:t>, et al.</w:t>
      </w:r>
    </w:p>
    <w:p w14:paraId="1B601372" w14:textId="77777777" w:rsidR="00A1043D" w:rsidRPr="00A1043D" w:rsidRDefault="00A1043D" w:rsidP="00A1043D">
      <w:pPr>
        <w:pStyle w:val="4-LineAfterCaseNameTitle"/>
        <w:spacing w:after="240"/>
        <w:rPr>
          <w:b/>
          <w:bCs/>
          <w:color w:val="000000" w:themeColor="text1"/>
        </w:rPr>
      </w:pPr>
      <w:r w:rsidRPr="00A1043D">
        <w:rPr>
          <w:b/>
          <w:bCs/>
          <w:color w:val="000000" w:themeColor="text1"/>
        </w:rPr>
        <w:t>____________________________</w:t>
      </w:r>
    </w:p>
    <w:p w14:paraId="07F291EB" w14:textId="57240F4C" w:rsidR="00F17340" w:rsidRPr="00A1043D" w:rsidRDefault="0097443B" w:rsidP="0097443B">
      <w:pPr>
        <w:spacing w:after="0" w:line="240" w:lineRule="auto"/>
        <w:jc w:val="center"/>
        <w:rPr>
          <w:rFonts w:ascii="Georgia" w:hAnsi="Georgia"/>
          <w:b/>
          <w:bCs/>
          <w:color w:val="000000" w:themeColor="text1"/>
          <w:sz w:val="22"/>
          <w:szCs w:val="22"/>
        </w:rPr>
      </w:pPr>
      <w:r w:rsidRPr="00A1043D">
        <w:rPr>
          <w:rFonts w:ascii="Georgia" w:hAnsi="Georgia"/>
          <w:b/>
          <w:bCs/>
          <w:color w:val="000000" w:themeColor="text1"/>
          <w:sz w:val="22"/>
          <w:szCs w:val="22"/>
        </w:rPr>
        <w:t>Supreme Court of the United States</w:t>
      </w:r>
      <w:r w:rsidRPr="00A1043D">
        <w:rPr>
          <w:rFonts w:ascii="Georgia" w:hAnsi="Georgia"/>
          <w:b/>
          <w:bCs/>
          <w:color w:val="000000" w:themeColor="text1"/>
          <w:sz w:val="22"/>
          <w:szCs w:val="22"/>
        </w:rPr>
        <w:t xml:space="preserve">, </w:t>
      </w:r>
      <w:r w:rsidR="00000000" w:rsidRPr="00A1043D">
        <w:rPr>
          <w:rFonts w:ascii="Georgia" w:hAnsi="Georgia"/>
          <w:b/>
          <w:bCs/>
          <w:color w:val="000000" w:themeColor="text1"/>
          <w:sz w:val="22"/>
          <w:szCs w:val="22"/>
        </w:rPr>
        <w:t>March 25, 2026</w:t>
      </w:r>
    </w:p>
    <w:p w14:paraId="1DC4C63E" w14:textId="6F8EC2EE" w:rsidR="0097443B" w:rsidRPr="00A1043D" w:rsidRDefault="0097443B" w:rsidP="0097443B">
      <w:pPr>
        <w:spacing w:after="0" w:line="240" w:lineRule="auto"/>
        <w:jc w:val="center"/>
        <w:rPr>
          <w:rFonts w:ascii="Georgia" w:hAnsi="Georgia"/>
          <w:b/>
          <w:bCs/>
          <w:color w:val="000000" w:themeColor="text1"/>
          <w:sz w:val="22"/>
          <w:szCs w:val="22"/>
        </w:rPr>
      </w:pPr>
      <w:r w:rsidRPr="00A1043D">
        <w:rPr>
          <w:rFonts w:ascii="Georgia" w:hAnsi="Georgia"/>
          <w:b/>
          <w:bCs/>
          <w:color w:val="000000" w:themeColor="text1"/>
          <w:sz w:val="22"/>
          <w:szCs w:val="22"/>
        </w:rPr>
        <w:t xml:space="preserve">2026 WL 815823, </w:t>
      </w:r>
      <w:r w:rsidRPr="00A1043D">
        <w:rPr>
          <w:rFonts w:ascii="Georgia" w:hAnsi="Georgia"/>
          <w:b/>
          <w:bCs/>
          <w:color w:val="000000" w:themeColor="text1"/>
          <w:sz w:val="22"/>
          <w:szCs w:val="22"/>
        </w:rPr>
        <w:t>--- S.</w:t>
      </w:r>
      <w:r w:rsidRPr="00A1043D">
        <w:rPr>
          <w:rFonts w:ascii="Georgia" w:hAnsi="Georgia"/>
          <w:b/>
          <w:bCs/>
          <w:color w:val="000000" w:themeColor="text1"/>
          <w:sz w:val="22"/>
          <w:szCs w:val="22"/>
        </w:rPr>
        <w:t xml:space="preserve"> </w:t>
      </w:r>
      <w:r w:rsidRPr="00A1043D">
        <w:rPr>
          <w:rFonts w:ascii="Georgia" w:hAnsi="Georgia"/>
          <w:b/>
          <w:bCs/>
          <w:color w:val="000000" w:themeColor="text1"/>
          <w:sz w:val="22"/>
          <w:szCs w:val="22"/>
        </w:rPr>
        <w:t>Ct. ----</w:t>
      </w:r>
    </w:p>
    <w:p w14:paraId="408C1E71" w14:textId="77777777" w:rsidR="00F17340" w:rsidRPr="00A1043D" w:rsidRDefault="00000000" w:rsidP="0097443B">
      <w:pPr>
        <w:spacing w:after="0" w:line="240" w:lineRule="auto"/>
        <w:jc w:val="both"/>
        <w:rPr>
          <w:rFonts w:ascii="Georgia" w:hAnsi="Georgia"/>
          <w:color w:val="000000" w:themeColor="text1"/>
          <w:sz w:val="22"/>
          <w:szCs w:val="22"/>
        </w:rPr>
      </w:pPr>
      <w:r w:rsidRPr="00A1043D">
        <w:rPr>
          <w:rFonts w:ascii="Georgia" w:hAnsi="Georgia"/>
          <w:color w:val="000000" w:themeColor="text1"/>
          <w:sz w:val="22"/>
          <w:szCs w:val="22"/>
        </w:rPr>
        <w:t> </w:t>
      </w:r>
    </w:p>
    <w:p w14:paraId="5A78B675" w14:textId="77777777" w:rsidR="00F17340" w:rsidRPr="00A1043D" w:rsidRDefault="00000000" w:rsidP="0097443B">
      <w:pPr>
        <w:spacing w:after="0" w:line="240" w:lineRule="auto"/>
        <w:jc w:val="both"/>
        <w:rPr>
          <w:rFonts w:ascii="Georgia" w:hAnsi="Georgia"/>
          <w:color w:val="000000" w:themeColor="text1"/>
          <w:sz w:val="22"/>
          <w:szCs w:val="22"/>
        </w:rPr>
      </w:pPr>
      <w:hyperlink r:id="rId8">
        <w:r w:rsidRPr="00A1043D">
          <w:rPr>
            <w:rFonts w:ascii="Georgia" w:hAnsi="Georgia"/>
            <w:color w:val="000000" w:themeColor="text1"/>
            <w:sz w:val="22"/>
            <w:szCs w:val="22"/>
          </w:rPr>
          <w:t>THOMAS</w:t>
        </w:r>
      </w:hyperlink>
      <w:r w:rsidRPr="00A1043D">
        <w:rPr>
          <w:rFonts w:ascii="Georgia" w:hAnsi="Georgia"/>
          <w:color w:val="000000" w:themeColor="text1"/>
          <w:sz w:val="22"/>
          <w:szCs w:val="22"/>
        </w:rPr>
        <w:t xml:space="preserve">, J., delivered the opinion of the Court, in which </w:t>
      </w:r>
      <w:hyperlink r:id="rId9">
        <w:r w:rsidRPr="00A1043D">
          <w:rPr>
            <w:rFonts w:ascii="Georgia" w:hAnsi="Georgia"/>
            <w:color w:val="000000" w:themeColor="text1"/>
            <w:sz w:val="22"/>
            <w:szCs w:val="22"/>
          </w:rPr>
          <w:t>ROBERTS</w:t>
        </w:r>
      </w:hyperlink>
      <w:r w:rsidRPr="00A1043D">
        <w:rPr>
          <w:rFonts w:ascii="Georgia" w:hAnsi="Georgia"/>
          <w:color w:val="000000" w:themeColor="text1"/>
          <w:sz w:val="22"/>
          <w:szCs w:val="22"/>
        </w:rPr>
        <w:t xml:space="preserve">, C. J., and </w:t>
      </w:r>
      <w:hyperlink r:id="rId10">
        <w:r w:rsidRPr="00A1043D">
          <w:rPr>
            <w:rFonts w:ascii="Georgia" w:hAnsi="Georgia"/>
            <w:color w:val="000000" w:themeColor="text1"/>
            <w:sz w:val="22"/>
            <w:szCs w:val="22"/>
          </w:rPr>
          <w:t>ALITO</w:t>
        </w:r>
      </w:hyperlink>
      <w:r w:rsidRPr="00A1043D">
        <w:rPr>
          <w:rFonts w:ascii="Georgia" w:hAnsi="Georgia"/>
          <w:color w:val="000000" w:themeColor="text1"/>
          <w:sz w:val="22"/>
          <w:szCs w:val="22"/>
        </w:rPr>
        <w:t xml:space="preserve">, </w:t>
      </w:r>
      <w:hyperlink r:id="rId11">
        <w:r w:rsidRPr="00A1043D">
          <w:rPr>
            <w:rFonts w:ascii="Georgia" w:hAnsi="Georgia"/>
            <w:color w:val="000000" w:themeColor="text1"/>
            <w:sz w:val="22"/>
            <w:szCs w:val="22"/>
          </w:rPr>
          <w:t>KAGAN</w:t>
        </w:r>
      </w:hyperlink>
      <w:r w:rsidRPr="00A1043D">
        <w:rPr>
          <w:rFonts w:ascii="Georgia" w:hAnsi="Georgia"/>
          <w:color w:val="000000" w:themeColor="text1"/>
          <w:sz w:val="22"/>
          <w:szCs w:val="22"/>
        </w:rPr>
        <w:t xml:space="preserve">, </w:t>
      </w:r>
      <w:hyperlink r:id="rId12">
        <w:r w:rsidRPr="00A1043D">
          <w:rPr>
            <w:rFonts w:ascii="Georgia" w:hAnsi="Georgia"/>
            <w:color w:val="000000" w:themeColor="text1"/>
            <w:sz w:val="22"/>
            <w:szCs w:val="22"/>
          </w:rPr>
          <w:t>GORSUCH</w:t>
        </w:r>
      </w:hyperlink>
      <w:r w:rsidRPr="00A1043D">
        <w:rPr>
          <w:rFonts w:ascii="Georgia" w:hAnsi="Georgia"/>
          <w:color w:val="000000" w:themeColor="text1"/>
          <w:sz w:val="22"/>
          <w:szCs w:val="22"/>
        </w:rPr>
        <w:t xml:space="preserve">, </w:t>
      </w:r>
      <w:hyperlink r:id="rId13">
        <w:r w:rsidRPr="00A1043D">
          <w:rPr>
            <w:rFonts w:ascii="Georgia" w:hAnsi="Georgia"/>
            <w:color w:val="000000" w:themeColor="text1"/>
            <w:sz w:val="22"/>
            <w:szCs w:val="22"/>
          </w:rPr>
          <w:t>KAVANAUGH</w:t>
        </w:r>
      </w:hyperlink>
      <w:r w:rsidRPr="00A1043D">
        <w:rPr>
          <w:rFonts w:ascii="Georgia" w:hAnsi="Georgia"/>
          <w:color w:val="000000" w:themeColor="text1"/>
          <w:sz w:val="22"/>
          <w:szCs w:val="22"/>
        </w:rPr>
        <w:t xml:space="preserve">, and </w:t>
      </w:r>
      <w:hyperlink r:id="rId14">
        <w:r w:rsidRPr="00A1043D">
          <w:rPr>
            <w:rFonts w:ascii="Georgia" w:hAnsi="Georgia"/>
            <w:color w:val="000000" w:themeColor="text1"/>
            <w:sz w:val="22"/>
            <w:szCs w:val="22"/>
          </w:rPr>
          <w:t>BARRETT</w:t>
        </w:r>
      </w:hyperlink>
      <w:r w:rsidRPr="00A1043D">
        <w:rPr>
          <w:rFonts w:ascii="Georgia" w:hAnsi="Georgia"/>
          <w:color w:val="000000" w:themeColor="text1"/>
          <w:sz w:val="22"/>
          <w:szCs w:val="22"/>
        </w:rPr>
        <w:t xml:space="preserve">, JJ., joined. </w:t>
      </w:r>
      <w:hyperlink r:id="rId15">
        <w:r w:rsidRPr="00A1043D">
          <w:rPr>
            <w:rFonts w:ascii="Georgia" w:hAnsi="Georgia"/>
            <w:color w:val="000000" w:themeColor="text1"/>
            <w:sz w:val="22"/>
            <w:szCs w:val="22"/>
          </w:rPr>
          <w:t>SOTOMAYOR</w:t>
        </w:r>
      </w:hyperlink>
      <w:r w:rsidRPr="00A1043D">
        <w:rPr>
          <w:rFonts w:ascii="Georgia" w:hAnsi="Georgia"/>
          <w:color w:val="000000" w:themeColor="text1"/>
          <w:sz w:val="22"/>
          <w:szCs w:val="22"/>
        </w:rPr>
        <w:t xml:space="preserve">, J., filed an opinion concurring in the judgment, in which </w:t>
      </w:r>
      <w:hyperlink r:id="rId16">
        <w:r w:rsidRPr="00A1043D">
          <w:rPr>
            <w:rFonts w:ascii="Georgia" w:hAnsi="Georgia"/>
            <w:color w:val="000000" w:themeColor="text1"/>
            <w:sz w:val="22"/>
            <w:szCs w:val="22"/>
          </w:rPr>
          <w:t>JACKSON</w:t>
        </w:r>
      </w:hyperlink>
      <w:r w:rsidRPr="00A1043D">
        <w:rPr>
          <w:rFonts w:ascii="Georgia" w:hAnsi="Georgia"/>
          <w:color w:val="000000" w:themeColor="text1"/>
          <w:sz w:val="22"/>
          <w:szCs w:val="22"/>
        </w:rPr>
        <w:t>, J., joined.</w:t>
      </w:r>
    </w:p>
    <w:p w14:paraId="63FC8570" w14:textId="77777777" w:rsidR="00F17340" w:rsidRPr="00A1043D" w:rsidRDefault="00000000" w:rsidP="0097443B">
      <w:pPr>
        <w:spacing w:after="0" w:line="240" w:lineRule="auto"/>
        <w:jc w:val="both"/>
        <w:rPr>
          <w:rFonts w:ascii="Georgia" w:hAnsi="Georgia"/>
          <w:color w:val="000000" w:themeColor="text1"/>
          <w:sz w:val="22"/>
          <w:szCs w:val="22"/>
        </w:rPr>
      </w:pPr>
      <w:r w:rsidRPr="00A1043D">
        <w:rPr>
          <w:rFonts w:ascii="Georgia" w:hAnsi="Georgia"/>
          <w:color w:val="000000" w:themeColor="text1"/>
          <w:sz w:val="22"/>
          <w:szCs w:val="22"/>
        </w:rPr>
        <w:t> </w:t>
      </w:r>
    </w:p>
    <w:p w14:paraId="50C78FF9" w14:textId="77777777" w:rsidR="00F17340" w:rsidRPr="00A1043D" w:rsidRDefault="00000000" w:rsidP="0097443B">
      <w:pPr>
        <w:spacing w:after="0" w:line="240" w:lineRule="auto"/>
        <w:jc w:val="both"/>
        <w:rPr>
          <w:rFonts w:ascii="Georgia" w:hAnsi="Georgia"/>
          <w:color w:val="000000" w:themeColor="text1"/>
          <w:sz w:val="22"/>
          <w:szCs w:val="22"/>
        </w:rPr>
      </w:pPr>
      <w:bookmarkStart w:id="2" w:name="co_anchor_Iea91bbb22c9311f19f84ca1ed0fc"/>
      <w:r w:rsidRPr="00A1043D">
        <w:rPr>
          <w:rFonts w:ascii="Georgia" w:hAnsi="Georgia"/>
          <w:color w:val="000000" w:themeColor="text1"/>
          <w:sz w:val="22"/>
          <w:szCs w:val="22"/>
        </w:rPr>
        <w:t xml:space="preserve">Justice </w:t>
      </w:r>
      <w:hyperlink r:id="rId17">
        <w:r w:rsidRPr="00A1043D">
          <w:rPr>
            <w:rFonts w:ascii="Georgia" w:hAnsi="Georgia"/>
            <w:color w:val="000000" w:themeColor="text1"/>
            <w:sz w:val="22"/>
            <w:szCs w:val="22"/>
          </w:rPr>
          <w:t>THOMAS</w:t>
        </w:r>
      </w:hyperlink>
      <w:r w:rsidRPr="00A1043D">
        <w:rPr>
          <w:rFonts w:ascii="Georgia" w:hAnsi="Georgia"/>
          <w:color w:val="000000" w:themeColor="text1"/>
          <w:sz w:val="22"/>
          <w:szCs w:val="22"/>
        </w:rPr>
        <w:t xml:space="preserve"> delivered the opinion of the Court.</w:t>
      </w:r>
    </w:p>
    <w:p w14:paraId="432BF717" w14:textId="77777777" w:rsidR="0097443B" w:rsidRPr="00A1043D" w:rsidRDefault="0097443B" w:rsidP="0097443B">
      <w:pPr>
        <w:spacing w:after="0" w:line="240" w:lineRule="auto"/>
        <w:jc w:val="both"/>
        <w:rPr>
          <w:rFonts w:ascii="Georgia" w:hAnsi="Georgia"/>
          <w:color w:val="000000" w:themeColor="text1"/>
          <w:sz w:val="22"/>
          <w:szCs w:val="22"/>
        </w:rPr>
      </w:pPr>
    </w:p>
    <w:p w14:paraId="12EB1B5A" w14:textId="77777777" w:rsidR="00F17340" w:rsidRPr="00A1043D" w:rsidRDefault="00000000" w:rsidP="0097443B">
      <w:pPr>
        <w:spacing w:after="0" w:line="240" w:lineRule="auto"/>
        <w:ind w:firstLine="720"/>
        <w:jc w:val="both"/>
        <w:rPr>
          <w:rFonts w:ascii="Georgia" w:hAnsi="Georgia"/>
          <w:color w:val="000000" w:themeColor="text1"/>
          <w:sz w:val="22"/>
          <w:szCs w:val="22"/>
        </w:rPr>
      </w:pPr>
      <w:bookmarkStart w:id="3" w:name="co_anchor_Ieab374822c9311f19f84ca1ed0fc"/>
      <w:bookmarkEnd w:id="2"/>
      <w:r w:rsidRPr="00A1043D">
        <w:rPr>
          <w:rFonts w:ascii="Georgia" w:hAnsi="Georgia"/>
          <w:color w:val="000000" w:themeColor="text1"/>
          <w:sz w:val="22"/>
          <w:szCs w:val="22"/>
        </w:rPr>
        <w:t xml:space="preserve">Countless people use the Internet for legal activities, but some use it to illegally share copyrighted works, such as songs and movies. The Copyright Act authorizes copyright owners to sue these copyright infringers. </w:t>
      </w:r>
      <w:hyperlink r:id="rId18" w:anchor="co_pp_8b3b0000958a4">
        <w:r w:rsidRPr="00A1043D">
          <w:rPr>
            <w:rFonts w:ascii="Georgia" w:hAnsi="Georgia"/>
            <w:color w:val="000000" w:themeColor="text1"/>
            <w:sz w:val="22"/>
            <w:szCs w:val="22"/>
          </w:rPr>
          <w:t>17 U.S.C. §§ 501(a)</w:t>
        </w:r>
      </w:hyperlink>
      <w:r w:rsidRPr="00A1043D">
        <w:rPr>
          <w:rFonts w:ascii="Georgia" w:hAnsi="Georgia"/>
          <w:color w:val="000000" w:themeColor="text1"/>
          <w:sz w:val="22"/>
          <w:szCs w:val="22"/>
        </w:rPr>
        <w:t xml:space="preserve">, </w:t>
      </w:r>
      <w:hyperlink r:id="rId19" w:anchor="co_pp_8b3b0000958a4">
        <w:r w:rsidRPr="00A1043D">
          <w:rPr>
            <w:rFonts w:ascii="Georgia" w:hAnsi="Georgia"/>
            <w:color w:val="000000" w:themeColor="text1"/>
            <w:sz w:val="22"/>
            <w:szCs w:val="22"/>
          </w:rPr>
          <w:t>504(a)</w:t>
        </w:r>
      </w:hyperlink>
      <w:r w:rsidRPr="00A1043D">
        <w:rPr>
          <w:rFonts w:ascii="Georgia" w:hAnsi="Georgia"/>
          <w:color w:val="000000" w:themeColor="text1"/>
          <w:sz w:val="22"/>
          <w:szCs w:val="22"/>
        </w:rPr>
        <w:t>. In this case, however, instead of suing those infringers, the copyright owners sued petitioners, Cox Communications, Inc., and its subsidiary, who provided the Internet connections that the infringers used. They contended that Cox was itself liable for copyright infringement because it continued to provide known infringers with Internet access.</w:t>
      </w:r>
    </w:p>
    <w:bookmarkEnd w:id="3"/>
    <w:p w14:paraId="608501A4"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99CE863"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Based on this theory of infringement, respondents, Sony Music Entertainment and other major copyright owners, secured a billion-dollar verdict against Cox. The United States Court of Appeals for the Fourth Circuit agreed that because Cox provided Internet service to known infringers, it was a willful infringer itself.</w:t>
      </w:r>
    </w:p>
    <w:p w14:paraId="438C08D0"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5CF18CB" w14:textId="25757276"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Under our precedents, a company is not liable as a copyright infringer for merely providing a service to the </w:t>
      </w:r>
      <w:proofErr w:type="gramStart"/>
      <w:r w:rsidRPr="00A1043D">
        <w:rPr>
          <w:rFonts w:ascii="Georgia" w:hAnsi="Georgia"/>
          <w:color w:val="000000" w:themeColor="text1"/>
          <w:sz w:val="22"/>
          <w:szCs w:val="22"/>
        </w:rPr>
        <w:t>general public</w:t>
      </w:r>
      <w:proofErr w:type="gramEnd"/>
      <w:r w:rsidRPr="00A1043D">
        <w:rPr>
          <w:rFonts w:ascii="Georgia" w:hAnsi="Georgia"/>
          <w:color w:val="000000" w:themeColor="text1"/>
          <w:sz w:val="22"/>
          <w:szCs w:val="22"/>
        </w:rPr>
        <w:t xml:space="preserve"> with knowledge that it will be used by some to infringe copyrights. Accordingly, we reverse.</w:t>
      </w:r>
    </w:p>
    <w:p w14:paraId="6C5282AE" w14:textId="77777777" w:rsidR="0097443B" w:rsidRPr="00A1043D" w:rsidRDefault="0097443B" w:rsidP="0097443B">
      <w:pPr>
        <w:spacing w:after="0" w:line="240" w:lineRule="auto"/>
        <w:ind w:firstLine="720"/>
        <w:jc w:val="both"/>
        <w:rPr>
          <w:rFonts w:ascii="Georgia" w:hAnsi="Georgia"/>
          <w:color w:val="000000" w:themeColor="text1"/>
          <w:sz w:val="22"/>
          <w:szCs w:val="22"/>
        </w:rPr>
      </w:pPr>
      <w:bookmarkStart w:id="4" w:name="co_anchor_Ieab45ee12c9311f19f84ca1ed0fc"/>
    </w:p>
    <w:p w14:paraId="54F720A7" w14:textId="52D91048" w:rsidR="00F17340" w:rsidRPr="00A1043D" w:rsidRDefault="00000000" w:rsidP="0097443B">
      <w:pPr>
        <w:spacing w:after="0" w:line="240" w:lineRule="auto"/>
        <w:jc w:val="center"/>
        <w:rPr>
          <w:rFonts w:ascii="Georgia" w:hAnsi="Georgia"/>
          <w:color w:val="000000" w:themeColor="text1"/>
          <w:sz w:val="22"/>
          <w:szCs w:val="22"/>
        </w:rPr>
      </w:pPr>
      <w:r w:rsidRPr="00A1043D">
        <w:rPr>
          <w:rFonts w:ascii="Georgia" w:hAnsi="Georgia"/>
          <w:color w:val="000000" w:themeColor="text1"/>
          <w:sz w:val="22"/>
          <w:szCs w:val="22"/>
        </w:rPr>
        <w:t>I</w:t>
      </w:r>
    </w:p>
    <w:bookmarkEnd w:id="4"/>
    <w:p w14:paraId="365EF5CF" w14:textId="77777777" w:rsidR="0097443B" w:rsidRPr="00A1043D" w:rsidRDefault="0097443B" w:rsidP="0097443B">
      <w:pPr>
        <w:spacing w:after="0" w:line="240" w:lineRule="auto"/>
        <w:ind w:firstLine="720"/>
        <w:jc w:val="center"/>
        <w:rPr>
          <w:rFonts w:ascii="Georgia" w:hAnsi="Georgia"/>
          <w:color w:val="000000" w:themeColor="text1"/>
          <w:sz w:val="22"/>
          <w:szCs w:val="22"/>
        </w:rPr>
      </w:pPr>
    </w:p>
    <w:p w14:paraId="27AC78A4" w14:textId="346C35F6" w:rsidR="00F17340" w:rsidRPr="00A1043D" w:rsidRDefault="00000000" w:rsidP="0097443B">
      <w:pPr>
        <w:spacing w:after="0" w:line="240" w:lineRule="auto"/>
        <w:jc w:val="center"/>
        <w:rPr>
          <w:rFonts w:ascii="Georgia" w:hAnsi="Georgia"/>
          <w:color w:val="000000" w:themeColor="text1"/>
          <w:sz w:val="22"/>
          <w:szCs w:val="22"/>
        </w:rPr>
      </w:pPr>
      <w:r w:rsidRPr="00A1043D">
        <w:rPr>
          <w:rFonts w:ascii="Georgia" w:hAnsi="Georgia"/>
          <w:color w:val="000000" w:themeColor="text1"/>
          <w:sz w:val="22"/>
          <w:szCs w:val="22"/>
        </w:rPr>
        <w:t>A</w:t>
      </w:r>
    </w:p>
    <w:p w14:paraId="136252FD" w14:textId="77777777" w:rsidR="0097443B" w:rsidRPr="00A1043D" w:rsidRDefault="0097443B" w:rsidP="0097443B">
      <w:pPr>
        <w:spacing w:after="0" w:line="240" w:lineRule="auto"/>
        <w:ind w:firstLine="720"/>
        <w:jc w:val="both"/>
        <w:rPr>
          <w:rFonts w:ascii="Georgia" w:hAnsi="Georgia"/>
          <w:color w:val="000000" w:themeColor="text1"/>
          <w:sz w:val="22"/>
          <w:szCs w:val="22"/>
        </w:rPr>
      </w:pPr>
    </w:p>
    <w:p w14:paraId="1E9CFA7B" w14:textId="7408DF10"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Under the Copyright Act, copyright owners have the exclusive rights to copy, distribute, and digitally transmit their copyrighted works. § 106. So, for example, if a musician has a copyright for a song recording, others generally cannot copy and share that recording without the musician's permission. The Copyright Act provides that “[a]</w:t>
      </w:r>
      <w:proofErr w:type="spellStart"/>
      <w:r w:rsidRPr="00A1043D">
        <w:rPr>
          <w:rFonts w:ascii="Georgia" w:hAnsi="Georgia"/>
          <w:color w:val="000000" w:themeColor="text1"/>
          <w:sz w:val="22"/>
          <w:szCs w:val="22"/>
        </w:rPr>
        <w:t>nyone</w:t>
      </w:r>
      <w:proofErr w:type="spellEnd"/>
      <w:r w:rsidRPr="00A1043D">
        <w:rPr>
          <w:rFonts w:ascii="Georgia" w:hAnsi="Georgia"/>
          <w:color w:val="000000" w:themeColor="text1"/>
          <w:sz w:val="22"/>
          <w:szCs w:val="22"/>
        </w:rPr>
        <w:t xml:space="preserve"> who violates any of the exclusive rights of </w:t>
      </w:r>
      <w:r w:rsidRPr="00A1043D">
        <w:rPr>
          <w:rFonts w:ascii="Georgia" w:hAnsi="Georgia"/>
          <w:color w:val="000000" w:themeColor="text1"/>
          <w:sz w:val="22"/>
          <w:szCs w:val="22"/>
        </w:rPr>
        <w:lastRenderedPageBreak/>
        <w:t xml:space="preserve">the copyright owner ... is an infringer of the copyright.” </w:t>
      </w:r>
      <w:hyperlink r:id="rId20" w:anchor="co_pp_8b3b0000958a4">
        <w:r w:rsidRPr="00A1043D">
          <w:rPr>
            <w:rFonts w:ascii="Georgia" w:hAnsi="Georgia"/>
            <w:color w:val="000000" w:themeColor="text1"/>
            <w:sz w:val="22"/>
            <w:szCs w:val="22"/>
          </w:rPr>
          <w:t>§ 501(a)</w:t>
        </w:r>
      </w:hyperlink>
      <w:r w:rsidRPr="00A1043D">
        <w:rPr>
          <w:rFonts w:ascii="Georgia" w:hAnsi="Georgia"/>
          <w:color w:val="000000" w:themeColor="text1"/>
          <w:sz w:val="22"/>
          <w:szCs w:val="22"/>
        </w:rPr>
        <w:t xml:space="preserve">. A willful infringer faces statutory damages of up to $150,000 per work. </w:t>
      </w:r>
      <w:hyperlink r:id="rId21" w:anchor="co_pp_fcf30000ea9c4">
        <w:r w:rsidRPr="00A1043D">
          <w:rPr>
            <w:rFonts w:ascii="Georgia" w:hAnsi="Georgia"/>
            <w:color w:val="000000" w:themeColor="text1"/>
            <w:sz w:val="22"/>
            <w:szCs w:val="22"/>
          </w:rPr>
          <w:t>§ 504(c)(2)</w:t>
        </w:r>
      </w:hyperlink>
      <w:r w:rsidRPr="00A1043D">
        <w:rPr>
          <w:rFonts w:ascii="Georgia" w:hAnsi="Georgia"/>
          <w:color w:val="000000" w:themeColor="text1"/>
          <w:sz w:val="22"/>
          <w:szCs w:val="22"/>
        </w:rPr>
        <w:t>.</w:t>
      </w:r>
    </w:p>
    <w:p w14:paraId="0741FE6E"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09CA68DA" w14:textId="6C5CCC5C"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This Court has also recognized two categories of secondary copyright liability, which means liability for the copyright infringement of another. Those two categories are “contributory” liability and “vicarious” liability. </w:t>
      </w:r>
      <w:hyperlink r:id="rId22" w:anchor="co_pp_sp_780_930">
        <w:r w:rsidRPr="00A1043D">
          <w:rPr>
            <w:rFonts w:ascii="Georgia" w:hAnsi="Georgia"/>
            <w:i/>
            <w:color w:val="000000" w:themeColor="text1"/>
            <w:sz w:val="22"/>
            <w:szCs w:val="22"/>
          </w:rPr>
          <w:t xml:space="preserve">Metro-Goldwyn-Mayer Studios Inc. v. </w:t>
        </w:r>
        <w:proofErr w:type="spellStart"/>
        <w:r w:rsidRPr="00A1043D">
          <w:rPr>
            <w:rFonts w:ascii="Georgia" w:hAnsi="Georgia"/>
            <w:i/>
            <w:color w:val="000000" w:themeColor="text1"/>
            <w:sz w:val="22"/>
            <w:szCs w:val="22"/>
          </w:rPr>
          <w:t>Grokster</w:t>
        </w:r>
        <w:proofErr w:type="spellEnd"/>
        <w:r w:rsidRPr="00A1043D">
          <w:rPr>
            <w:rFonts w:ascii="Georgia" w:hAnsi="Georgia"/>
            <w:i/>
            <w:color w:val="000000" w:themeColor="text1"/>
            <w:sz w:val="22"/>
            <w:szCs w:val="22"/>
          </w:rPr>
          <w:t>, Ltd.</w:t>
        </w:r>
        <w:r w:rsidRPr="00A1043D">
          <w:rPr>
            <w:rFonts w:ascii="Georgia" w:hAnsi="Georgia"/>
            <w:color w:val="000000" w:themeColor="text1"/>
            <w:sz w:val="22"/>
            <w:szCs w:val="22"/>
          </w:rPr>
          <w:t>, 545 U.S. 913, 930</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(2005)</w:t>
        </w:r>
      </w:hyperlink>
      <w:r w:rsidRPr="00A1043D">
        <w:rPr>
          <w:rFonts w:ascii="Georgia" w:hAnsi="Georgia"/>
          <w:color w:val="000000" w:themeColor="text1"/>
          <w:sz w:val="22"/>
          <w:szCs w:val="22"/>
        </w:rPr>
        <w:t>. This case concerns contributory liability.</w:t>
      </w:r>
    </w:p>
    <w:p w14:paraId="35253116"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ED8F42D" w14:textId="421EAE68"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The provider of a service is contributorily liable for a user's infringement if it intended its service to be used for infringement. To establish that a provider intended its service to be used for infringement, a copyright owner must show one of two things. First, it can show that a party affirmatively “</w:t>
      </w:r>
      <w:proofErr w:type="spellStart"/>
      <w:r w:rsidRPr="00A1043D">
        <w:rPr>
          <w:rFonts w:ascii="Georgia" w:hAnsi="Georgia"/>
          <w:color w:val="000000" w:themeColor="text1"/>
          <w:sz w:val="22"/>
          <w:szCs w:val="22"/>
        </w:rPr>
        <w:t>induc</w:t>
      </w:r>
      <w:proofErr w:type="spellEnd"/>
      <w:r w:rsidRPr="00A1043D">
        <w:rPr>
          <w:rFonts w:ascii="Georgia" w:hAnsi="Georgia"/>
          <w:color w:val="000000" w:themeColor="text1"/>
          <w:sz w:val="22"/>
          <w:szCs w:val="22"/>
        </w:rPr>
        <w:t xml:space="preserve">[ed]” the infringement. </w:t>
      </w:r>
      <w:hyperlink r:id="rId23">
        <w:r w:rsidRPr="00A1043D">
          <w:rPr>
            <w:rFonts w:ascii="Georgia" w:hAnsi="Georgia"/>
            <w:i/>
            <w:color w:val="000000" w:themeColor="text1"/>
            <w:sz w:val="22"/>
            <w:szCs w:val="22"/>
          </w:rPr>
          <w:t xml:space="preserve">Ibid. </w:t>
        </w:r>
      </w:hyperlink>
      <w:r w:rsidRPr="00A1043D">
        <w:rPr>
          <w:rFonts w:ascii="Georgia" w:hAnsi="Georgia"/>
          <w:color w:val="000000" w:themeColor="text1"/>
          <w:sz w:val="22"/>
          <w:szCs w:val="22"/>
        </w:rPr>
        <w:t xml:space="preserve">Or, second, it can show that the party sold a service tailored to infringement. </w:t>
      </w:r>
      <w:hyperlink r:id="rId24">
        <w:r w:rsidRPr="00A1043D">
          <w:rPr>
            <w:rFonts w:ascii="Georgia" w:hAnsi="Georgia"/>
            <w:i/>
            <w:color w:val="000000" w:themeColor="text1"/>
            <w:sz w:val="22"/>
            <w:szCs w:val="22"/>
          </w:rPr>
          <w:t>Id</w:t>
        </w:r>
        <w:r w:rsidRPr="00A1043D">
          <w:rPr>
            <w:rFonts w:ascii="Georgia" w:hAnsi="Georgia"/>
            <w:color w:val="000000" w:themeColor="text1"/>
            <w:sz w:val="22"/>
            <w:szCs w:val="22"/>
          </w:rPr>
          <w:t>., at 942</w:t>
        </w:r>
      </w:hyperlink>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 xml:space="preserve">(Ginsburg, J., concurring). Patent law, with which copyright law has a “historic kinship,” </w:t>
      </w:r>
      <w:hyperlink r:id="rId25" w:anchor="co_pp_sp_780_439">
        <w:r w:rsidRPr="00A1043D">
          <w:rPr>
            <w:rFonts w:ascii="Georgia" w:hAnsi="Georgia"/>
            <w:i/>
            <w:color w:val="000000" w:themeColor="text1"/>
            <w:sz w:val="22"/>
            <w:szCs w:val="22"/>
          </w:rPr>
          <w:t>Sony Corp. of America v. Universal City Studios, Inc.</w:t>
        </w:r>
        <w:r w:rsidRPr="00A1043D">
          <w:rPr>
            <w:rFonts w:ascii="Georgia" w:hAnsi="Georgia"/>
            <w:color w:val="000000" w:themeColor="text1"/>
            <w:sz w:val="22"/>
            <w:szCs w:val="22"/>
          </w:rPr>
          <w:t>, 464 U.S. 417, 439</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(1984)</w:t>
        </w:r>
      </w:hyperlink>
      <w:r w:rsidRPr="00A1043D">
        <w:rPr>
          <w:rFonts w:ascii="Georgia" w:hAnsi="Georgia"/>
          <w:color w:val="000000" w:themeColor="text1"/>
          <w:sz w:val="22"/>
          <w:szCs w:val="22"/>
        </w:rPr>
        <w:t xml:space="preserve">, tracks these two requirements. See </w:t>
      </w:r>
      <w:hyperlink r:id="rId26" w:anchor="co_pp_a83b000018c76">
        <w:r w:rsidRPr="00A1043D">
          <w:rPr>
            <w:rFonts w:ascii="Georgia" w:hAnsi="Georgia"/>
            <w:color w:val="000000" w:themeColor="text1"/>
            <w:sz w:val="22"/>
            <w:szCs w:val="22"/>
          </w:rPr>
          <w:t>35 U.S.C. §§ 271(b)</w:t>
        </w:r>
      </w:hyperlink>
      <w:r w:rsidRPr="00A1043D">
        <w:rPr>
          <w:rFonts w:ascii="Georgia" w:hAnsi="Georgia"/>
          <w:color w:val="000000" w:themeColor="text1"/>
          <w:sz w:val="22"/>
          <w:szCs w:val="22"/>
        </w:rPr>
        <w:t xml:space="preserve">, </w:t>
      </w:r>
      <w:hyperlink r:id="rId27" w:anchor="co_pp_4b24000003ba5">
        <w:r w:rsidRPr="00A1043D">
          <w:rPr>
            <w:rFonts w:ascii="Georgia" w:hAnsi="Georgia"/>
            <w:color w:val="000000" w:themeColor="text1"/>
            <w:sz w:val="22"/>
            <w:szCs w:val="22"/>
          </w:rPr>
          <w:t>(c)</w:t>
        </w:r>
      </w:hyperlink>
      <w:r w:rsidRPr="00A1043D">
        <w:rPr>
          <w:rFonts w:ascii="Georgia" w:hAnsi="Georgia"/>
          <w:color w:val="000000" w:themeColor="text1"/>
          <w:sz w:val="22"/>
          <w:szCs w:val="22"/>
        </w:rPr>
        <w:t>.</w:t>
      </w:r>
    </w:p>
    <w:p w14:paraId="141C64BA"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2050E925"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In 1998, Congress passed the Digital Millennium Copyright Act, </w:t>
      </w:r>
      <w:hyperlink r:id="rId28">
        <w:r w:rsidRPr="00A1043D">
          <w:rPr>
            <w:rFonts w:ascii="Georgia" w:hAnsi="Georgia"/>
            <w:color w:val="000000" w:themeColor="text1"/>
            <w:sz w:val="22"/>
            <w:szCs w:val="22"/>
          </w:rPr>
          <w:t xml:space="preserve">17 U.S.C. § 1201 </w:t>
        </w:r>
        <w:r w:rsidRPr="00A1043D">
          <w:rPr>
            <w:rFonts w:ascii="Georgia" w:hAnsi="Georgia"/>
            <w:i/>
            <w:color w:val="000000" w:themeColor="text1"/>
            <w:sz w:val="22"/>
            <w:szCs w:val="22"/>
          </w:rPr>
          <w:t>et seq</w:t>
        </w:r>
        <w:r w:rsidRPr="00A1043D">
          <w:rPr>
            <w:rFonts w:ascii="Georgia" w:hAnsi="Georgia"/>
            <w:color w:val="000000" w:themeColor="text1"/>
            <w:sz w:val="22"/>
            <w:szCs w:val="22"/>
          </w:rPr>
          <w:t>.,</w:t>
        </w:r>
      </w:hyperlink>
      <w:r w:rsidRPr="00A1043D">
        <w:rPr>
          <w:rFonts w:ascii="Georgia" w:hAnsi="Georgia"/>
          <w:color w:val="000000" w:themeColor="text1"/>
          <w:sz w:val="22"/>
          <w:szCs w:val="22"/>
        </w:rPr>
        <w:t xml:space="preserve"> which gave service providers a safe-harbor defense to secondary copyright liability. Under the DMCA safe-harbor defense, service providers cannot be secondarily liable for certain forms of copyright infringement if they have implemented “a policy that provides for the termination in appropriate circumstances of subscribers and account holders” who “are repeated infringers.” </w:t>
      </w:r>
      <w:hyperlink r:id="rId29" w:anchor="co_pp_ec3a0000f1a25">
        <w:r w:rsidRPr="00A1043D">
          <w:rPr>
            <w:rFonts w:ascii="Georgia" w:hAnsi="Georgia"/>
            <w:color w:val="000000" w:themeColor="text1"/>
            <w:sz w:val="22"/>
            <w:szCs w:val="22"/>
          </w:rPr>
          <w:t>§ 512(</w:t>
        </w:r>
        <w:proofErr w:type="spellStart"/>
        <w:r w:rsidRPr="00A1043D">
          <w:rPr>
            <w:rFonts w:ascii="Georgia" w:hAnsi="Georgia"/>
            <w:color w:val="000000" w:themeColor="text1"/>
            <w:sz w:val="22"/>
            <w:szCs w:val="22"/>
          </w:rPr>
          <w:t>i</w:t>
        </w:r>
        <w:proofErr w:type="spellEnd"/>
        <w:r w:rsidRPr="00A1043D">
          <w:rPr>
            <w:rFonts w:ascii="Georgia" w:hAnsi="Georgia"/>
            <w:color w:val="000000" w:themeColor="text1"/>
            <w:sz w:val="22"/>
            <w:szCs w:val="22"/>
          </w:rPr>
          <w:t>)(1)(A)</w:t>
        </w:r>
      </w:hyperlink>
      <w:r w:rsidRPr="00A1043D">
        <w:rPr>
          <w:rFonts w:ascii="Georgia" w:hAnsi="Georgia"/>
          <w:color w:val="000000" w:themeColor="text1"/>
          <w:sz w:val="22"/>
          <w:szCs w:val="22"/>
        </w:rPr>
        <w:t xml:space="preserve">. At the same time, the DMCA specifies that failure to qualify for the safe-harbor defense “shall not bear adversely upon the consideration of a defense by the service provider that the service provider's conduct is not infringing.” </w:t>
      </w:r>
      <w:hyperlink r:id="rId30" w:anchor="co_pp_3cd1000064020">
        <w:r w:rsidRPr="00A1043D">
          <w:rPr>
            <w:rFonts w:ascii="Georgia" w:hAnsi="Georgia"/>
            <w:color w:val="000000" w:themeColor="text1"/>
            <w:sz w:val="22"/>
            <w:szCs w:val="22"/>
          </w:rPr>
          <w:t>§ 512(</w:t>
        </w:r>
        <w:r w:rsidRPr="00A1043D">
          <w:rPr>
            <w:rFonts w:ascii="Georgia" w:hAnsi="Georgia"/>
            <w:i/>
            <w:color w:val="000000" w:themeColor="text1"/>
            <w:sz w:val="22"/>
            <w:szCs w:val="22"/>
          </w:rPr>
          <w:t>l</w:t>
        </w:r>
        <w:r w:rsidRPr="00A1043D">
          <w:rPr>
            <w:rFonts w:ascii="Georgia" w:hAnsi="Georgia"/>
            <w:color w:val="000000" w:themeColor="text1"/>
            <w:sz w:val="22"/>
            <w:szCs w:val="22"/>
          </w:rPr>
          <w:t>)</w:t>
        </w:r>
      </w:hyperlink>
      <w:r w:rsidRPr="00A1043D">
        <w:rPr>
          <w:rFonts w:ascii="Georgia" w:hAnsi="Georgia"/>
          <w:color w:val="000000" w:themeColor="text1"/>
          <w:sz w:val="22"/>
          <w:szCs w:val="22"/>
        </w:rPr>
        <w:t>.</w:t>
      </w:r>
    </w:p>
    <w:p w14:paraId="5B0D0569"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1D95663D" w14:textId="77777777" w:rsidR="00F17340" w:rsidRPr="00A1043D" w:rsidRDefault="00000000" w:rsidP="0097443B">
      <w:pPr>
        <w:spacing w:after="0" w:line="240" w:lineRule="auto"/>
        <w:jc w:val="center"/>
        <w:rPr>
          <w:rFonts w:ascii="Georgia" w:hAnsi="Georgia"/>
          <w:color w:val="000000" w:themeColor="text1"/>
          <w:sz w:val="22"/>
          <w:szCs w:val="22"/>
        </w:rPr>
      </w:pPr>
      <w:bookmarkStart w:id="5" w:name="co_anchor_Ieab6cfe12c9311f19f84ca1ed0fc"/>
      <w:r w:rsidRPr="00A1043D">
        <w:rPr>
          <w:rFonts w:ascii="Georgia" w:hAnsi="Georgia"/>
          <w:color w:val="000000" w:themeColor="text1"/>
          <w:sz w:val="22"/>
          <w:szCs w:val="22"/>
        </w:rPr>
        <w:t>B</w:t>
      </w:r>
    </w:p>
    <w:p w14:paraId="7EC23907" w14:textId="77777777" w:rsidR="0097443B" w:rsidRPr="00A1043D" w:rsidRDefault="0097443B" w:rsidP="0097443B">
      <w:pPr>
        <w:spacing w:after="0" w:line="240" w:lineRule="auto"/>
        <w:ind w:firstLine="720"/>
        <w:jc w:val="both"/>
        <w:rPr>
          <w:rFonts w:ascii="Georgia" w:hAnsi="Georgia"/>
          <w:b/>
          <w:color w:val="000000" w:themeColor="text1"/>
          <w:sz w:val="22"/>
          <w:szCs w:val="22"/>
        </w:rPr>
      </w:pPr>
      <w:bookmarkStart w:id="6" w:name="co_pp_sp_999_4_1"/>
      <w:bookmarkEnd w:id="5"/>
    </w:p>
    <w:bookmarkEnd w:id="6"/>
    <w:p w14:paraId="077FE484" w14:textId="2E15B5E2"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Cox Communications, Inc., is an Internet service provider that serves about 6 million subscribers. Each subscriber's account is associated with a unique Internet Protocol, or “IP,” address. Many users can share a particular IP address. For example, a household, coffee shop, or college dormitory ordinarily has one IP address, but has multiple individual users.</w:t>
      </w:r>
    </w:p>
    <w:p w14:paraId="506E51D3"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3345FC7F"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Internet service providers, such as Cox, have limited knowledge about how their Internet services are used and who </w:t>
      </w:r>
      <w:proofErr w:type="gramStart"/>
      <w:r w:rsidRPr="00A1043D">
        <w:rPr>
          <w:rFonts w:ascii="Georgia" w:hAnsi="Georgia"/>
          <w:color w:val="000000" w:themeColor="text1"/>
          <w:sz w:val="22"/>
          <w:szCs w:val="22"/>
        </w:rPr>
        <w:t>uses</w:t>
      </w:r>
      <w:proofErr w:type="gramEnd"/>
      <w:r w:rsidRPr="00A1043D">
        <w:rPr>
          <w:rFonts w:ascii="Georgia" w:hAnsi="Georgia"/>
          <w:color w:val="000000" w:themeColor="text1"/>
          <w:sz w:val="22"/>
          <w:szCs w:val="22"/>
        </w:rPr>
        <w:t xml:space="preserve"> them. They do know which IP address corresponds to which subscriber's account, but they cannot distinguish one individual user from another. For instance, if an Internet service provider learns that someone illegally downloaded music from a coffee shop's IP address, the Internet service provider cannot determine which individual at the coffee shop infringed the copyright. And, more generally, Internet service providers also cannot directly control how their Internet services are used.</w:t>
      </w:r>
    </w:p>
    <w:p w14:paraId="1EF45CBF"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lastRenderedPageBreak/>
        <w:t> </w:t>
      </w:r>
    </w:p>
    <w:p w14:paraId="1F96BF3D" w14:textId="26FD05CA"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Sony Music Entertainment and the other plaintiffs in this case are major music copyright owners. They have struggled to protect their copyrights in the age of online music sharing. Today, anyone with an Internet connection and easily obtained software can upload digital copies of copyrighted music and make them available for others to down-load. This practice often infringes the owners’ exclusive rights to copy and distribute their works. §§ 106(1), (3). Copyright owners can, and do, sue the individuals who infringe their copyrights in this manner. See, </w:t>
      </w:r>
      <w:r w:rsidRPr="00A1043D">
        <w:rPr>
          <w:rFonts w:ascii="Georgia" w:hAnsi="Georgia"/>
          <w:i/>
          <w:color w:val="000000" w:themeColor="text1"/>
          <w:sz w:val="22"/>
          <w:szCs w:val="22"/>
        </w:rPr>
        <w:t>e</w:t>
      </w:r>
      <w:r w:rsidRPr="00A1043D">
        <w:rPr>
          <w:rFonts w:ascii="Georgia" w:hAnsi="Georgia"/>
          <w:color w:val="000000" w:themeColor="text1"/>
          <w:sz w:val="22"/>
          <w:szCs w:val="22"/>
        </w:rPr>
        <w:t>.</w:t>
      </w:r>
      <w:r w:rsidRPr="00A1043D">
        <w:rPr>
          <w:rFonts w:ascii="Georgia" w:hAnsi="Georgia"/>
          <w:i/>
          <w:color w:val="000000" w:themeColor="text1"/>
          <w:sz w:val="22"/>
          <w:szCs w:val="22"/>
        </w:rPr>
        <w:t>g</w:t>
      </w:r>
      <w:r w:rsidRPr="00A1043D">
        <w:rPr>
          <w:rFonts w:ascii="Georgia" w:hAnsi="Georgia"/>
          <w:color w:val="000000" w:themeColor="text1"/>
          <w:sz w:val="22"/>
          <w:szCs w:val="22"/>
        </w:rPr>
        <w:t xml:space="preserve">., </w:t>
      </w:r>
      <w:hyperlink r:id="rId31" w:anchor="co_pp_sp_506_490">
        <w:r w:rsidRPr="00A1043D">
          <w:rPr>
            <w:rFonts w:ascii="Georgia" w:hAnsi="Georgia"/>
            <w:i/>
            <w:color w:val="000000" w:themeColor="text1"/>
            <w:sz w:val="22"/>
            <w:szCs w:val="22"/>
          </w:rPr>
          <w:t>Sony BMG Music Entertainment v. Tenenbaum</w:t>
        </w:r>
        <w:r w:rsidRPr="00A1043D">
          <w:rPr>
            <w:rFonts w:ascii="Georgia" w:hAnsi="Georgia"/>
            <w:color w:val="000000" w:themeColor="text1"/>
            <w:sz w:val="22"/>
            <w:szCs w:val="22"/>
          </w:rPr>
          <w:t>, 660 F.3d 487, 490 (</w:t>
        </w:r>
        <w:r w:rsidR="00E51F23" w:rsidRPr="00A1043D">
          <w:rPr>
            <w:rFonts w:ascii="Georgia" w:hAnsi="Georgia"/>
            <w:color w:val="000000" w:themeColor="text1"/>
            <w:sz w:val="22"/>
            <w:szCs w:val="22"/>
          </w:rPr>
          <w:t>1</w:t>
        </w:r>
        <w:r w:rsidR="00E51F23" w:rsidRPr="00A1043D">
          <w:rPr>
            <w:rFonts w:ascii="Georgia" w:hAnsi="Georgia"/>
            <w:color w:val="000000" w:themeColor="text1"/>
            <w:sz w:val="22"/>
            <w:szCs w:val="22"/>
            <w:vertAlign w:val="superscript"/>
          </w:rPr>
          <w:t>st</w:t>
        </w:r>
        <w:r w:rsidR="00E51F23" w:rsidRPr="00A1043D">
          <w:rPr>
            <w:rFonts w:ascii="Georgia" w:hAnsi="Georgia"/>
            <w:color w:val="000000" w:themeColor="text1"/>
            <w:sz w:val="22"/>
            <w:szCs w:val="22"/>
          </w:rPr>
          <w:t xml:space="preserve"> Cir. </w:t>
        </w:r>
        <w:r w:rsidRPr="00A1043D">
          <w:rPr>
            <w:rFonts w:ascii="Georgia" w:hAnsi="Georgia"/>
            <w:color w:val="000000" w:themeColor="text1"/>
            <w:sz w:val="22"/>
            <w:szCs w:val="22"/>
          </w:rPr>
          <w:t>2011)</w:t>
        </w:r>
      </w:hyperlink>
      <w:r w:rsidRPr="00A1043D">
        <w:rPr>
          <w:rFonts w:ascii="Georgia" w:hAnsi="Georgia"/>
          <w:color w:val="000000" w:themeColor="text1"/>
          <w:sz w:val="22"/>
          <w:szCs w:val="22"/>
        </w:rPr>
        <w:t>. However, because online infringement is so widespread, pursuing each individual infringer does little to stem the tide.</w:t>
      </w:r>
    </w:p>
    <w:p w14:paraId="7533554F"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4D5CA2D9"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Given the difficulty of pursuing individual infringers, Sony attempted to enlist Internet service providers such as Cox to help it enforce its copyrights. It enlisted the services of an entity called </w:t>
      </w:r>
      <w:proofErr w:type="spellStart"/>
      <w:r w:rsidRPr="00A1043D">
        <w:rPr>
          <w:rFonts w:ascii="Georgia" w:hAnsi="Georgia"/>
          <w:color w:val="000000" w:themeColor="text1"/>
          <w:sz w:val="22"/>
          <w:szCs w:val="22"/>
        </w:rPr>
        <w:t>MarkMonitor</w:t>
      </w:r>
      <w:proofErr w:type="spellEnd"/>
      <w:r w:rsidRPr="00A1043D">
        <w:rPr>
          <w:rFonts w:ascii="Georgia" w:hAnsi="Georgia"/>
          <w:color w:val="000000" w:themeColor="text1"/>
          <w:sz w:val="22"/>
          <w:szCs w:val="22"/>
        </w:rPr>
        <w:t xml:space="preserve"> to track infringement of its copyrights across the Internet. </w:t>
      </w:r>
      <w:proofErr w:type="spellStart"/>
      <w:r w:rsidRPr="00A1043D">
        <w:rPr>
          <w:rFonts w:ascii="Georgia" w:hAnsi="Georgia"/>
          <w:color w:val="000000" w:themeColor="text1"/>
          <w:sz w:val="22"/>
          <w:szCs w:val="22"/>
        </w:rPr>
        <w:t>MarkMonitor's</w:t>
      </w:r>
      <w:proofErr w:type="spellEnd"/>
      <w:r w:rsidRPr="00A1043D">
        <w:rPr>
          <w:rFonts w:ascii="Georgia" w:hAnsi="Georgia"/>
          <w:color w:val="000000" w:themeColor="text1"/>
          <w:sz w:val="22"/>
          <w:szCs w:val="22"/>
        </w:rPr>
        <w:t xml:space="preserve"> software can detect when copyrighted works are illegally uploaded or downloaded and trace the infringing activity to a particular IP address. It can also identify the Internet service provider for the infringing IP address. When </w:t>
      </w:r>
      <w:proofErr w:type="spellStart"/>
      <w:r w:rsidRPr="00A1043D">
        <w:rPr>
          <w:rFonts w:ascii="Georgia" w:hAnsi="Georgia"/>
          <w:color w:val="000000" w:themeColor="text1"/>
          <w:sz w:val="22"/>
          <w:szCs w:val="22"/>
        </w:rPr>
        <w:t>MarkMonitor</w:t>
      </w:r>
      <w:proofErr w:type="spellEnd"/>
      <w:r w:rsidRPr="00A1043D">
        <w:rPr>
          <w:rFonts w:ascii="Georgia" w:hAnsi="Georgia"/>
          <w:color w:val="000000" w:themeColor="text1"/>
          <w:sz w:val="22"/>
          <w:szCs w:val="22"/>
        </w:rPr>
        <w:t xml:space="preserve"> detects apparently infringing activity, it sends notices to the Internet service provider, identifying the IP address at which the infringement occurred. In the roughly 2-year period at issue here, </w:t>
      </w:r>
      <w:proofErr w:type="spellStart"/>
      <w:r w:rsidRPr="00A1043D">
        <w:rPr>
          <w:rFonts w:ascii="Georgia" w:hAnsi="Georgia"/>
          <w:color w:val="000000" w:themeColor="text1"/>
          <w:sz w:val="22"/>
          <w:szCs w:val="22"/>
        </w:rPr>
        <w:t>MarkMonitor</w:t>
      </w:r>
      <w:proofErr w:type="spellEnd"/>
      <w:r w:rsidRPr="00A1043D">
        <w:rPr>
          <w:rFonts w:ascii="Georgia" w:hAnsi="Georgia"/>
          <w:color w:val="000000" w:themeColor="text1"/>
          <w:sz w:val="22"/>
          <w:szCs w:val="22"/>
        </w:rPr>
        <w:t xml:space="preserve"> sent Cox 163,148 such notices.</w:t>
      </w:r>
    </w:p>
    <w:p w14:paraId="75E02F14"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347B00B6"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Cox states that it took steps to limit copyright infringement by those using its Internet services. According to Cox, it created a system of responding to the notices that it received from </w:t>
      </w:r>
      <w:proofErr w:type="spellStart"/>
      <w:r w:rsidRPr="00A1043D">
        <w:rPr>
          <w:rFonts w:ascii="Georgia" w:hAnsi="Georgia"/>
          <w:color w:val="000000" w:themeColor="text1"/>
          <w:sz w:val="22"/>
          <w:szCs w:val="22"/>
        </w:rPr>
        <w:t>MarkMonitor</w:t>
      </w:r>
      <w:proofErr w:type="spellEnd"/>
      <w:r w:rsidRPr="00A1043D">
        <w:rPr>
          <w:rFonts w:ascii="Georgia" w:hAnsi="Georgia"/>
          <w:color w:val="000000" w:themeColor="text1"/>
          <w:sz w:val="22"/>
          <w:szCs w:val="22"/>
        </w:rPr>
        <w:t xml:space="preserve">. After the second </w:t>
      </w:r>
      <w:proofErr w:type="spellStart"/>
      <w:r w:rsidRPr="00A1043D">
        <w:rPr>
          <w:rFonts w:ascii="Georgia" w:hAnsi="Georgia"/>
          <w:color w:val="000000" w:themeColor="text1"/>
          <w:sz w:val="22"/>
          <w:szCs w:val="22"/>
        </w:rPr>
        <w:t>MarkMonitor</w:t>
      </w:r>
      <w:proofErr w:type="spellEnd"/>
      <w:r w:rsidRPr="00A1043D">
        <w:rPr>
          <w:rFonts w:ascii="Georgia" w:hAnsi="Georgia"/>
          <w:color w:val="000000" w:themeColor="text1"/>
          <w:sz w:val="22"/>
          <w:szCs w:val="22"/>
        </w:rPr>
        <w:t xml:space="preserve"> notice for a subscriber's account, Cox sent a warning to that subscriber. After additional notices, Cox terminated Internet access to that subscriber's IP address until the subscriber responded to the warning. If it continued to receive notices for that IP address, Cox suspended service until the subscriber called and received a warning over the phone. After 13 notices, the subscriber was subject to termination of all Internet service. Cox also contractually prohibits its subscribers from using their connection “to post, copy, transmit, or disseminate any content that infringes the patents, copyrights ... or proprietary rights of any party.” 2 App. 405.</w:t>
      </w:r>
    </w:p>
    <w:p w14:paraId="6DD71610"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F765CBF" w14:textId="67BAABB4"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parties disagree about how to characterize Cox's efforts to protect Sony's copyrights. Sony points out that Cox terminated only 32 subscribers for infringement during the claim period, even as it terminated hundreds of thousands of subscribers for nonpayment during the same period. Brief for Respondents 18. Sony also points to statements from Cox employees expressing frustration with the notices and an unwillingness to act on them in favor of protecting revenue from subscriber payments. </w:t>
      </w:r>
      <w:r w:rsidRPr="00A1043D">
        <w:rPr>
          <w:rFonts w:ascii="Georgia" w:hAnsi="Georgia"/>
          <w:i/>
          <w:color w:val="000000" w:themeColor="text1"/>
          <w:sz w:val="22"/>
          <w:szCs w:val="22"/>
        </w:rPr>
        <w:t>Id</w:t>
      </w:r>
      <w:r w:rsidRPr="00A1043D">
        <w:rPr>
          <w:rFonts w:ascii="Georgia" w:hAnsi="Georgia"/>
          <w:color w:val="000000" w:themeColor="text1"/>
          <w:sz w:val="22"/>
          <w:szCs w:val="22"/>
        </w:rPr>
        <w:t>., at 22. Cox resists this characterization by pointing out that its warning and suspension system ended 98% of identified infringement. Brief for Petitioners 10–11.</w:t>
      </w:r>
    </w:p>
    <w:p w14:paraId="2AD0EBD2"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2BF3A870" w14:textId="77777777" w:rsidR="00F17340" w:rsidRPr="00A1043D" w:rsidRDefault="00000000" w:rsidP="0097443B">
      <w:pPr>
        <w:spacing w:after="0" w:line="240" w:lineRule="auto"/>
        <w:jc w:val="center"/>
        <w:rPr>
          <w:rFonts w:ascii="Georgia" w:hAnsi="Georgia"/>
          <w:color w:val="000000" w:themeColor="text1"/>
          <w:sz w:val="22"/>
          <w:szCs w:val="22"/>
        </w:rPr>
      </w:pPr>
      <w:bookmarkStart w:id="7" w:name="co_anchor_Ieaba04312c9311f19f84ca1ed0fc"/>
      <w:r w:rsidRPr="00A1043D">
        <w:rPr>
          <w:rFonts w:ascii="Georgia" w:hAnsi="Georgia"/>
          <w:color w:val="000000" w:themeColor="text1"/>
          <w:sz w:val="22"/>
          <w:szCs w:val="22"/>
        </w:rPr>
        <w:t>C</w:t>
      </w:r>
    </w:p>
    <w:bookmarkEnd w:id="7"/>
    <w:p w14:paraId="7501A0C1" w14:textId="77777777" w:rsidR="0097443B" w:rsidRPr="00A1043D" w:rsidRDefault="0097443B" w:rsidP="0097443B">
      <w:pPr>
        <w:spacing w:after="0" w:line="240" w:lineRule="auto"/>
        <w:ind w:firstLine="720"/>
        <w:jc w:val="both"/>
        <w:rPr>
          <w:rFonts w:ascii="Georgia" w:hAnsi="Georgia"/>
          <w:color w:val="000000" w:themeColor="text1"/>
          <w:sz w:val="22"/>
          <w:szCs w:val="22"/>
        </w:rPr>
      </w:pPr>
    </w:p>
    <w:p w14:paraId="3D919FAA" w14:textId="7C12B6F4"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Sony sued Cox in the United States District Court for the Eastern District of Virginia. It advanced two theories of secondary copyright liability.</w:t>
      </w:r>
    </w:p>
    <w:p w14:paraId="16A70178"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1FF021BA" w14:textId="56B3465D"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First, Sony alleged that Cox was contributorily liable for its users’ infringement. Sony argued that Cox contributed to its users’ infringement by continuing to provide Internet service to subscribers whose IP addresses it knew were associated with infringement. Second, Sony alleged that Cox was vicariously liable for its users’ infringement. On Sony's telling, Cox “profit[ed] directly from the infringement and ha[d] a right and ability to supervise the direct infringer[s],” </w:t>
      </w:r>
      <w:hyperlink r:id="rId32" w:anchor="co_pp_sp_780_930">
        <w:proofErr w:type="spellStart"/>
        <w:r w:rsidRPr="00A1043D">
          <w:rPr>
            <w:rFonts w:ascii="Georgia" w:hAnsi="Georgia"/>
            <w:i/>
            <w:color w:val="000000" w:themeColor="text1"/>
            <w:sz w:val="22"/>
            <w:szCs w:val="22"/>
          </w:rPr>
          <w:t>Grokster</w:t>
        </w:r>
        <w:proofErr w:type="spellEnd"/>
        <w:r w:rsidRPr="00A1043D">
          <w:rPr>
            <w:rFonts w:ascii="Georgia" w:hAnsi="Georgia"/>
            <w:color w:val="000000" w:themeColor="text1"/>
            <w:sz w:val="22"/>
            <w:szCs w:val="22"/>
          </w:rPr>
          <w:t>, 545 U.S., at 930, n. 9</w:t>
        </w:r>
      </w:hyperlink>
      <w:r w:rsidRPr="00A1043D">
        <w:rPr>
          <w:rFonts w:ascii="Georgia" w:hAnsi="Georgia"/>
          <w:color w:val="000000" w:themeColor="text1"/>
          <w:sz w:val="22"/>
          <w:szCs w:val="22"/>
        </w:rPr>
        <w:t>, because it provided paying subscribers with Internet service that was then used to infringe. According to Sony's allegations, Cox was liable for willfully infringing 10,017 copyrighted works, subjecting it to up to $1.5 billion in statutory damages.</w:t>
      </w:r>
    </w:p>
    <w:p w14:paraId="5A4A9AD6"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7B22DB68" w14:textId="757AC4A4"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In the District Court, Sony prevailed as to both contributory and vicarious liability. The jury found in favor of Sony on both theories. </w:t>
      </w:r>
      <w:hyperlink r:id="rId33" w:anchor="co_pp_sp_7903_807">
        <w:r w:rsidRPr="00A1043D">
          <w:rPr>
            <w:rFonts w:ascii="Georgia" w:hAnsi="Georgia"/>
            <w:color w:val="000000" w:themeColor="text1"/>
            <w:sz w:val="22"/>
            <w:szCs w:val="22"/>
          </w:rPr>
          <w:t>464 F.Supp.3d 795, 807–808 (ED Va. 2020)</w:t>
        </w:r>
      </w:hyperlink>
      <w:r w:rsidRPr="00A1043D">
        <w:rPr>
          <w:rFonts w:ascii="Georgia" w:hAnsi="Georgia"/>
          <w:color w:val="000000" w:themeColor="text1"/>
          <w:sz w:val="22"/>
          <w:szCs w:val="22"/>
        </w:rPr>
        <w:t xml:space="preserve">. It </w:t>
      </w:r>
      <w:proofErr w:type="gramStart"/>
      <w:r w:rsidRPr="00A1043D">
        <w:rPr>
          <w:rFonts w:ascii="Georgia" w:hAnsi="Georgia"/>
          <w:color w:val="000000" w:themeColor="text1"/>
          <w:sz w:val="22"/>
          <w:szCs w:val="22"/>
        </w:rPr>
        <w:t>also</w:t>
      </w:r>
      <w:proofErr w:type="gramEnd"/>
      <w:r w:rsidRPr="00A1043D">
        <w:rPr>
          <w:rFonts w:ascii="Georgia" w:hAnsi="Georgia"/>
          <w:color w:val="000000" w:themeColor="text1"/>
          <w:sz w:val="22"/>
          <w:szCs w:val="22"/>
        </w:rPr>
        <w:t xml:space="preserve"> found that Cox's infringement was willful, awarding $1 billion in statutory damages. </w:t>
      </w:r>
      <w:hyperlink r:id="rId34">
        <w:r w:rsidRPr="00A1043D">
          <w:rPr>
            <w:rFonts w:ascii="Georgia" w:hAnsi="Georgia"/>
            <w:i/>
            <w:color w:val="000000" w:themeColor="text1"/>
            <w:sz w:val="22"/>
            <w:szCs w:val="22"/>
          </w:rPr>
          <w:t xml:space="preserve">Ibid. </w:t>
        </w:r>
      </w:hyperlink>
      <w:r w:rsidRPr="00A1043D">
        <w:rPr>
          <w:rFonts w:ascii="Georgia" w:hAnsi="Georgia"/>
          <w:color w:val="000000" w:themeColor="text1"/>
          <w:sz w:val="22"/>
          <w:szCs w:val="22"/>
        </w:rPr>
        <w:t xml:space="preserve">The District Court denied Cox's post-trial motion for judgment as a matter of law in relevant part. </w:t>
      </w:r>
      <w:hyperlink r:id="rId35" w:anchor="co_pp_sp_7903_847">
        <w:r w:rsidRPr="00A1043D">
          <w:rPr>
            <w:rFonts w:ascii="Georgia" w:hAnsi="Georgia"/>
            <w:i/>
            <w:color w:val="000000" w:themeColor="text1"/>
            <w:sz w:val="22"/>
            <w:szCs w:val="22"/>
          </w:rPr>
          <w:t>Id</w:t>
        </w:r>
        <w:r w:rsidRPr="00A1043D">
          <w:rPr>
            <w:rFonts w:ascii="Georgia" w:hAnsi="Georgia"/>
            <w:color w:val="000000" w:themeColor="text1"/>
            <w:sz w:val="22"/>
            <w:szCs w:val="22"/>
          </w:rPr>
          <w:t>., at 847</w:t>
        </w:r>
      </w:hyperlink>
      <w:r w:rsidRPr="00A1043D">
        <w:rPr>
          <w:rFonts w:ascii="Georgia" w:hAnsi="Georgia"/>
          <w:color w:val="000000" w:themeColor="text1"/>
          <w:sz w:val="22"/>
          <w:szCs w:val="22"/>
        </w:rPr>
        <w:t>.</w:t>
      </w:r>
      <w:bookmarkStart w:id="8" w:name="co_fnRef_B00022059547408_ID0E1TBG_1"/>
      <w:r w:rsidR="00E51F23" w:rsidRPr="00A1043D">
        <w:rPr>
          <w:rStyle w:val="FootnoteReference"/>
          <w:rFonts w:ascii="Georgia" w:hAnsi="Georgia"/>
          <w:color w:val="000000" w:themeColor="text1"/>
          <w:sz w:val="22"/>
          <w:szCs w:val="22"/>
        </w:rPr>
        <w:footnoteReference w:customMarkFollows="1" w:id="1"/>
        <w:t>*</w:t>
      </w:r>
      <w:bookmarkEnd w:id="8"/>
      <w:r w:rsidR="00E51F23" w:rsidRPr="00A1043D">
        <w:rPr>
          <w:rFonts w:ascii="Georgia" w:hAnsi="Georgia"/>
          <w:color w:val="000000" w:themeColor="text1"/>
          <w:sz w:val="22"/>
          <w:szCs w:val="22"/>
        </w:rPr>
        <w:t xml:space="preserve"> </w:t>
      </w:r>
    </w:p>
    <w:p w14:paraId="21B168F8" w14:textId="01D6B5CD" w:rsidR="0097443B" w:rsidRPr="00A1043D" w:rsidRDefault="00000000" w:rsidP="00E51F23">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3ACE9808" w14:textId="5A80FE8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Fourth Circuit </w:t>
      </w:r>
      <w:proofErr w:type="gramStart"/>
      <w:r w:rsidRPr="00A1043D">
        <w:rPr>
          <w:rFonts w:ascii="Georgia" w:hAnsi="Georgia"/>
          <w:color w:val="000000" w:themeColor="text1"/>
          <w:sz w:val="22"/>
          <w:szCs w:val="22"/>
        </w:rPr>
        <w:t>affirmed</w:t>
      </w:r>
      <w:proofErr w:type="gramEnd"/>
      <w:r w:rsidRPr="00A1043D">
        <w:rPr>
          <w:rFonts w:ascii="Georgia" w:hAnsi="Georgia"/>
          <w:color w:val="000000" w:themeColor="text1"/>
          <w:sz w:val="22"/>
          <w:szCs w:val="22"/>
        </w:rPr>
        <w:t xml:space="preserve"> in part and reversed in part. It affirmed as to contributory liability because Cox continued to provide Internet service to known infringers. Applying Circuit precedent, it reasoned that “supplying a product with knowledge that the recipient will use it to infringe copyrights is exactly the sort of culpable conduct sufficient for contributory infringement.” </w:t>
      </w:r>
      <w:hyperlink r:id="rId36" w:anchor="co_pp_sp_8173_236">
        <w:r w:rsidRPr="00A1043D">
          <w:rPr>
            <w:rFonts w:ascii="Georgia" w:hAnsi="Georgia"/>
            <w:color w:val="000000" w:themeColor="text1"/>
            <w:sz w:val="22"/>
            <w:szCs w:val="22"/>
          </w:rPr>
          <w:t>93 F.4th 222, 236 (2024)</w:t>
        </w:r>
      </w:hyperlink>
      <w:r w:rsidRPr="00A1043D">
        <w:rPr>
          <w:rFonts w:ascii="Georgia" w:hAnsi="Georgia"/>
          <w:color w:val="000000" w:themeColor="text1"/>
          <w:sz w:val="22"/>
          <w:szCs w:val="22"/>
        </w:rPr>
        <w:t xml:space="preserve"> (citing </w:t>
      </w:r>
      <w:hyperlink r:id="rId37" w:anchor="co_pp_sp_506_308">
        <w:r w:rsidRPr="00A1043D">
          <w:rPr>
            <w:rFonts w:ascii="Georgia" w:hAnsi="Georgia"/>
            <w:i/>
            <w:color w:val="000000" w:themeColor="text1"/>
            <w:sz w:val="22"/>
            <w:szCs w:val="22"/>
          </w:rPr>
          <w:t>BMG Rights Mgmt. (US) LLC v. Cox Communications, Inc.</w:t>
        </w:r>
        <w:r w:rsidRPr="00A1043D">
          <w:rPr>
            <w:rFonts w:ascii="Georgia" w:hAnsi="Georgia"/>
            <w:color w:val="000000" w:themeColor="text1"/>
            <w:sz w:val="22"/>
            <w:szCs w:val="22"/>
          </w:rPr>
          <w:t>, 881 F.3d 293, 308 (2018)</w:t>
        </w:r>
      </w:hyperlink>
      <w:r w:rsidRPr="00A1043D">
        <w:rPr>
          <w:rFonts w:ascii="Georgia" w:hAnsi="Georgia"/>
          <w:color w:val="000000" w:themeColor="text1"/>
          <w:sz w:val="22"/>
          <w:szCs w:val="22"/>
        </w:rPr>
        <w:t>). The Fourth Circuit reversed as to vicarious liability because it concluded that Cox did not “</w:t>
      </w:r>
      <w:proofErr w:type="spellStart"/>
      <w:r w:rsidRPr="00A1043D">
        <w:rPr>
          <w:rFonts w:ascii="Georgia" w:hAnsi="Georgia"/>
          <w:color w:val="000000" w:themeColor="text1"/>
          <w:sz w:val="22"/>
          <w:szCs w:val="22"/>
        </w:rPr>
        <w:t>receiv</w:t>
      </w:r>
      <w:proofErr w:type="spellEnd"/>
      <w:r w:rsidRPr="00A1043D">
        <w:rPr>
          <w:rFonts w:ascii="Georgia" w:hAnsi="Georgia"/>
          <w:color w:val="000000" w:themeColor="text1"/>
          <w:sz w:val="22"/>
          <w:szCs w:val="22"/>
        </w:rPr>
        <w:t xml:space="preserve">[e] a direct financial benefit from its subscribers’ infringement.” </w:t>
      </w:r>
      <w:hyperlink r:id="rId38" w:anchor="co_pp_sp_8173_233">
        <w:r w:rsidRPr="00A1043D">
          <w:rPr>
            <w:rFonts w:ascii="Georgia" w:hAnsi="Georgia"/>
            <w:color w:val="000000" w:themeColor="text1"/>
            <w:sz w:val="22"/>
            <w:szCs w:val="22"/>
          </w:rPr>
          <w:t>93 F.4th at 233</w:t>
        </w:r>
      </w:hyperlink>
      <w:r w:rsidRPr="00A1043D">
        <w:rPr>
          <w:rFonts w:ascii="Georgia" w:hAnsi="Georgia"/>
          <w:color w:val="000000" w:themeColor="text1"/>
          <w:sz w:val="22"/>
          <w:szCs w:val="22"/>
        </w:rPr>
        <w:t>. The court then vacated the damages award and remanded for the jury to reassess damages based on contributory liability alone.</w:t>
      </w:r>
    </w:p>
    <w:p w14:paraId="22AB3503"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1D1D8038" w14:textId="7D0947E3"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We granted Cox's petition for a writ of certiorari as to contributory liability. </w:t>
      </w:r>
      <w:hyperlink r:id="rId39">
        <w:r w:rsidRPr="00A1043D">
          <w:rPr>
            <w:rFonts w:ascii="Georgia" w:hAnsi="Georgia"/>
            <w:color w:val="000000" w:themeColor="text1"/>
            <w:sz w:val="22"/>
            <w:szCs w:val="22"/>
          </w:rPr>
          <w:t>606 U. S. 930</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(2025)</w:t>
        </w:r>
      </w:hyperlink>
      <w:r w:rsidRPr="00A1043D">
        <w:rPr>
          <w:rFonts w:ascii="Georgia" w:hAnsi="Georgia"/>
          <w:color w:val="000000" w:themeColor="text1"/>
          <w:sz w:val="22"/>
          <w:szCs w:val="22"/>
        </w:rPr>
        <w:t xml:space="preserve">. We denied Sony's petition for a writ of certiorari regarding vicarious liability. </w:t>
      </w:r>
      <w:hyperlink r:id="rId40">
        <w:r w:rsidRPr="00A1043D">
          <w:rPr>
            <w:rFonts w:ascii="Georgia" w:hAnsi="Georgia"/>
            <w:color w:val="000000" w:themeColor="text1"/>
            <w:sz w:val="22"/>
            <w:szCs w:val="22"/>
          </w:rPr>
          <w:t>606 U. S. 931</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(2025)</w:t>
        </w:r>
      </w:hyperlink>
      <w:r w:rsidRPr="00A1043D">
        <w:rPr>
          <w:rFonts w:ascii="Georgia" w:hAnsi="Georgia"/>
          <w:color w:val="000000" w:themeColor="text1"/>
          <w:sz w:val="22"/>
          <w:szCs w:val="22"/>
        </w:rPr>
        <w:t>.</w:t>
      </w:r>
    </w:p>
    <w:p w14:paraId="0FCCACCD"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3A0E00C0" w14:textId="77777777" w:rsidR="00F17340" w:rsidRPr="00A1043D" w:rsidRDefault="00000000" w:rsidP="0097443B">
      <w:pPr>
        <w:spacing w:after="0" w:line="240" w:lineRule="auto"/>
        <w:jc w:val="center"/>
        <w:rPr>
          <w:rFonts w:ascii="Georgia" w:hAnsi="Georgia"/>
          <w:color w:val="000000" w:themeColor="text1"/>
          <w:sz w:val="22"/>
          <w:szCs w:val="22"/>
        </w:rPr>
      </w:pPr>
      <w:bookmarkStart w:id="9" w:name="co_anchor_Ieabcea612c9311f19f84ca1ed0fc"/>
      <w:r w:rsidRPr="00A1043D">
        <w:rPr>
          <w:rFonts w:ascii="Georgia" w:hAnsi="Georgia"/>
          <w:color w:val="000000" w:themeColor="text1"/>
          <w:sz w:val="22"/>
          <w:szCs w:val="22"/>
        </w:rPr>
        <w:t>II</w:t>
      </w:r>
    </w:p>
    <w:bookmarkEnd w:id="9"/>
    <w:p w14:paraId="6E8185C3" w14:textId="77777777" w:rsidR="0097443B" w:rsidRPr="00A1043D" w:rsidRDefault="0097443B" w:rsidP="0097443B">
      <w:pPr>
        <w:spacing w:after="0" w:line="240" w:lineRule="auto"/>
        <w:ind w:firstLine="720"/>
        <w:jc w:val="center"/>
        <w:rPr>
          <w:rFonts w:ascii="Georgia" w:hAnsi="Georgia"/>
          <w:color w:val="000000" w:themeColor="text1"/>
          <w:sz w:val="22"/>
          <w:szCs w:val="22"/>
        </w:rPr>
      </w:pPr>
    </w:p>
    <w:p w14:paraId="463F9C24" w14:textId="2E14C976" w:rsidR="00F17340" w:rsidRPr="00A1043D" w:rsidRDefault="00000000" w:rsidP="0097443B">
      <w:pPr>
        <w:spacing w:after="0" w:line="240" w:lineRule="auto"/>
        <w:jc w:val="center"/>
        <w:rPr>
          <w:rFonts w:ascii="Georgia" w:hAnsi="Georgia"/>
          <w:color w:val="000000" w:themeColor="text1"/>
          <w:sz w:val="22"/>
          <w:szCs w:val="22"/>
        </w:rPr>
      </w:pPr>
      <w:r w:rsidRPr="00A1043D">
        <w:rPr>
          <w:rFonts w:ascii="Georgia" w:hAnsi="Georgia"/>
          <w:color w:val="000000" w:themeColor="text1"/>
          <w:sz w:val="22"/>
          <w:szCs w:val="22"/>
        </w:rPr>
        <w:t>A</w:t>
      </w:r>
    </w:p>
    <w:p w14:paraId="590E9893" w14:textId="77777777" w:rsidR="0097443B" w:rsidRPr="00A1043D" w:rsidRDefault="0097443B" w:rsidP="0097443B">
      <w:pPr>
        <w:spacing w:after="0" w:line="240" w:lineRule="auto"/>
        <w:ind w:firstLine="720"/>
        <w:jc w:val="both"/>
        <w:rPr>
          <w:rFonts w:ascii="Georgia" w:hAnsi="Georgia"/>
          <w:color w:val="000000" w:themeColor="text1"/>
          <w:sz w:val="22"/>
          <w:szCs w:val="22"/>
        </w:rPr>
      </w:pPr>
    </w:p>
    <w:p w14:paraId="1155FB7B" w14:textId="56E3B2C5"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lastRenderedPageBreak/>
        <w:t xml:space="preserve">“The Copyright Act does not expressly render anyone liable for infringement committed by another.” </w:t>
      </w:r>
      <w:hyperlink r:id="rId41" w:anchor="co_pp_sp_780_434">
        <w:r w:rsidRPr="00A1043D">
          <w:rPr>
            <w:rFonts w:ascii="Georgia" w:hAnsi="Georgia"/>
            <w:i/>
            <w:color w:val="000000" w:themeColor="text1"/>
            <w:sz w:val="22"/>
            <w:szCs w:val="22"/>
          </w:rPr>
          <w:t>Sony</w:t>
        </w:r>
        <w:r w:rsidRPr="00A1043D">
          <w:rPr>
            <w:rFonts w:ascii="Georgia" w:hAnsi="Georgia"/>
            <w:color w:val="000000" w:themeColor="text1"/>
            <w:sz w:val="22"/>
            <w:szCs w:val="22"/>
          </w:rPr>
          <w:t>, 464 U.S., at 434</w:t>
        </w:r>
      </w:hyperlink>
      <w:r w:rsidRPr="00A1043D">
        <w:rPr>
          <w:rFonts w:ascii="Georgia" w:hAnsi="Georgia"/>
          <w:color w:val="000000" w:themeColor="text1"/>
          <w:sz w:val="22"/>
          <w:szCs w:val="22"/>
        </w:rPr>
        <w:t xml:space="preserve">. Ordinarily, when Congress intends to impose secondary liability, it does so expressly. See </w:t>
      </w:r>
      <w:hyperlink r:id="rId42" w:anchor="co_pp_sp_780_176">
        <w:r w:rsidRPr="00A1043D">
          <w:rPr>
            <w:rFonts w:ascii="Georgia" w:hAnsi="Georgia"/>
            <w:i/>
            <w:color w:val="000000" w:themeColor="text1"/>
            <w:sz w:val="22"/>
            <w:szCs w:val="22"/>
          </w:rPr>
          <w:t>Central Bank of Denver, N. A. v. First Interstate Bank of Denver, N. A.</w:t>
        </w:r>
        <w:r w:rsidRPr="00A1043D">
          <w:rPr>
            <w:rFonts w:ascii="Georgia" w:hAnsi="Georgia"/>
            <w:color w:val="000000" w:themeColor="text1"/>
            <w:sz w:val="22"/>
            <w:szCs w:val="22"/>
          </w:rPr>
          <w:t>, 511 U.S. 164, 176–177</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(1994)</w:t>
        </w:r>
      </w:hyperlink>
      <w:r w:rsidRPr="00A1043D">
        <w:rPr>
          <w:rFonts w:ascii="Georgia" w:hAnsi="Georgia"/>
          <w:color w:val="000000" w:themeColor="text1"/>
          <w:sz w:val="22"/>
          <w:szCs w:val="22"/>
        </w:rPr>
        <w:t>. Although our precedents have recognized specific forms of secondary copyright liability that predated the Copyright Act, we are loath to expand such liability beyond those precedents.</w:t>
      </w:r>
    </w:p>
    <w:p w14:paraId="2A9D4E77"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FD7E838" w14:textId="77777777" w:rsidR="00F17340" w:rsidRPr="00A1043D" w:rsidRDefault="00000000" w:rsidP="0097443B">
      <w:pPr>
        <w:spacing w:after="0" w:line="240" w:lineRule="auto"/>
        <w:jc w:val="center"/>
        <w:rPr>
          <w:rFonts w:ascii="Georgia" w:hAnsi="Georgia"/>
          <w:color w:val="000000" w:themeColor="text1"/>
          <w:sz w:val="22"/>
          <w:szCs w:val="22"/>
        </w:rPr>
      </w:pPr>
      <w:bookmarkStart w:id="10" w:name="co_anchor_Ieabd86a12c9311f19f84ca1ed0fc"/>
      <w:r w:rsidRPr="00A1043D">
        <w:rPr>
          <w:rFonts w:ascii="Georgia" w:hAnsi="Georgia"/>
          <w:color w:val="000000" w:themeColor="text1"/>
          <w:sz w:val="22"/>
          <w:szCs w:val="22"/>
        </w:rPr>
        <w:t>B</w:t>
      </w:r>
    </w:p>
    <w:p w14:paraId="42A6853A" w14:textId="77777777" w:rsidR="0097443B" w:rsidRPr="00A1043D" w:rsidRDefault="0097443B" w:rsidP="0097443B">
      <w:pPr>
        <w:spacing w:after="0" w:line="240" w:lineRule="auto"/>
        <w:ind w:firstLine="720"/>
        <w:jc w:val="both"/>
        <w:rPr>
          <w:rFonts w:ascii="Georgia" w:hAnsi="Georgia"/>
          <w:b/>
          <w:color w:val="000000" w:themeColor="text1"/>
          <w:sz w:val="22"/>
          <w:szCs w:val="22"/>
        </w:rPr>
      </w:pPr>
      <w:bookmarkStart w:id="11" w:name="co_pp_sp_999_6_1"/>
      <w:bookmarkEnd w:id="10"/>
    </w:p>
    <w:bookmarkEnd w:id="11"/>
    <w:p w14:paraId="48F4A700" w14:textId="2A8466FE"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provider of a service is contributorily liable for the user's infringement only if it </w:t>
      </w:r>
      <w:proofErr w:type="gramStart"/>
      <w:r w:rsidRPr="00A1043D">
        <w:rPr>
          <w:rFonts w:ascii="Georgia" w:hAnsi="Georgia"/>
          <w:color w:val="000000" w:themeColor="text1"/>
          <w:sz w:val="22"/>
          <w:szCs w:val="22"/>
        </w:rPr>
        <w:t>intended</w:t>
      </w:r>
      <w:proofErr w:type="gramEnd"/>
      <w:r w:rsidRPr="00A1043D">
        <w:rPr>
          <w:rFonts w:ascii="Georgia" w:hAnsi="Georgia"/>
          <w:color w:val="000000" w:themeColor="text1"/>
          <w:sz w:val="22"/>
          <w:szCs w:val="22"/>
        </w:rPr>
        <w:t xml:space="preserve"> that the provided service be used for infringement. The intent required for contributory liability can be shown only if the party induced the infringement or the provided service is tailored to that infringement. </w:t>
      </w:r>
      <w:hyperlink r:id="rId43" w:anchor="co_pp_sp_780_930">
        <w:proofErr w:type="spellStart"/>
        <w:r w:rsidRPr="00A1043D">
          <w:rPr>
            <w:rFonts w:ascii="Georgia" w:hAnsi="Georgia"/>
            <w:i/>
            <w:color w:val="000000" w:themeColor="text1"/>
            <w:sz w:val="22"/>
            <w:szCs w:val="22"/>
          </w:rPr>
          <w:t>Grokster</w:t>
        </w:r>
        <w:proofErr w:type="spellEnd"/>
        <w:r w:rsidRPr="00A1043D">
          <w:rPr>
            <w:rFonts w:ascii="Georgia" w:hAnsi="Georgia"/>
            <w:color w:val="000000" w:themeColor="text1"/>
            <w:sz w:val="22"/>
            <w:szCs w:val="22"/>
          </w:rPr>
          <w:t>, 545 U.S., at 930</w:t>
        </w:r>
      </w:hyperlink>
      <w:r w:rsidRPr="00A1043D">
        <w:rPr>
          <w:rFonts w:ascii="Georgia" w:hAnsi="Georgia"/>
          <w:color w:val="000000" w:themeColor="text1"/>
          <w:sz w:val="22"/>
          <w:szCs w:val="22"/>
        </w:rPr>
        <w:t xml:space="preserve">; </w:t>
      </w:r>
      <w:hyperlink r:id="rId44" w:anchor="co_pp_sp_780_440">
        <w:r w:rsidRPr="00A1043D">
          <w:rPr>
            <w:rFonts w:ascii="Georgia" w:hAnsi="Georgia"/>
            <w:i/>
            <w:color w:val="000000" w:themeColor="text1"/>
            <w:sz w:val="22"/>
            <w:szCs w:val="22"/>
          </w:rPr>
          <w:t>Sony</w:t>
        </w:r>
        <w:r w:rsidRPr="00A1043D">
          <w:rPr>
            <w:rFonts w:ascii="Georgia" w:hAnsi="Georgia"/>
            <w:color w:val="000000" w:themeColor="text1"/>
            <w:sz w:val="22"/>
            <w:szCs w:val="22"/>
          </w:rPr>
          <w:t>, 464 U.S., at 440–441</w:t>
        </w:r>
      </w:hyperlink>
      <w:r w:rsidRPr="00A1043D">
        <w:rPr>
          <w:rFonts w:ascii="Georgia" w:hAnsi="Georgia"/>
          <w:color w:val="000000" w:themeColor="text1"/>
          <w:sz w:val="22"/>
          <w:szCs w:val="22"/>
        </w:rPr>
        <w:t>.</w:t>
      </w:r>
    </w:p>
    <w:p w14:paraId="6CB7922D"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596FA6C2" w14:textId="48144D86"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A provider induces infringement if it actively encourages infringement through specific acts. </w:t>
      </w:r>
      <w:hyperlink r:id="rId45" w:anchor="co_pp_sp_780_942">
        <w:proofErr w:type="spellStart"/>
        <w:r w:rsidRPr="00A1043D">
          <w:rPr>
            <w:rFonts w:ascii="Georgia" w:hAnsi="Georgia"/>
            <w:i/>
            <w:color w:val="000000" w:themeColor="text1"/>
            <w:sz w:val="22"/>
            <w:szCs w:val="22"/>
          </w:rPr>
          <w:t>Grokster</w:t>
        </w:r>
        <w:proofErr w:type="spellEnd"/>
        <w:r w:rsidRPr="00A1043D">
          <w:rPr>
            <w:rFonts w:ascii="Georgia" w:hAnsi="Georgia"/>
            <w:color w:val="000000" w:themeColor="text1"/>
            <w:sz w:val="22"/>
            <w:szCs w:val="22"/>
          </w:rPr>
          <w:t>, 545 U.S., at 942</w:t>
        </w:r>
        <w:r w:rsidR="00DF6D90" w:rsidRPr="00A1043D">
          <w:rPr>
            <w:rFonts w:ascii="Georgia" w:hAnsi="Georgia"/>
            <w:color w:val="000000" w:themeColor="text1"/>
            <w:sz w:val="22"/>
            <w:szCs w:val="22"/>
          </w:rPr>
          <w:t xml:space="preserve"> </w:t>
        </w:r>
      </w:hyperlink>
      <w:r w:rsidRPr="00A1043D">
        <w:rPr>
          <w:rFonts w:ascii="Georgia" w:hAnsi="Georgia"/>
          <w:color w:val="000000" w:themeColor="text1"/>
          <w:sz w:val="22"/>
          <w:szCs w:val="22"/>
        </w:rPr>
        <w:t xml:space="preserve">(Ginsburg, J., concurring). For example, in </w:t>
      </w:r>
      <w:hyperlink r:id="rId46">
        <w:proofErr w:type="spellStart"/>
        <w:r w:rsidRPr="00A1043D">
          <w:rPr>
            <w:rFonts w:ascii="Georgia" w:hAnsi="Georgia"/>
            <w:i/>
            <w:color w:val="000000" w:themeColor="text1"/>
            <w:sz w:val="22"/>
            <w:szCs w:val="22"/>
          </w:rPr>
          <w:t>Grokster</w:t>
        </w:r>
        <w:proofErr w:type="spellEnd"/>
      </w:hyperlink>
      <w:r w:rsidRPr="00A1043D">
        <w:rPr>
          <w:rFonts w:ascii="Georgia" w:hAnsi="Georgia"/>
          <w:color w:val="000000" w:themeColor="text1"/>
          <w:sz w:val="22"/>
          <w:szCs w:val="22"/>
        </w:rPr>
        <w:t xml:space="preserve">, we held that a jury could find two file-sharing software companies liable for inducement. </w:t>
      </w:r>
      <w:hyperlink r:id="rId47">
        <w:r w:rsidRPr="00A1043D">
          <w:rPr>
            <w:rFonts w:ascii="Georgia" w:hAnsi="Georgia"/>
            <w:i/>
            <w:color w:val="000000" w:themeColor="text1"/>
            <w:sz w:val="22"/>
            <w:szCs w:val="22"/>
          </w:rPr>
          <w:t>Id</w:t>
        </w:r>
        <w:r w:rsidRPr="00A1043D">
          <w:rPr>
            <w:rFonts w:ascii="Georgia" w:hAnsi="Georgia"/>
            <w:color w:val="000000" w:themeColor="text1"/>
            <w:sz w:val="22"/>
            <w:szCs w:val="22"/>
          </w:rPr>
          <w:t>., at 941</w:t>
        </w:r>
        <w:r w:rsidR="00DF6D90" w:rsidRPr="00A1043D">
          <w:rPr>
            <w:rFonts w:ascii="Georgia" w:hAnsi="Georgia"/>
            <w:color w:val="000000" w:themeColor="text1"/>
            <w:sz w:val="22"/>
            <w:szCs w:val="22"/>
          </w:rPr>
          <w:t xml:space="preserve"> </w:t>
        </w:r>
      </w:hyperlink>
      <w:r w:rsidRPr="00A1043D">
        <w:rPr>
          <w:rFonts w:ascii="Georgia" w:hAnsi="Georgia"/>
          <w:color w:val="000000" w:themeColor="text1"/>
          <w:sz w:val="22"/>
          <w:szCs w:val="22"/>
        </w:rPr>
        <w:t xml:space="preserve">(majority opinion). The companies promoted and marketed their software as a tool to infringe copyrights. </w:t>
      </w:r>
      <w:hyperlink r:id="rId48">
        <w:r w:rsidRPr="00A1043D">
          <w:rPr>
            <w:rFonts w:ascii="Georgia" w:hAnsi="Georgia"/>
            <w:i/>
            <w:color w:val="000000" w:themeColor="text1"/>
            <w:sz w:val="22"/>
            <w:szCs w:val="22"/>
          </w:rPr>
          <w:t>Id</w:t>
        </w:r>
        <w:r w:rsidRPr="00A1043D">
          <w:rPr>
            <w:rFonts w:ascii="Georgia" w:hAnsi="Georgia"/>
            <w:color w:val="000000" w:themeColor="text1"/>
            <w:sz w:val="22"/>
            <w:szCs w:val="22"/>
          </w:rPr>
          <w:t>., at 926</w:t>
        </w:r>
      </w:hyperlink>
      <w:r w:rsidRPr="00A1043D">
        <w:rPr>
          <w:rFonts w:ascii="Georgia" w:hAnsi="Georgia"/>
          <w:color w:val="000000" w:themeColor="text1"/>
          <w:sz w:val="22"/>
          <w:szCs w:val="22"/>
        </w:rPr>
        <w:t xml:space="preserve">. The “principal object” of their business models “was use of their software to download copyrighted works.” </w:t>
      </w:r>
      <w:hyperlink r:id="rId49">
        <w:r w:rsidRPr="00A1043D">
          <w:rPr>
            <w:rFonts w:ascii="Georgia" w:hAnsi="Georgia"/>
            <w:i/>
            <w:color w:val="000000" w:themeColor="text1"/>
            <w:sz w:val="22"/>
            <w:szCs w:val="22"/>
          </w:rPr>
          <w:t>Ibid</w:t>
        </w:r>
        <w:r w:rsidRPr="00A1043D">
          <w:rPr>
            <w:rFonts w:ascii="Georgia" w:hAnsi="Georgia"/>
            <w:color w:val="000000" w:themeColor="text1"/>
            <w:sz w:val="22"/>
            <w:szCs w:val="22"/>
          </w:rPr>
          <w:t>.</w:t>
        </w:r>
      </w:hyperlink>
      <w:r w:rsidRPr="00A1043D">
        <w:rPr>
          <w:rFonts w:ascii="Georgia" w:hAnsi="Georgia"/>
          <w:color w:val="000000" w:themeColor="text1"/>
          <w:sz w:val="22"/>
          <w:szCs w:val="22"/>
        </w:rPr>
        <w:t xml:space="preserve"> Other decisions have held providers liable for similar conduct. See </w:t>
      </w:r>
      <w:hyperlink r:id="rId50" w:anchor="co_pp_sp_780_62">
        <w:r w:rsidRPr="00A1043D">
          <w:rPr>
            <w:rFonts w:ascii="Georgia" w:hAnsi="Georgia"/>
            <w:i/>
            <w:color w:val="000000" w:themeColor="text1"/>
            <w:sz w:val="22"/>
            <w:szCs w:val="22"/>
          </w:rPr>
          <w:t>Kalem Co. v. Harper Brothers</w:t>
        </w:r>
        <w:r w:rsidRPr="00A1043D">
          <w:rPr>
            <w:rFonts w:ascii="Georgia" w:hAnsi="Georgia"/>
            <w:color w:val="000000" w:themeColor="text1"/>
            <w:sz w:val="22"/>
            <w:szCs w:val="22"/>
          </w:rPr>
          <w:t>, 222 U.S. 55, 62–63</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(1911)</w:t>
        </w:r>
      </w:hyperlink>
      <w:r w:rsidRPr="00A1043D">
        <w:rPr>
          <w:rFonts w:ascii="Georgia" w:hAnsi="Georgia"/>
          <w:color w:val="000000" w:themeColor="text1"/>
          <w:sz w:val="22"/>
          <w:szCs w:val="22"/>
        </w:rPr>
        <w:t xml:space="preserve"> (finding liability where “[t]he defendant not only expected but invoked by advertisement the use of its films” for infringement of an author's copyright); </w:t>
      </w:r>
      <w:hyperlink r:id="rId51" w:anchor="co_pp_sp_780_49">
        <w:r w:rsidRPr="00A1043D">
          <w:rPr>
            <w:rFonts w:ascii="Georgia" w:hAnsi="Georgia"/>
            <w:i/>
            <w:color w:val="000000" w:themeColor="text1"/>
            <w:sz w:val="22"/>
            <w:szCs w:val="22"/>
          </w:rPr>
          <w:t>Henry v. A. B. Dick Co.</w:t>
        </w:r>
        <w:r w:rsidRPr="00A1043D">
          <w:rPr>
            <w:rFonts w:ascii="Georgia" w:hAnsi="Georgia"/>
            <w:color w:val="000000" w:themeColor="text1"/>
            <w:sz w:val="22"/>
            <w:szCs w:val="22"/>
          </w:rPr>
          <w:t>, 224 U.S. 1, 49</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(1912)</w:t>
        </w:r>
      </w:hyperlink>
      <w:r w:rsidRPr="00A1043D">
        <w:rPr>
          <w:rFonts w:ascii="Georgia" w:hAnsi="Georgia"/>
          <w:color w:val="000000" w:themeColor="text1"/>
          <w:sz w:val="22"/>
          <w:szCs w:val="22"/>
        </w:rPr>
        <w:t xml:space="preserve"> (finding liability because the sale was made “with the purpose and intent” that the object be used for patent infringement), overruled on other grounds, </w:t>
      </w:r>
      <w:hyperlink r:id="rId52" w:anchor="co_pp_sp_780_518">
        <w:r w:rsidRPr="00A1043D">
          <w:rPr>
            <w:rFonts w:ascii="Georgia" w:hAnsi="Georgia"/>
            <w:i/>
            <w:color w:val="000000" w:themeColor="text1"/>
            <w:sz w:val="22"/>
            <w:szCs w:val="22"/>
          </w:rPr>
          <w:t>Motion Picture Patents Co. v. Universal Film Mfg. Co.</w:t>
        </w:r>
        <w:r w:rsidRPr="00A1043D">
          <w:rPr>
            <w:rFonts w:ascii="Georgia" w:hAnsi="Georgia"/>
            <w:color w:val="000000" w:themeColor="text1"/>
            <w:sz w:val="22"/>
            <w:szCs w:val="22"/>
          </w:rPr>
          <w:t>, 243 U.S. 502, 518</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(1917)</w:t>
        </w:r>
      </w:hyperlink>
      <w:r w:rsidRPr="00A1043D">
        <w:rPr>
          <w:rFonts w:ascii="Georgia" w:hAnsi="Georgia"/>
          <w:color w:val="000000" w:themeColor="text1"/>
          <w:sz w:val="22"/>
          <w:szCs w:val="22"/>
        </w:rPr>
        <w:t>.</w:t>
      </w:r>
    </w:p>
    <w:p w14:paraId="2B5D3539"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31CF8FE5" w14:textId="446929B3"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A service is tailored to infringement if it is “not capable of ‘substantial’ or ‘commercially significant’ </w:t>
      </w:r>
      <w:proofErr w:type="spellStart"/>
      <w:r w:rsidRPr="00A1043D">
        <w:rPr>
          <w:rFonts w:ascii="Georgia" w:hAnsi="Georgia"/>
          <w:color w:val="000000" w:themeColor="text1"/>
          <w:sz w:val="22"/>
          <w:szCs w:val="22"/>
        </w:rPr>
        <w:t>noninfringing</w:t>
      </w:r>
      <w:proofErr w:type="spellEnd"/>
      <w:r w:rsidRPr="00A1043D">
        <w:rPr>
          <w:rFonts w:ascii="Georgia" w:hAnsi="Georgia"/>
          <w:color w:val="000000" w:themeColor="text1"/>
          <w:sz w:val="22"/>
          <w:szCs w:val="22"/>
        </w:rPr>
        <w:t xml:space="preserve"> uses.” </w:t>
      </w:r>
      <w:hyperlink r:id="rId53" w:anchor="co_pp_sp_780_942">
        <w:proofErr w:type="spellStart"/>
        <w:r w:rsidRPr="00A1043D">
          <w:rPr>
            <w:rFonts w:ascii="Georgia" w:hAnsi="Georgia"/>
            <w:i/>
            <w:color w:val="000000" w:themeColor="text1"/>
            <w:sz w:val="22"/>
            <w:szCs w:val="22"/>
          </w:rPr>
          <w:t>Grokster</w:t>
        </w:r>
        <w:proofErr w:type="spellEnd"/>
        <w:r w:rsidRPr="00A1043D">
          <w:rPr>
            <w:rFonts w:ascii="Georgia" w:hAnsi="Georgia"/>
            <w:color w:val="000000" w:themeColor="text1"/>
            <w:sz w:val="22"/>
            <w:szCs w:val="22"/>
          </w:rPr>
          <w:t>, 545 U.S., at 942</w:t>
        </w:r>
        <w:r w:rsidR="00DF6D90" w:rsidRPr="00A1043D">
          <w:rPr>
            <w:rFonts w:ascii="Georgia" w:hAnsi="Georgia"/>
            <w:color w:val="000000" w:themeColor="text1"/>
            <w:sz w:val="22"/>
            <w:szCs w:val="22"/>
          </w:rPr>
          <w:t xml:space="preserve"> </w:t>
        </w:r>
      </w:hyperlink>
      <w:r w:rsidRPr="00A1043D">
        <w:rPr>
          <w:rFonts w:ascii="Georgia" w:hAnsi="Georgia"/>
          <w:color w:val="000000" w:themeColor="text1"/>
          <w:sz w:val="22"/>
          <w:szCs w:val="22"/>
        </w:rPr>
        <w:t xml:space="preserve"> (Ginsburg, J., concurring) (quoting </w:t>
      </w:r>
      <w:hyperlink r:id="rId54" w:anchor="co_pp_sp_780_442">
        <w:r w:rsidRPr="00A1043D">
          <w:rPr>
            <w:rFonts w:ascii="Georgia" w:hAnsi="Georgia"/>
            <w:i/>
            <w:color w:val="000000" w:themeColor="text1"/>
            <w:sz w:val="22"/>
            <w:szCs w:val="22"/>
          </w:rPr>
          <w:t>Sony</w:t>
        </w:r>
        <w:r w:rsidRPr="00A1043D">
          <w:rPr>
            <w:rFonts w:ascii="Georgia" w:hAnsi="Georgia"/>
            <w:color w:val="000000" w:themeColor="text1"/>
            <w:sz w:val="22"/>
            <w:szCs w:val="22"/>
          </w:rPr>
          <w:t>, 464 U.S., at 442</w:t>
        </w:r>
      </w:hyperlink>
      <w:r w:rsidRPr="00A1043D">
        <w:rPr>
          <w:rFonts w:ascii="Georgia" w:hAnsi="Georgia"/>
          <w:color w:val="000000" w:themeColor="text1"/>
          <w:sz w:val="22"/>
          <w:szCs w:val="22"/>
        </w:rPr>
        <w:t xml:space="preserve">). In </w:t>
      </w:r>
      <w:hyperlink r:id="rId55">
        <w:r w:rsidRPr="00A1043D">
          <w:rPr>
            <w:rFonts w:ascii="Georgia" w:hAnsi="Georgia"/>
            <w:i/>
            <w:color w:val="000000" w:themeColor="text1"/>
            <w:sz w:val="22"/>
            <w:szCs w:val="22"/>
          </w:rPr>
          <w:t>Sony</w:t>
        </w:r>
      </w:hyperlink>
      <w:r w:rsidRPr="00A1043D">
        <w:rPr>
          <w:rFonts w:ascii="Georgia" w:hAnsi="Georgia"/>
          <w:color w:val="000000" w:themeColor="text1"/>
          <w:sz w:val="22"/>
          <w:szCs w:val="22"/>
        </w:rPr>
        <w:t xml:space="preserve">, copyright owners sued the maker and the retailers of the Betamax video tape recorder. </w:t>
      </w:r>
      <w:hyperlink r:id="rId56">
        <w:r w:rsidRPr="00A1043D">
          <w:rPr>
            <w:rFonts w:ascii="Georgia" w:hAnsi="Georgia"/>
            <w:i/>
            <w:color w:val="000000" w:themeColor="text1"/>
            <w:sz w:val="22"/>
            <w:szCs w:val="22"/>
          </w:rPr>
          <w:t>Id</w:t>
        </w:r>
        <w:r w:rsidRPr="00A1043D">
          <w:rPr>
            <w:rFonts w:ascii="Georgia" w:hAnsi="Georgia"/>
            <w:color w:val="000000" w:themeColor="text1"/>
            <w:sz w:val="22"/>
            <w:szCs w:val="22"/>
          </w:rPr>
          <w:t>., at 422</w:t>
        </w:r>
      </w:hyperlink>
      <w:r w:rsidRPr="00A1043D">
        <w:rPr>
          <w:rFonts w:ascii="Georgia" w:hAnsi="Georgia"/>
          <w:color w:val="000000" w:themeColor="text1"/>
          <w:sz w:val="22"/>
          <w:szCs w:val="22"/>
        </w:rPr>
        <w:t xml:space="preserve">. The tape recorder could be used to record copyrighted television programs for later personal viewing, which would not constitute infringement. </w:t>
      </w:r>
      <w:hyperlink r:id="rId57">
        <w:r w:rsidRPr="00A1043D">
          <w:rPr>
            <w:rFonts w:ascii="Georgia" w:hAnsi="Georgia"/>
            <w:i/>
            <w:color w:val="000000" w:themeColor="text1"/>
            <w:sz w:val="22"/>
            <w:szCs w:val="22"/>
          </w:rPr>
          <w:t>Id.</w:t>
        </w:r>
        <w:r w:rsidRPr="00A1043D">
          <w:rPr>
            <w:rFonts w:ascii="Georgia" w:hAnsi="Georgia"/>
            <w:color w:val="000000" w:themeColor="text1"/>
            <w:sz w:val="22"/>
            <w:szCs w:val="22"/>
          </w:rPr>
          <w:t>, at 449</w:t>
        </w:r>
      </w:hyperlink>
      <w:r w:rsidRPr="00A1043D">
        <w:rPr>
          <w:rFonts w:ascii="Georgia" w:hAnsi="Georgia"/>
          <w:color w:val="000000" w:themeColor="text1"/>
          <w:sz w:val="22"/>
          <w:szCs w:val="22"/>
        </w:rPr>
        <w:t xml:space="preserve">. On the other hand, it could also be used to reproduce and sell copyrighted television programming, which would constitute infringement. </w:t>
      </w:r>
      <w:hyperlink r:id="rId58">
        <w:r w:rsidRPr="00A1043D">
          <w:rPr>
            <w:rFonts w:ascii="Georgia" w:hAnsi="Georgia"/>
            <w:i/>
            <w:color w:val="000000" w:themeColor="text1"/>
            <w:sz w:val="22"/>
            <w:szCs w:val="22"/>
          </w:rPr>
          <w:t xml:space="preserve">Ibid. </w:t>
        </w:r>
      </w:hyperlink>
      <w:r w:rsidRPr="00A1043D">
        <w:rPr>
          <w:rFonts w:ascii="Georgia" w:hAnsi="Georgia"/>
          <w:color w:val="000000" w:themeColor="text1"/>
          <w:sz w:val="22"/>
          <w:szCs w:val="22"/>
        </w:rPr>
        <w:t xml:space="preserve">The lower court found the Betamax maker liable because the tape recorder was “not suitable for any substantial </w:t>
      </w:r>
      <w:proofErr w:type="spellStart"/>
      <w:r w:rsidRPr="00A1043D">
        <w:rPr>
          <w:rFonts w:ascii="Georgia" w:hAnsi="Georgia"/>
          <w:color w:val="000000" w:themeColor="text1"/>
          <w:sz w:val="22"/>
          <w:szCs w:val="22"/>
        </w:rPr>
        <w:t>noninfringing</w:t>
      </w:r>
      <w:proofErr w:type="spellEnd"/>
      <w:r w:rsidRPr="00A1043D">
        <w:rPr>
          <w:rFonts w:ascii="Georgia" w:hAnsi="Georgia"/>
          <w:color w:val="000000" w:themeColor="text1"/>
          <w:sz w:val="22"/>
          <w:szCs w:val="22"/>
        </w:rPr>
        <w:t xml:space="preserve"> use” and infringement “was either the most conspicuous use or the major use of the Betamax product.” </w:t>
      </w:r>
      <w:hyperlink r:id="rId59">
        <w:r w:rsidRPr="00A1043D">
          <w:rPr>
            <w:rFonts w:ascii="Georgia" w:hAnsi="Georgia"/>
            <w:i/>
            <w:color w:val="000000" w:themeColor="text1"/>
            <w:sz w:val="22"/>
            <w:szCs w:val="22"/>
          </w:rPr>
          <w:t>Id</w:t>
        </w:r>
        <w:r w:rsidRPr="00A1043D">
          <w:rPr>
            <w:rFonts w:ascii="Georgia" w:hAnsi="Georgia"/>
            <w:color w:val="000000" w:themeColor="text1"/>
            <w:sz w:val="22"/>
            <w:szCs w:val="22"/>
          </w:rPr>
          <w:t>., at 428</w:t>
        </w:r>
        <w:r w:rsidR="00DF6D90" w:rsidRPr="00A1043D">
          <w:rPr>
            <w:rFonts w:ascii="Georgia" w:hAnsi="Georgia"/>
            <w:color w:val="000000" w:themeColor="text1"/>
            <w:sz w:val="22"/>
            <w:szCs w:val="22"/>
          </w:rPr>
          <w:t xml:space="preserve"> </w:t>
        </w:r>
      </w:hyperlink>
      <w:r w:rsidRPr="00A1043D">
        <w:rPr>
          <w:rFonts w:ascii="Georgia" w:hAnsi="Georgia"/>
          <w:color w:val="000000" w:themeColor="text1"/>
          <w:sz w:val="22"/>
          <w:szCs w:val="22"/>
        </w:rPr>
        <w:t xml:space="preserve"> (internal quotation marks omitted). This Court reversed, concluding that “[t]he Betamax is ... capable of substantial </w:t>
      </w:r>
      <w:proofErr w:type="spellStart"/>
      <w:r w:rsidRPr="00A1043D">
        <w:rPr>
          <w:rFonts w:ascii="Georgia" w:hAnsi="Georgia"/>
          <w:color w:val="000000" w:themeColor="text1"/>
          <w:sz w:val="22"/>
          <w:szCs w:val="22"/>
        </w:rPr>
        <w:t>noninfringing</w:t>
      </w:r>
      <w:proofErr w:type="spellEnd"/>
      <w:r w:rsidRPr="00A1043D">
        <w:rPr>
          <w:rFonts w:ascii="Georgia" w:hAnsi="Georgia"/>
          <w:color w:val="000000" w:themeColor="text1"/>
          <w:sz w:val="22"/>
          <w:szCs w:val="22"/>
        </w:rPr>
        <w:t xml:space="preserve"> uses”—like personal use—so “sale of such equipment to the general public does not constitute contributory infringement.” </w:t>
      </w:r>
      <w:hyperlink r:id="rId60">
        <w:r w:rsidRPr="00A1043D">
          <w:rPr>
            <w:rFonts w:ascii="Georgia" w:hAnsi="Georgia"/>
            <w:i/>
            <w:color w:val="000000" w:themeColor="text1"/>
            <w:sz w:val="22"/>
            <w:szCs w:val="22"/>
          </w:rPr>
          <w:t>Id</w:t>
        </w:r>
        <w:r w:rsidRPr="00A1043D">
          <w:rPr>
            <w:rFonts w:ascii="Georgia" w:hAnsi="Georgia"/>
            <w:color w:val="000000" w:themeColor="text1"/>
            <w:sz w:val="22"/>
            <w:szCs w:val="22"/>
          </w:rPr>
          <w:t>., at 456</w:t>
        </w:r>
      </w:hyperlink>
      <w:r w:rsidRPr="00A1043D">
        <w:rPr>
          <w:rFonts w:ascii="Georgia" w:hAnsi="Georgia"/>
          <w:color w:val="000000" w:themeColor="text1"/>
          <w:sz w:val="22"/>
          <w:szCs w:val="22"/>
        </w:rPr>
        <w:t>.</w:t>
      </w:r>
    </w:p>
    <w:p w14:paraId="02D002E9"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lastRenderedPageBreak/>
        <w:t> </w:t>
      </w:r>
    </w:p>
    <w:p w14:paraId="010C5966" w14:textId="70187FB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These two forms of contributory infringement track patent law. See </w:t>
      </w:r>
      <w:hyperlink r:id="rId61" w:anchor="co_pp_sp_780_942">
        <w:proofErr w:type="spellStart"/>
        <w:r w:rsidRPr="00A1043D">
          <w:rPr>
            <w:rFonts w:ascii="Georgia" w:hAnsi="Georgia"/>
            <w:i/>
            <w:color w:val="000000" w:themeColor="text1"/>
            <w:sz w:val="22"/>
            <w:szCs w:val="22"/>
          </w:rPr>
          <w:t>Grokster</w:t>
        </w:r>
        <w:proofErr w:type="spellEnd"/>
        <w:r w:rsidRPr="00A1043D">
          <w:rPr>
            <w:rFonts w:ascii="Georgia" w:hAnsi="Georgia"/>
            <w:color w:val="000000" w:themeColor="text1"/>
            <w:sz w:val="22"/>
            <w:szCs w:val="22"/>
          </w:rPr>
          <w:t>, 545 U.S., at 942</w:t>
        </w:r>
        <w:r w:rsidR="00DF6D90" w:rsidRPr="00A1043D">
          <w:rPr>
            <w:rFonts w:ascii="Georgia" w:hAnsi="Georgia"/>
            <w:color w:val="000000" w:themeColor="text1"/>
            <w:sz w:val="22"/>
            <w:szCs w:val="22"/>
          </w:rPr>
          <w:t xml:space="preserve"> </w:t>
        </w:r>
      </w:hyperlink>
      <w:r w:rsidRPr="00A1043D">
        <w:rPr>
          <w:rFonts w:ascii="Georgia" w:hAnsi="Georgia"/>
          <w:color w:val="000000" w:themeColor="text1"/>
          <w:sz w:val="22"/>
          <w:szCs w:val="22"/>
        </w:rPr>
        <w:t xml:space="preserve">(Ginsburg, J., concurring). Under </w:t>
      </w:r>
      <w:hyperlink r:id="rId62" w:anchor="co_pp_a83b000018c76">
        <w:r w:rsidRPr="00A1043D">
          <w:rPr>
            <w:rFonts w:ascii="Georgia" w:hAnsi="Georgia"/>
            <w:color w:val="000000" w:themeColor="text1"/>
            <w:sz w:val="22"/>
            <w:szCs w:val="22"/>
          </w:rPr>
          <w:t>35 U.S.C. § 271(b)</w:t>
        </w:r>
      </w:hyperlink>
      <w:r w:rsidRPr="00A1043D">
        <w:rPr>
          <w:rFonts w:ascii="Georgia" w:hAnsi="Georgia"/>
          <w:color w:val="000000" w:themeColor="text1"/>
          <w:sz w:val="22"/>
          <w:szCs w:val="22"/>
        </w:rPr>
        <w:t>, “[w]</w:t>
      </w:r>
      <w:proofErr w:type="spellStart"/>
      <w:r w:rsidRPr="00A1043D">
        <w:rPr>
          <w:rFonts w:ascii="Georgia" w:hAnsi="Georgia"/>
          <w:color w:val="000000" w:themeColor="text1"/>
          <w:sz w:val="22"/>
          <w:szCs w:val="22"/>
        </w:rPr>
        <w:t>hoever</w:t>
      </w:r>
      <w:proofErr w:type="spellEnd"/>
      <w:r w:rsidRPr="00A1043D">
        <w:rPr>
          <w:rFonts w:ascii="Georgia" w:hAnsi="Georgia"/>
          <w:color w:val="000000" w:themeColor="text1"/>
          <w:sz w:val="22"/>
          <w:szCs w:val="22"/>
        </w:rPr>
        <w:t xml:space="preserve"> actively induces infringement of a patent shall be liable as an infringer.” Such liability requires that the party express “an affirmative intent that the product be used to infringe.” </w:t>
      </w:r>
      <w:hyperlink r:id="rId63" w:anchor="co_pp_sp_780_936">
        <w:proofErr w:type="spellStart"/>
        <w:r w:rsidRPr="00A1043D">
          <w:rPr>
            <w:rFonts w:ascii="Georgia" w:hAnsi="Georgia"/>
            <w:i/>
            <w:color w:val="000000" w:themeColor="text1"/>
            <w:sz w:val="22"/>
            <w:szCs w:val="22"/>
          </w:rPr>
          <w:t>Grokster</w:t>
        </w:r>
        <w:proofErr w:type="spellEnd"/>
        <w:r w:rsidRPr="00A1043D">
          <w:rPr>
            <w:rFonts w:ascii="Georgia" w:hAnsi="Georgia"/>
            <w:color w:val="000000" w:themeColor="text1"/>
            <w:sz w:val="22"/>
            <w:szCs w:val="22"/>
          </w:rPr>
          <w:t>, 545 U.S., at 936</w:t>
        </w:r>
      </w:hyperlink>
      <w:r w:rsidRPr="00A1043D">
        <w:rPr>
          <w:rFonts w:ascii="Georgia" w:hAnsi="Georgia"/>
          <w:color w:val="000000" w:themeColor="text1"/>
          <w:sz w:val="22"/>
          <w:szCs w:val="22"/>
        </w:rPr>
        <w:t xml:space="preserve">. Under </w:t>
      </w:r>
      <w:hyperlink r:id="rId64" w:anchor="co_pp_4b24000003ba5">
        <w:r w:rsidRPr="00A1043D">
          <w:rPr>
            <w:rFonts w:ascii="Georgia" w:hAnsi="Georgia"/>
            <w:color w:val="000000" w:themeColor="text1"/>
            <w:sz w:val="22"/>
            <w:szCs w:val="22"/>
          </w:rPr>
          <w:t>§ 271(c)</w:t>
        </w:r>
      </w:hyperlink>
      <w:r w:rsidRPr="00A1043D">
        <w:rPr>
          <w:rFonts w:ascii="Georgia" w:hAnsi="Georgia"/>
          <w:color w:val="000000" w:themeColor="text1"/>
          <w:sz w:val="22"/>
          <w:szCs w:val="22"/>
        </w:rPr>
        <w:t>, a party is liable when it sells a product used for infringement “knowing the same to be especially made or especially adapted for use in an infringement of such patent.”</w:t>
      </w:r>
    </w:p>
    <w:p w14:paraId="51CE4CBD"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7262BF59" w14:textId="0CC29B24"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This Court has repeatedly made clear that mere knowledge that a service will be used to infringe is insufficient to establish the required intent to infringe. In </w:t>
      </w:r>
      <w:hyperlink r:id="rId65">
        <w:r w:rsidRPr="00A1043D">
          <w:rPr>
            <w:rFonts w:ascii="Georgia" w:hAnsi="Georgia"/>
            <w:i/>
            <w:color w:val="000000" w:themeColor="text1"/>
            <w:sz w:val="22"/>
            <w:szCs w:val="22"/>
          </w:rPr>
          <w:t>Kalem Co.</w:t>
        </w:r>
      </w:hyperlink>
      <w:r w:rsidRPr="00A1043D">
        <w:rPr>
          <w:rFonts w:ascii="Georgia" w:hAnsi="Georgia"/>
          <w:color w:val="000000" w:themeColor="text1"/>
          <w:sz w:val="22"/>
          <w:szCs w:val="22"/>
        </w:rPr>
        <w:t xml:space="preserve">, the Court explained that “mere indifferent supposition or knowledge on the part of the seller” that the buyer will use the product unlawfully is “not enough” to make the seller liable for the buyer's conduct. </w:t>
      </w:r>
      <w:hyperlink r:id="rId66" w:anchor="co_pp_sp_780_62">
        <w:r w:rsidRPr="00A1043D">
          <w:rPr>
            <w:rFonts w:ascii="Georgia" w:hAnsi="Georgia"/>
            <w:color w:val="000000" w:themeColor="text1"/>
            <w:sz w:val="22"/>
            <w:szCs w:val="22"/>
          </w:rPr>
          <w:t>222 U.S., at 62</w:t>
        </w:r>
      </w:hyperlink>
      <w:r w:rsidRPr="00A1043D">
        <w:rPr>
          <w:rFonts w:ascii="Georgia" w:hAnsi="Georgia"/>
          <w:color w:val="000000" w:themeColor="text1"/>
          <w:sz w:val="22"/>
          <w:szCs w:val="22"/>
        </w:rPr>
        <w:t xml:space="preserve">. In </w:t>
      </w:r>
      <w:hyperlink r:id="rId67">
        <w:r w:rsidRPr="00A1043D">
          <w:rPr>
            <w:rFonts w:ascii="Georgia" w:hAnsi="Georgia"/>
            <w:i/>
            <w:color w:val="000000" w:themeColor="text1"/>
            <w:sz w:val="22"/>
            <w:szCs w:val="22"/>
          </w:rPr>
          <w:t>Sony</w:t>
        </w:r>
      </w:hyperlink>
      <w:r w:rsidRPr="00A1043D">
        <w:rPr>
          <w:rFonts w:ascii="Georgia" w:hAnsi="Georgia"/>
          <w:color w:val="000000" w:themeColor="text1"/>
          <w:sz w:val="22"/>
          <w:szCs w:val="22"/>
        </w:rPr>
        <w:t xml:space="preserve">, the Court explained that “[t]here is no precedent in the law of copyright” for liability based only “on the fact that [the defendant] has sold equipment with constructive knowledge of the fact that its customers may use that equipment to make unauthorized copies of copyrighted material.” </w:t>
      </w:r>
      <w:hyperlink r:id="rId68" w:anchor="co_pp_sp_780_439">
        <w:r w:rsidRPr="00A1043D">
          <w:rPr>
            <w:rFonts w:ascii="Georgia" w:hAnsi="Georgia"/>
            <w:color w:val="000000" w:themeColor="text1"/>
            <w:sz w:val="22"/>
            <w:szCs w:val="22"/>
          </w:rPr>
          <w:t>464 U.S., at 439</w:t>
        </w:r>
      </w:hyperlink>
      <w:r w:rsidRPr="00A1043D">
        <w:rPr>
          <w:rFonts w:ascii="Georgia" w:hAnsi="Georgia"/>
          <w:color w:val="000000" w:themeColor="text1"/>
          <w:sz w:val="22"/>
          <w:szCs w:val="22"/>
        </w:rPr>
        <w:t xml:space="preserve">. And, in </w:t>
      </w:r>
      <w:hyperlink r:id="rId69">
        <w:proofErr w:type="spellStart"/>
        <w:r w:rsidRPr="00A1043D">
          <w:rPr>
            <w:rFonts w:ascii="Georgia" w:hAnsi="Georgia"/>
            <w:i/>
            <w:color w:val="000000" w:themeColor="text1"/>
            <w:sz w:val="22"/>
            <w:szCs w:val="22"/>
          </w:rPr>
          <w:t>Grokster</w:t>
        </w:r>
        <w:proofErr w:type="spellEnd"/>
      </w:hyperlink>
      <w:r w:rsidRPr="00A1043D">
        <w:rPr>
          <w:rFonts w:ascii="Georgia" w:hAnsi="Georgia"/>
          <w:color w:val="000000" w:themeColor="text1"/>
          <w:sz w:val="22"/>
          <w:szCs w:val="22"/>
        </w:rPr>
        <w:t xml:space="preserve">, the Court confirmed that “a court would be unable to find contributory infringement liability merely based on a failure to take affirmative steps to prevent infringement.” </w:t>
      </w:r>
      <w:hyperlink r:id="rId70" w:anchor="co_pp_sp_780_939">
        <w:r w:rsidRPr="00A1043D">
          <w:rPr>
            <w:rFonts w:ascii="Georgia" w:hAnsi="Georgia"/>
            <w:color w:val="000000" w:themeColor="text1"/>
            <w:sz w:val="22"/>
            <w:szCs w:val="22"/>
          </w:rPr>
          <w:t>545 U.S., at 939, n. 12</w:t>
        </w:r>
      </w:hyperlink>
      <w:r w:rsidRPr="00A1043D">
        <w:rPr>
          <w:rFonts w:ascii="Georgia" w:hAnsi="Georgia"/>
          <w:color w:val="000000" w:themeColor="text1"/>
          <w:sz w:val="22"/>
          <w:szCs w:val="22"/>
        </w:rPr>
        <w:t>.</w:t>
      </w:r>
    </w:p>
    <w:p w14:paraId="5153BE7B"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14BF45FC" w14:textId="77777777" w:rsidR="00F17340" w:rsidRPr="00A1043D" w:rsidRDefault="00000000" w:rsidP="0097443B">
      <w:pPr>
        <w:spacing w:after="0" w:line="240" w:lineRule="auto"/>
        <w:jc w:val="center"/>
        <w:rPr>
          <w:rFonts w:ascii="Georgia" w:hAnsi="Georgia"/>
          <w:color w:val="000000" w:themeColor="text1"/>
          <w:sz w:val="22"/>
          <w:szCs w:val="22"/>
        </w:rPr>
      </w:pPr>
      <w:bookmarkStart w:id="12" w:name="co_anchor_Ieac304e12c9311f19f84ca1ed0fc"/>
      <w:r w:rsidRPr="00A1043D">
        <w:rPr>
          <w:rFonts w:ascii="Georgia" w:hAnsi="Georgia"/>
          <w:color w:val="000000" w:themeColor="text1"/>
          <w:sz w:val="22"/>
          <w:szCs w:val="22"/>
        </w:rPr>
        <w:t>III</w:t>
      </w:r>
    </w:p>
    <w:p w14:paraId="215AAEC1" w14:textId="77777777" w:rsidR="0097443B" w:rsidRPr="00A1043D" w:rsidRDefault="0097443B" w:rsidP="0097443B">
      <w:pPr>
        <w:spacing w:after="0" w:line="240" w:lineRule="auto"/>
        <w:ind w:firstLine="720"/>
        <w:jc w:val="both"/>
        <w:rPr>
          <w:rFonts w:ascii="Georgia" w:hAnsi="Georgia"/>
          <w:b/>
          <w:color w:val="000000" w:themeColor="text1"/>
          <w:sz w:val="22"/>
          <w:szCs w:val="22"/>
        </w:rPr>
      </w:pPr>
      <w:bookmarkStart w:id="13" w:name="co_pp_sp_999_7_1"/>
      <w:bookmarkEnd w:id="12"/>
    </w:p>
    <w:bookmarkEnd w:id="13"/>
    <w:p w14:paraId="08EC8B19" w14:textId="04D1A801"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Thus, Cox is not contributorily liable for the infringement of Sony's copyrights. Cox provided Internet service to its subscribers, but it did not intend for that service to be used to commit copyright infringement. Holding Cox liable merely for failing to terminate Internet service to infringing accounts would expand secondary copyright liability beyond our precedents.</w:t>
      </w:r>
    </w:p>
    <w:p w14:paraId="75A0FA8C"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3BB8BD1A" w14:textId="34F30E1F"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Cox neither induced its users’ infringement nor provided a service tailored to infringement. As for inducement, Cox did not “induce” or “encourage” its subscribers to infringe in any manner. </w:t>
      </w:r>
      <w:hyperlink r:id="rId71" w:anchor="co_pp_sp_708_930">
        <w:r w:rsidRPr="00A1043D">
          <w:rPr>
            <w:rFonts w:ascii="Georgia" w:hAnsi="Georgia"/>
            <w:i/>
            <w:color w:val="000000" w:themeColor="text1"/>
            <w:sz w:val="22"/>
            <w:szCs w:val="22"/>
          </w:rPr>
          <w:t>Id</w:t>
        </w:r>
        <w:r w:rsidRPr="00A1043D">
          <w:rPr>
            <w:rFonts w:ascii="Georgia" w:hAnsi="Georgia"/>
            <w:color w:val="000000" w:themeColor="text1"/>
            <w:sz w:val="22"/>
            <w:szCs w:val="22"/>
          </w:rPr>
          <w:t>., at 930</w:t>
        </w:r>
      </w:hyperlink>
      <w:r w:rsidRPr="00A1043D">
        <w:rPr>
          <w:rFonts w:ascii="Georgia" w:hAnsi="Georgia"/>
          <w:color w:val="000000" w:themeColor="text1"/>
          <w:sz w:val="22"/>
          <w:szCs w:val="22"/>
        </w:rPr>
        <w:t xml:space="preserve">. Sony provided no “evidence of express promotion, marketing, and intent to promote” infringement. </w:t>
      </w:r>
      <w:hyperlink r:id="rId72" w:anchor="co_pp_sp_708_926">
        <w:r w:rsidRPr="00A1043D">
          <w:rPr>
            <w:rFonts w:ascii="Georgia" w:hAnsi="Georgia"/>
            <w:i/>
            <w:color w:val="000000" w:themeColor="text1"/>
            <w:sz w:val="22"/>
            <w:szCs w:val="22"/>
          </w:rPr>
          <w:t>Id</w:t>
        </w:r>
        <w:r w:rsidRPr="00A1043D">
          <w:rPr>
            <w:rFonts w:ascii="Georgia" w:hAnsi="Georgia"/>
            <w:color w:val="000000" w:themeColor="text1"/>
            <w:sz w:val="22"/>
            <w:szCs w:val="22"/>
          </w:rPr>
          <w:t>., at 926</w:t>
        </w:r>
      </w:hyperlink>
      <w:r w:rsidRPr="00A1043D">
        <w:rPr>
          <w:rFonts w:ascii="Georgia" w:hAnsi="Georgia"/>
          <w:color w:val="000000" w:themeColor="text1"/>
          <w:sz w:val="22"/>
          <w:szCs w:val="22"/>
        </w:rPr>
        <w:t xml:space="preserve">. </w:t>
      </w:r>
      <w:proofErr w:type="gramStart"/>
      <w:r w:rsidRPr="00A1043D">
        <w:rPr>
          <w:rFonts w:ascii="Georgia" w:hAnsi="Georgia"/>
          <w:color w:val="000000" w:themeColor="text1"/>
          <w:sz w:val="22"/>
          <w:szCs w:val="22"/>
        </w:rPr>
        <w:t>And,</w:t>
      </w:r>
      <w:proofErr w:type="gramEnd"/>
      <w:r w:rsidRPr="00A1043D">
        <w:rPr>
          <w:rFonts w:ascii="Georgia" w:hAnsi="Georgia"/>
          <w:color w:val="000000" w:themeColor="text1"/>
          <w:sz w:val="22"/>
          <w:szCs w:val="22"/>
        </w:rPr>
        <w:t xml:space="preserve"> Cox repeatedly discouraged copyright infringement by sending warnings, suspending services, and terminating accounts. As for providing a service tailored to infringement, Cox's Internet service was clearly “capable of ‘substantial’ or ‘commercially significant’ </w:t>
      </w:r>
      <w:proofErr w:type="spellStart"/>
      <w:r w:rsidRPr="00A1043D">
        <w:rPr>
          <w:rFonts w:ascii="Georgia" w:hAnsi="Georgia"/>
          <w:color w:val="000000" w:themeColor="text1"/>
          <w:sz w:val="22"/>
          <w:szCs w:val="22"/>
        </w:rPr>
        <w:t>noninfringing</w:t>
      </w:r>
      <w:proofErr w:type="spellEnd"/>
      <w:r w:rsidRPr="00A1043D">
        <w:rPr>
          <w:rFonts w:ascii="Georgia" w:hAnsi="Georgia"/>
          <w:color w:val="000000" w:themeColor="text1"/>
          <w:sz w:val="22"/>
          <w:szCs w:val="22"/>
        </w:rPr>
        <w:t xml:space="preserve"> uses.” </w:t>
      </w:r>
      <w:hyperlink r:id="rId73" w:anchor="co_pp_sp_708_942">
        <w:r w:rsidRPr="00A1043D">
          <w:rPr>
            <w:rFonts w:ascii="Georgia" w:hAnsi="Georgia"/>
            <w:i/>
            <w:color w:val="000000" w:themeColor="text1"/>
            <w:sz w:val="22"/>
            <w:szCs w:val="22"/>
          </w:rPr>
          <w:t>Id</w:t>
        </w:r>
        <w:r w:rsidRPr="00A1043D">
          <w:rPr>
            <w:rFonts w:ascii="Georgia" w:hAnsi="Georgia"/>
            <w:color w:val="000000" w:themeColor="text1"/>
            <w:sz w:val="22"/>
            <w:szCs w:val="22"/>
          </w:rPr>
          <w:t>., at 942</w:t>
        </w:r>
        <w:r w:rsidR="00DF6D90" w:rsidRPr="00A1043D">
          <w:rPr>
            <w:rFonts w:ascii="Georgia" w:hAnsi="Georgia"/>
            <w:color w:val="000000" w:themeColor="text1"/>
            <w:sz w:val="22"/>
            <w:szCs w:val="22"/>
          </w:rPr>
          <w:t xml:space="preserve"> </w:t>
        </w:r>
      </w:hyperlink>
      <w:r w:rsidRPr="00A1043D">
        <w:rPr>
          <w:rFonts w:ascii="Georgia" w:hAnsi="Georgia"/>
          <w:color w:val="000000" w:themeColor="text1"/>
          <w:sz w:val="22"/>
          <w:szCs w:val="22"/>
        </w:rPr>
        <w:t>(Ginsburg, J., concurring). Cox did not tailor its service to make copyright infringement easier. Cox simply provided Internet access, which is used for many purposes other than copyright infringement.</w:t>
      </w:r>
    </w:p>
    <w:p w14:paraId="393B6C2E"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37B20378" w14:textId="1E119810"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Fourth Circuit found otherwise based only on its Circuit precedent establishing a new form of contributory liability. The court did not suggest that Cox induced its users to infringe. </w:t>
      </w:r>
      <w:hyperlink r:id="rId74" w:anchor="co_pp_sp_8173_235">
        <w:r w:rsidRPr="00A1043D">
          <w:rPr>
            <w:rFonts w:ascii="Georgia" w:hAnsi="Georgia"/>
            <w:color w:val="000000" w:themeColor="text1"/>
            <w:sz w:val="22"/>
            <w:szCs w:val="22"/>
          </w:rPr>
          <w:t>93 F.4th at 235, n. 4</w:t>
        </w:r>
      </w:hyperlink>
      <w:r w:rsidRPr="00A1043D">
        <w:rPr>
          <w:rFonts w:ascii="Georgia" w:hAnsi="Georgia"/>
          <w:color w:val="000000" w:themeColor="text1"/>
          <w:sz w:val="22"/>
          <w:szCs w:val="22"/>
        </w:rPr>
        <w:t xml:space="preserve">. </w:t>
      </w:r>
      <w:proofErr w:type="gramStart"/>
      <w:r w:rsidRPr="00A1043D">
        <w:rPr>
          <w:rFonts w:ascii="Georgia" w:hAnsi="Georgia"/>
          <w:color w:val="000000" w:themeColor="text1"/>
          <w:sz w:val="22"/>
          <w:szCs w:val="22"/>
        </w:rPr>
        <w:t>And,</w:t>
      </w:r>
      <w:proofErr w:type="gramEnd"/>
      <w:r w:rsidRPr="00A1043D">
        <w:rPr>
          <w:rFonts w:ascii="Georgia" w:hAnsi="Georgia"/>
          <w:color w:val="000000" w:themeColor="text1"/>
          <w:sz w:val="22"/>
          <w:szCs w:val="22"/>
        </w:rPr>
        <w:t xml:space="preserve"> it did not deny that </w:t>
      </w:r>
      <w:r w:rsidRPr="00A1043D">
        <w:rPr>
          <w:rFonts w:ascii="Georgia" w:hAnsi="Georgia"/>
          <w:color w:val="000000" w:themeColor="text1"/>
          <w:sz w:val="22"/>
          <w:szCs w:val="22"/>
        </w:rPr>
        <w:lastRenderedPageBreak/>
        <w:t xml:space="preserve">Cox's service was “capable of substantial lawful use and not designed to promote infringement.” </w:t>
      </w:r>
      <w:hyperlink r:id="rId75" w:anchor="co_pp_sp_8173_236">
        <w:r w:rsidRPr="00A1043D">
          <w:rPr>
            <w:rFonts w:ascii="Georgia" w:hAnsi="Georgia"/>
            <w:i/>
            <w:color w:val="000000" w:themeColor="text1"/>
            <w:sz w:val="22"/>
            <w:szCs w:val="22"/>
          </w:rPr>
          <w:t>Id.</w:t>
        </w:r>
        <w:r w:rsidRPr="00A1043D">
          <w:rPr>
            <w:rFonts w:ascii="Georgia" w:hAnsi="Georgia"/>
            <w:color w:val="000000" w:themeColor="text1"/>
            <w:sz w:val="22"/>
            <w:szCs w:val="22"/>
          </w:rPr>
          <w:t>, at 236</w:t>
        </w:r>
      </w:hyperlink>
      <w:r w:rsidRPr="00A1043D">
        <w:rPr>
          <w:rFonts w:ascii="Georgia" w:hAnsi="Georgia"/>
          <w:color w:val="000000" w:themeColor="text1"/>
          <w:sz w:val="22"/>
          <w:szCs w:val="22"/>
        </w:rPr>
        <w:t xml:space="preserve">. Rather, the court held that “supplying a product with knowledge that the recipient will use it to infringe copyrights is ... sufficient for contributory infringement.” </w:t>
      </w:r>
      <w:hyperlink r:id="rId76">
        <w:r w:rsidRPr="00A1043D">
          <w:rPr>
            <w:rFonts w:ascii="Georgia" w:hAnsi="Georgia"/>
            <w:i/>
            <w:color w:val="000000" w:themeColor="text1"/>
            <w:sz w:val="22"/>
            <w:szCs w:val="22"/>
          </w:rPr>
          <w:t>Ibid.</w:t>
        </w:r>
      </w:hyperlink>
      <w:r w:rsidRPr="00A1043D">
        <w:rPr>
          <w:rFonts w:ascii="Georgia" w:hAnsi="Georgia"/>
          <w:color w:val="000000" w:themeColor="text1"/>
          <w:sz w:val="22"/>
          <w:szCs w:val="22"/>
        </w:rPr>
        <w:t xml:space="preserve">; see also </w:t>
      </w:r>
      <w:hyperlink r:id="rId77" w:anchor="co_pp_sp_506_311">
        <w:r w:rsidRPr="00A1043D">
          <w:rPr>
            <w:rFonts w:ascii="Georgia" w:hAnsi="Georgia"/>
            <w:i/>
            <w:color w:val="000000" w:themeColor="text1"/>
            <w:sz w:val="22"/>
            <w:szCs w:val="22"/>
          </w:rPr>
          <w:t>BMG</w:t>
        </w:r>
        <w:r w:rsidRPr="00A1043D">
          <w:rPr>
            <w:rFonts w:ascii="Georgia" w:hAnsi="Georgia"/>
            <w:color w:val="000000" w:themeColor="text1"/>
            <w:sz w:val="22"/>
            <w:szCs w:val="22"/>
          </w:rPr>
          <w:t>, 881 F.3d at 311–312</w:t>
        </w:r>
      </w:hyperlink>
      <w:r w:rsidRPr="00A1043D">
        <w:rPr>
          <w:rFonts w:ascii="Georgia" w:hAnsi="Georgia"/>
          <w:color w:val="000000" w:themeColor="text1"/>
          <w:sz w:val="22"/>
          <w:szCs w:val="22"/>
        </w:rPr>
        <w:t xml:space="preserve">. The Fourth Circuit's holding thus went beyond the two forms of liability recognized in </w:t>
      </w:r>
      <w:hyperlink r:id="rId78">
        <w:proofErr w:type="spellStart"/>
        <w:r w:rsidRPr="00A1043D">
          <w:rPr>
            <w:rFonts w:ascii="Georgia" w:hAnsi="Georgia"/>
            <w:i/>
            <w:color w:val="000000" w:themeColor="text1"/>
            <w:sz w:val="22"/>
            <w:szCs w:val="22"/>
          </w:rPr>
          <w:t>Grokster</w:t>
        </w:r>
        <w:proofErr w:type="spellEnd"/>
      </w:hyperlink>
      <w:r w:rsidRPr="00A1043D">
        <w:rPr>
          <w:rFonts w:ascii="Georgia" w:hAnsi="Georgia"/>
          <w:color w:val="000000" w:themeColor="text1"/>
          <w:sz w:val="22"/>
          <w:szCs w:val="22"/>
        </w:rPr>
        <w:t xml:space="preserve"> and </w:t>
      </w:r>
      <w:hyperlink r:id="rId79">
        <w:r w:rsidRPr="00A1043D">
          <w:rPr>
            <w:rFonts w:ascii="Georgia" w:hAnsi="Georgia"/>
            <w:i/>
            <w:color w:val="000000" w:themeColor="text1"/>
            <w:sz w:val="22"/>
            <w:szCs w:val="22"/>
          </w:rPr>
          <w:t>Sony</w:t>
        </w:r>
      </w:hyperlink>
      <w:r w:rsidRPr="00A1043D">
        <w:rPr>
          <w:rFonts w:ascii="Georgia" w:hAnsi="Georgia"/>
          <w:color w:val="000000" w:themeColor="text1"/>
          <w:sz w:val="22"/>
          <w:szCs w:val="22"/>
        </w:rPr>
        <w:t xml:space="preserve">. It also conflicted with this Court's repeated admonition that contributory liability cannot rest only on a provider's knowledge of infringement and insufficient action to prevent it. See </w:t>
      </w:r>
      <w:hyperlink r:id="rId80" w:anchor="co_pp_sp_780_62">
        <w:r w:rsidRPr="00A1043D">
          <w:rPr>
            <w:rFonts w:ascii="Georgia" w:hAnsi="Georgia"/>
            <w:i/>
            <w:color w:val="000000" w:themeColor="text1"/>
            <w:sz w:val="22"/>
            <w:szCs w:val="22"/>
          </w:rPr>
          <w:t>Kalem Co.</w:t>
        </w:r>
        <w:r w:rsidRPr="00A1043D">
          <w:rPr>
            <w:rFonts w:ascii="Georgia" w:hAnsi="Georgia"/>
            <w:color w:val="000000" w:themeColor="text1"/>
            <w:sz w:val="22"/>
            <w:szCs w:val="22"/>
          </w:rPr>
          <w:t>, 222 U.S., at 62</w:t>
        </w:r>
      </w:hyperlink>
      <w:r w:rsidRPr="00A1043D">
        <w:rPr>
          <w:rFonts w:ascii="Georgia" w:hAnsi="Georgia"/>
          <w:color w:val="000000" w:themeColor="text1"/>
          <w:sz w:val="22"/>
          <w:szCs w:val="22"/>
        </w:rPr>
        <w:t xml:space="preserve">; </w:t>
      </w:r>
      <w:hyperlink r:id="rId81" w:anchor="co_pp_sp_780_439">
        <w:r w:rsidRPr="00A1043D">
          <w:rPr>
            <w:rFonts w:ascii="Georgia" w:hAnsi="Georgia"/>
            <w:i/>
            <w:color w:val="000000" w:themeColor="text1"/>
            <w:sz w:val="22"/>
            <w:szCs w:val="22"/>
          </w:rPr>
          <w:t>Sony</w:t>
        </w:r>
        <w:r w:rsidRPr="00A1043D">
          <w:rPr>
            <w:rFonts w:ascii="Georgia" w:hAnsi="Georgia"/>
            <w:color w:val="000000" w:themeColor="text1"/>
            <w:sz w:val="22"/>
            <w:szCs w:val="22"/>
          </w:rPr>
          <w:t>, 464 U.S., at 439</w:t>
        </w:r>
      </w:hyperlink>
      <w:r w:rsidRPr="00A1043D">
        <w:rPr>
          <w:rFonts w:ascii="Georgia" w:hAnsi="Georgia"/>
          <w:color w:val="000000" w:themeColor="text1"/>
          <w:sz w:val="22"/>
          <w:szCs w:val="22"/>
        </w:rPr>
        <w:t xml:space="preserve">; </w:t>
      </w:r>
      <w:hyperlink r:id="rId82" w:anchor="co_pp_sp_780_939">
        <w:proofErr w:type="spellStart"/>
        <w:r w:rsidRPr="00A1043D">
          <w:rPr>
            <w:rFonts w:ascii="Georgia" w:hAnsi="Georgia"/>
            <w:i/>
            <w:color w:val="000000" w:themeColor="text1"/>
            <w:sz w:val="22"/>
            <w:szCs w:val="22"/>
          </w:rPr>
          <w:t>Grokster</w:t>
        </w:r>
        <w:proofErr w:type="spellEnd"/>
        <w:r w:rsidRPr="00A1043D">
          <w:rPr>
            <w:rFonts w:ascii="Georgia" w:hAnsi="Georgia"/>
            <w:color w:val="000000" w:themeColor="text1"/>
            <w:sz w:val="22"/>
            <w:szCs w:val="22"/>
          </w:rPr>
          <w:t>, 545 U.S., at 939, n. 12</w:t>
        </w:r>
      </w:hyperlink>
      <w:r w:rsidRPr="00A1043D">
        <w:rPr>
          <w:rFonts w:ascii="Georgia" w:hAnsi="Georgia"/>
          <w:color w:val="000000" w:themeColor="text1"/>
          <w:sz w:val="22"/>
          <w:szCs w:val="22"/>
        </w:rPr>
        <w:t>.</w:t>
      </w:r>
    </w:p>
    <w:p w14:paraId="433BD581"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97A9791" w14:textId="77777777" w:rsidR="00F17340" w:rsidRPr="00A1043D" w:rsidRDefault="00000000" w:rsidP="0097443B">
      <w:pPr>
        <w:spacing w:after="0" w:line="240" w:lineRule="auto"/>
        <w:jc w:val="center"/>
        <w:rPr>
          <w:rFonts w:ascii="Georgia" w:hAnsi="Georgia"/>
          <w:color w:val="000000" w:themeColor="text1"/>
          <w:sz w:val="22"/>
          <w:szCs w:val="22"/>
        </w:rPr>
      </w:pPr>
      <w:bookmarkStart w:id="14" w:name="co_anchor_Ieac5eb112c9311f19f84ca1ed0fc"/>
      <w:r w:rsidRPr="00A1043D">
        <w:rPr>
          <w:rFonts w:ascii="Georgia" w:hAnsi="Georgia"/>
          <w:color w:val="000000" w:themeColor="text1"/>
          <w:sz w:val="22"/>
          <w:szCs w:val="22"/>
        </w:rPr>
        <w:t>IV</w:t>
      </w:r>
    </w:p>
    <w:bookmarkEnd w:id="14"/>
    <w:p w14:paraId="1DF1B798" w14:textId="77777777" w:rsidR="0097443B" w:rsidRPr="00A1043D" w:rsidRDefault="0097443B" w:rsidP="0097443B">
      <w:pPr>
        <w:spacing w:after="0" w:line="240" w:lineRule="auto"/>
        <w:ind w:firstLine="720"/>
        <w:jc w:val="both"/>
        <w:rPr>
          <w:rFonts w:ascii="Georgia" w:hAnsi="Georgia"/>
          <w:color w:val="000000" w:themeColor="text1"/>
          <w:sz w:val="22"/>
          <w:szCs w:val="22"/>
        </w:rPr>
      </w:pPr>
    </w:p>
    <w:p w14:paraId="1F15907C" w14:textId="2EEEE5C6"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Finally, Sony argues that the DMCA safe harbor would have no effect if Internet service providers </w:t>
      </w:r>
      <w:proofErr w:type="gramStart"/>
      <w:r w:rsidRPr="00A1043D">
        <w:rPr>
          <w:rFonts w:ascii="Georgia" w:hAnsi="Georgia"/>
          <w:color w:val="000000" w:themeColor="text1"/>
          <w:sz w:val="22"/>
          <w:szCs w:val="22"/>
        </w:rPr>
        <w:t>are</w:t>
      </w:r>
      <w:proofErr w:type="gramEnd"/>
      <w:r w:rsidRPr="00A1043D">
        <w:rPr>
          <w:rFonts w:ascii="Georgia" w:hAnsi="Georgia"/>
          <w:color w:val="000000" w:themeColor="text1"/>
          <w:sz w:val="22"/>
          <w:szCs w:val="22"/>
        </w:rPr>
        <w:t xml:space="preserve"> not liable for providing Internet service to known infringers. Brief for Respondents 38. The DMCA safe harbor protects Internet service providers that terminate repeat infringers “in appropriate circumstances.” </w:t>
      </w:r>
      <w:hyperlink r:id="rId83" w:anchor="co_pp_ec3a0000f1a25">
        <w:r w:rsidRPr="00A1043D">
          <w:rPr>
            <w:rFonts w:ascii="Georgia" w:hAnsi="Georgia"/>
            <w:color w:val="000000" w:themeColor="text1"/>
            <w:sz w:val="22"/>
            <w:szCs w:val="22"/>
          </w:rPr>
          <w:t>17 U.S.C. § 512(</w:t>
        </w:r>
        <w:proofErr w:type="spellStart"/>
        <w:r w:rsidRPr="00A1043D">
          <w:rPr>
            <w:rFonts w:ascii="Georgia" w:hAnsi="Georgia"/>
            <w:color w:val="000000" w:themeColor="text1"/>
            <w:sz w:val="22"/>
            <w:szCs w:val="22"/>
          </w:rPr>
          <w:t>i</w:t>
        </w:r>
        <w:proofErr w:type="spellEnd"/>
        <w:r w:rsidRPr="00A1043D">
          <w:rPr>
            <w:rFonts w:ascii="Georgia" w:hAnsi="Georgia"/>
            <w:color w:val="000000" w:themeColor="text1"/>
            <w:sz w:val="22"/>
            <w:szCs w:val="22"/>
          </w:rPr>
          <w:t>)(1)(A)</w:t>
        </w:r>
      </w:hyperlink>
      <w:r w:rsidRPr="00A1043D">
        <w:rPr>
          <w:rFonts w:ascii="Georgia" w:hAnsi="Georgia"/>
          <w:color w:val="000000" w:themeColor="text1"/>
          <w:sz w:val="22"/>
          <w:szCs w:val="22"/>
        </w:rPr>
        <w:t>. Sony argues that Congress must have enacted the DMCA on the presumption that Internet service providers could be held liable in cases such as these.</w:t>
      </w:r>
    </w:p>
    <w:p w14:paraId="1954B3B9"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17F8F68"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Sony overreads the DMCA. Sony does not contend that the DMCA expressly imposes liability for Internet service providers who serve known infringers. It does not. The DMCA merely creates new </w:t>
      </w:r>
      <w:r w:rsidRPr="00A1043D">
        <w:rPr>
          <w:rFonts w:ascii="Georgia" w:hAnsi="Georgia"/>
          <w:i/>
          <w:color w:val="000000" w:themeColor="text1"/>
          <w:sz w:val="22"/>
          <w:szCs w:val="22"/>
        </w:rPr>
        <w:t xml:space="preserve">defenses </w:t>
      </w:r>
      <w:r w:rsidRPr="00A1043D">
        <w:rPr>
          <w:rFonts w:ascii="Georgia" w:hAnsi="Georgia"/>
          <w:color w:val="000000" w:themeColor="text1"/>
          <w:sz w:val="22"/>
          <w:szCs w:val="22"/>
        </w:rPr>
        <w:t xml:space="preserve">from liability for such providers. </w:t>
      </w:r>
      <w:proofErr w:type="gramStart"/>
      <w:r w:rsidRPr="00A1043D">
        <w:rPr>
          <w:rFonts w:ascii="Georgia" w:hAnsi="Georgia"/>
          <w:color w:val="000000" w:themeColor="text1"/>
          <w:sz w:val="22"/>
          <w:szCs w:val="22"/>
        </w:rPr>
        <w:t>And,</w:t>
      </w:r>
      <w:proofErr w:type="gramEnd"/>
      <w:r w:rsidRPr="00A1043D">
        <w:rPr>
          <w:rFonts w:ascii="Georgia" w:hAnsi="Georgia"/>
          <w:color w:val="000000" w:themeColor="text1"/>
          <w:sz w:val="22"/>
          <w:szCs w:val="22"/>
        </w:rPr>
        <w:t xml:space="preserve"> the DMCA made clear that failure to comply with the safe-harbor rules “shall not bear adversely upon ... a defense by the service provider that the service provider's conduct is not infringing.” </w:t>
      </w:r>
      <w:hyperlink r:id="rId84" w:anchor="co_pp_3cd1000064020">
        <w:r w:rsidRPr="00A1043D">
          <w:rPr>
            <w:rFonts w:ascii="Georgia" w:hAnsi="Georgia"/>
            <w:color w:val="000000" w:themeColor="text1"/>
            <w:sz w:val="22"/>
            <w:szCs w:val="22"/>
          </w:rPr>
          <w:t>§ 512(</w:t>
        </w:r>
        <w:r w:rsidRPr="00A1043D">
          <w:rPr>
            <w:rFonts w:ascii="Georgia" w:hAnsi="Georgia"/>
            <w:i/>
            <w:color w:val="000000" w:themeColor="text1"/>
            <w:sz w:val="22"/>
            <w:szCs w:val="22"/>
          </w:rPr>
          <w:t>l</w:t>
        </w:r>
        <w:r w:rsidRPr="00A1043D">
          <w:rPr>
            <w:rFonts w:ascii="Georgia" w:hAnsi="Georgia"/>
            <w:color w:val="000000" w:themeColor="text1"/>
            <w:sz w:val="22"/>
            <w:szCs w:val="22"/>
          </w:rPr>
          <w:t>)</w:t>
        </w:r>
      </w:hyperlink>
      <w:r w:rsidRPr="00A1043D">
        <w:rPr>
          <w:rFonts w:ascii="Georgia" w:hAnsi="Georgia"/>
          <w:color w:val="000000" w:themeColor="text1"/>
          <w:sz w:val="22"/>
          <w:szCs w:val="22"/>
        </w:rPr>
        <w:t>.</w:t>
      </w:r>
    </w:p>
    <w:p w14:paraId="75AD6264"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17A49FD3" w14:textId="77777777" w:rsidR="00F17340" w:rsidRPr="00A1043D" w:rsidRDefault="00000000" w:rsidP="0097443B">
      <w:pPr>
        <w:spacing w:after="0" w:line="240" w:lineRule="auto"/>
        <w:jc w:val="center"/>
        <w:rPr>
          <w:rFonts w:ascii="Georgia" w:hAnsi="Georgia"/>
          <w:color w:val="000000" w:themeColor="text1"/>
          <w:sz w:val="22"/>
          <w:szCs w:val="22"/>
        </w:rPr>
      </w:pPr>
      <w:bookmarkStart w:id="15" w:name="co_anchor_Ieac6fc812c9311f19f84ca1ed0fc"/>
      <w:r w:rsidRPr="00A1043D">
        <w:rPr>
          <w:rFonts w:ascii="Georgia" w:hAnsi="Georgia"/>
          <w:color w:val="000000" w:themeColor="text1"/>
          <w:sz w:val="22"/>
          <w:szCs w:val="22"/>
        </w:rPr>
        <w:t>V</w:t>
      </w:r>
    </w:p>
    <w:bookmarkEnd w:id="15"/>
    <w:p w14:paraId="3F8E0B59" w14:textId="77777777" w:rsidR="0097443B" w:rsidRPr="00A1043D" w:rsidRDefault="0097443B" w:rsidP="0097443B">
      <w:pPr>
        <w:spacing w:after="0" w:line="240" w:lineRule="auto"/>
        <w:ind w:firstLine="720"/>
        <w:jc w:val="both"/>
        <w:rPr>
          <w:rFonts w:ascii="Georgia" w:hAnsi="Georgia"/>
          <w:color w:val="000000" w:themeColor="text1"/>
          <w:sz w:val="22"/>
          <w:szCs w:val="22"/>
        </w:rPr>
      </w:pPr>
    </w:p>
    <w:p w14:paraId="2194211E" w14:textId="5D1D13D0"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The judgment of the Court of Appeals for the Fourth Circuit is reversed, and the case is remanded for further proceedings consistent with this opinion.</w:t>
      </w:r>
    </w:p>
    <w:p w14:paraId="4AC74FF8"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5B53AF4A"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i/>
          <w:color w:val="000000" w:themeColor="text1"/>
          <w:sz w:val="22"/>
          <w:szCs w:val="22"/>
        </w:rPr>
        <w:t>It is so ordered.</w:t>
      </w:r>
    </w:p>
    <w:p w14:paraId="34788DB0"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0FE070AF" w14:textId="77777777" w:rsidR="00F17340" w:rsidRPr="00A1043D" w:rsidRDefault="00000000" w:rsidP="0097443B">
      <w:pPr>
        <w:spacing w:after="0" w:line="240" w:lineRule="auto"/>
        <w:ind w:firstLine="720"/>
        <w:jc w:val="both"/>
        <w:rPr>
          <w:rFonts w:ascii="Georgia" w:hAnsi="Georgia"/>
          <w:color w:val="000000" w:themeColor="text1"/>
          <w:sz w:val="22"/>
          <w:szCs w:val="22"/>
        </w:rPr>
      </w:pPr>
      <w:bookmarkStart w:id="16" w:name="co_anchor_Ieac771b32c9311f19f84ca1ed0fc"/>
      <w:bookmarkStart w:id="17" w:name="co_concurrance_opinion_1"/>
      <w:r w:rsidRPr="00A1043D">
        <w:rPr>
          <w:rFonts w:ascii="Georgia" w:hAnsi="Georgia"/>
          <w:color w:val="000000" w:themeColor="text1"/>
          <w:sz w:val="22"/>
          <w:szCs w:val="22"/>
        </w:rPr>
        <w:t xml:space="preserve">Justice </w:t>
      </w:r>
      <w:hyperlink r:id="rId85">
        <w:r w:rsidRPr="00A1043D">
          <w:rPr>
            <w:rFonts w:ascii="Georgia" w:hAnsi="Georgia"/>
            <w:color w:val="000000" w:themeColor="text1"/>
            <w:sz w:val="22"/>
            <w:szCs w:val="22"/>
          </w:rPr>
          <w:t>SOTOMAYOR</w:t>
        </w:r>
      </w:hyperlink>
      <w:r w:rsidRPr="00A1043D">
        <w:rPr>
          <w:rFonts w:ascii="Georgia" w:hAnsi="Georgia"/>
          <w:color w:val="000000" w:themeColor="text1"/>
          <w:sz w:val="22"/>
          <w:szCs w:val="22"/>
        </w:rPr>
        <w:t xml:space="preserve">, with whom Justice </w:t>
      </w:r>
      <w:hyperlink r:id="rId86">
        <w:r w:rsidRPr="00A1043D">
          <w:rPr>
            <w:rFonts w:ascii="Georgia" w:hAnsi="Georgia"/>
            <w:color w:val="000000" w:themeColor="text1"/>
            <w:sz w:val="22"/>
            <w:szCs w:val="22"/>
          </w:rPr>
          <w:t>JACKSON</w:t>
        </w:r>
      </w:hyperlink>
      <w:r w:rsidRPr="00A1043D">
        <w:rPr>
          <w:rFonts w:ascii="Georgia" w:hAnsi="Georgia"/>
          <w:color w:val="000000" w:themeColor="text1"/>
          <w:sz w:val="22"/>
          <w:szCs w:val="22"/>
        </w:rPr>
        <w:t xml:space="preserve"> joins, concurring in the judgment.</w:t>
      </w:r>
    </w:p>
    <w:p w14:paraId="4F3D0997" w14:textId="77777777" w:rsidR="0097443B" w:rsidRPr="00A1043D" w:rsidRDefault="0097443B" w:rsidP="0097443B">
      <w:pPr>
        <w:spacing w:after="0" w:line="240" w:lineRule="auto"/>
        <w:ind w:firstLine="720"/>
        <w:jc w:val="both"/>
        <w:rPr>
          <w:rFonts w:ascii="Georgia" w:hAnsi="Georgia"/>
          <w:color w:val="000000" w:themeColor="text1"/>
          <w:sz w:val="22"/>
          <w:szCs w:val="22"/>
        </w:rPr>
      </w:pPr>
    </w:p>
    <w:p w14:paraId="304F9196" w14:textId="77777777" w:rsidR="00F17340" w:rsidRPr="00A1043D" w:rsidRDefault="00000000" w:rsidP="0097443B">
      <w:pPr>
        <w:spacing w:after="0" w:line="240" w:lineRule="auto"/>
        <w:ind w:firstLine="720"/>
        <w:jc w:val="both"/>
        <w:rPr>
          <w:rFonts w:ascii="Georgia" w:hAnsi="Georgia"/>
          <w:color w:val="000000" w:themeColor="text1"/>
          <w:sz w:val="22"/>
          <w:szCs w:val="22"/>
        </w:rPr>
      </w:pPr>
      <w:bookmarkStart w:id="18" w:name="co_anchor_Ieac771b32c9311f19f84ca1ed2"/>
      <w:bookmarkEnd w:id="16"/>
      <w:bookmarkEnd w:id="17"/>
      <w:r w:rsidRPr="00A1043D">
        <w:rPr>
          <w:rFonts w:ascii="Georgia" w:hAnsi="Georgia"/>
          <w:color w:val="000000" w:themeColor="text1"/>
          <w:sz w:val="22"/>
          <w:szCs w:val="22"/>
        </w:rPr>
        <w:t>Cox Communications, an internet service provider, receives thousands of notices every day that specific Cox-supplied internet connections have been used to infringe copyrights. The Court granted certiorari to decide whether Cox can be held secondarily liable for copyright infringement committed by others on its network because Cox knowingly continues to service specific internet connections that have been, and will continue to be, used to commit that infringement.</w:t>
      </w:r>
    </w:p>
    <w:bookmarkEnd w:id="18"/>
    <w:p w14:paraId="7791012E"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10E72BD0" w14:textId="649071AA"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majority holds that Cox is not liable solely because its conduct does not fit within the two theories of secondary liability previously applied by this </w:t>
      </w:r>
      <w:r w:rsidRPr="00A1043D">
        <w:rPr>
          <w:rFonts w:ascii="Georgia" w:hAnsi="Georgia"/>
          <w:color w:val="000000" w:themeColor="text1"/>
          <w:sz w:val="22"/>
          <w:szCs w:val="22"/>
        </w:rPr>
        <w:lastRenderedPageBreak/>
        <w:t>Court. In so doing, the majority, without any meaningful explanation, unnecessarily limits secondary liability even though this Court's precedents have left open the possibility that other common-law theories of such liability, like aiding and abetting, could apply in the copyright context. By ignoring those past decisions, the majority also upends the statutory incentive structure that Congress created.</w:t>
      </w:r>
    </w:p>
    <w:p w14:paraId="0F8885D6"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038309DC"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I nonetheless agree with the majority that Cox cannot be held liable here for a different reason. Plaintiffs cannot prove that Cox had the requisite intent to aid copyright infringement for Cox to be liable on a common-law aiding-and-abetting theory. I therefore concur in the judgment.</w:t>
      </w:r>
    </w:p>
    <w:p w14:paraId="551DE95A"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778E16E1" w14:textId="77777777" w:rsidR="00F17340" w:rsidRPr="00A1043D" w:rsidRDefault="00000000" w:rsidP="0097443B">
      <w:pPr>
        <w:spacing w:after="0" w:line="240" w:lineRule="auto"/>
        <w:jc w:val="center"/>
        <w:rPr>
          <w:rFonts w:ascii="Georgia" w:hAnsi="Georgia"/>
          <w:color w:val="000000" w:themeColor="text1"/>
          <w:sz w:val="22"/>
          <w:szCs w:val="22"/>
        </w:rPr>
      </w:pPr>
      <w:bookmarkStart w:id="19" w:name="co_anchor_Ieac85c112c9311f19f84ca1ed2"/>
      <w:bookmarkStart w:id="20" w:name="co_anchor_Ieac85c112c9311f19f84ca1ed0fc"/>
      <w:r w:rsidRPr="00A1043D">
        <w:rPr>
          <w:rFonts w:ascii="Georgia" w:hAnsi="Georgia"/>
          <w:color w:val="000000" w:themeColor="text1"/>
          <w:sz w:val="22"/>
          <w:szCs w:val="22"/>
        </w:rPr>
        <w:t>I</w:t>
      </w:r>
    </w:p>
    <w:bookmarkEnd w:id="19"/>
    <w:bookmarkEnd w:id="20"/>
    <w:p w14:paraId="613D9D9E" w14:textId="77777777" w:rsidR="0097443B" w:rsidRPr="00A1043D" w:rsidRDefault="0097443B" w:rsidP="0097443B">
      <w:pPr>
        <w:spacing w:after="0" w:line="240" w:lineRule="auto"/>
        <w:ind w:firstLine="720"/>
        <w:jc w:val="both"/>
        <w:rPr>
          <w:rFonts w:ascii="Georgia" w:hAnsi="Georgia"/>
          <w:color w:val="000000" w:themeColor="text1"/>
          <w:sz w:val="22"/>
          <w:szCs w:val="22"/>
        </w:rPr>
      </w:pPr>
    </w:p>
    <w:p w14:paraId="2110B93D" w14:textId="755AAD93"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Copyright Act does not expressly provide for secondary liability. See </w:t>
      </w:r>
      <w:hyperlink r:id="rId87" w:anchor="co_pp_sp_780_434">
        <w:r w:rsidRPr="00A1043D">
          <w:rPr>
            <w:rFonts w:ascii="Georgia" w:hAnsi="Georgia"/>
            <w:i/>
            <w:color w:val="000000" w:themeColor="text1"/>
            <w:sz w:val="22"/>
            <w:szCs w:val="22"/>
          </w:rPr>
          <w:t>Sony Corp. of America v. Universal City Studios, Inc.</w:t>
        </w:r>
        <w:r w:rsidRPr="00A1043D">
          <w:rPr>
            <w:rFonts w:ascii="Georgia" w:hAnsi="Georgia"/>
            <w:color w:val="000000" w:themeColor="text1"/>
            <w:sz w:val="22"/>
            <w:szCs w:val="22"/>
          </w:rPr>
          <w:t>, 464 U.S. 417, 434</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(1984)</w:t>
        </w:r>
      </w:hyperlink>
      <w:r w:rsidRPr="00A1043D">
        <w:rPr>
          <w:rFonts w:ascii="Georgia" w:hAnsi="Georgia"/>
          <w:color w:val="000000" w:themeColor="text1"/>
          <w:sz w:val="22"/>
          <w:szCs w:val="22"/>
        </w:rPr>
        <w:t xml:space="preserve">. Still, this Court has recognized that there are two types of secondary liability under the Copyright Act: vicarious and contributory liability. See </w:t>
      </w:r>
      <w:hyperlink r:id="rId88">
        <w:r w:rsidRPr="00A1043D">
          <w:rPr>
            <w:rFonts w:ascii="Georgia" w:hAnsi="Georgia"/>
            <w:i/>
            <w:color w:val="000000" w:themeColor="text1"/>
            <w:sz w:val="22"/>
            <w:szCs w:val="22"/>
          </w:rPr>
          <w:t>ibid</w:t>
        </w:r>
        <w:r w:rsidRPr="00A1043D">
          <w:rPr>
            <w:rFonts w:ascii="Georgia" w:hAnsi="Georgia"/>
            <w:color w:val="000000" w:themeColor="text1"/>
            <w:sz w:val="22"/>
            <w:szCs w:val="22"/>
          </w:rPr>
          <w:t>.</w:t>
        </w:r>
      </w:hyperlink>
      <w:r w:rsidRPr="00A1043D">
        <w:rPr>
          <w:rFonts w:ascii="Georgia" w:hAnsi="Georgia"/>
          <w:color w:val="000000" w:themeColor="text1"/>
          <w:sz w:val="22"/>
          <w:szCs w:val="22"/>
        </w:rPr>
        <w:t xml:space="preserve"> The former attaches when a party has control over another's infringing activity and fails to stop it, and the latter attaches when a party materially contributes in some way to another's infringement. See </w:t>
      </w:r>
      <w:hyperlink r:id="rId89" w:anchor="co_pp_sp_780_930">
        <w:r w:rsidRPr="00A1043D">
          <w:rPr>
            <w:rFonts w:ascii="Georgia" w:hAnsi="Georgia"/>
            <w:i/>
            <w:color w:val="000000" w:themeColor="text1"/>
            <w:sz w:val="22"/>
            <w:szCs w:val="22"/>
          </w:rPr>
          <w:t xml:space="preserve">Metro-Goldwyn-Mayer Studios Inc. v. </w:t>
        </w:r>
        <w:proofErr w:type="spellStart"/>
        <w:r w:rsidRPr="00A1043D">
          <w:rPr>
            <w:rFonts w:ascii="Georgia" w:hAnsi="Georgia"/>
            <w:i/>
            <w:color w:val="000000" w:themeColor="text1"/>
            <w:sz w:val="22"/>
            <w:szCs w:val="22"/>
          </w:rPr>
          <w:t>Grokster</w:t>
        </w:r>
        <w:proofErr w:type="spellEnd"/>
        <w:r w:rsidRPr="00A1043D">
          <w:rPr>
            <w:rFonts w:ascii="Georgia" w:hAnsi="Georgia"/>
            <w:i/>
            <w:color w:val="000000" w:themeColor="text1"/>
            <w:sz w:val="22"/>
            <w:szCs w:val="22"/>
          </w:rPr>
          <w:t>, Ltd.</w:t>
        </w:r>
        <w:r w:rsidRPr="00A1043D">
          <w:rPr>
            <w:rFonts w:ascii="Georgia" w:hAnsi="Georgia"/>
            <w:color w:val="000000" w:themeColor="text1"/>
            <w:sz w:val="22"/>
            <w:szCs w:val="22"/>
          </w:rPr>
          <w:t>, 545 U.S. 913, 930</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(2005)</w:t>
        </w:r>
      </w:hyperlink>
      <w:r w:rsidRPr="00A1043D">
        <w:rPr>
          <w:rFonts w:ascii="Georgia" w:hAnsi="Georgia"/>
          <w:color w:val="000000" w:themeColor="text1"/>
          <w:sz w:val="22"/>
          <w:szCs w:val="22"/>
        </w:rPr>
        <w:t xml:space="preserve">; see also </w:t>
      </w:r>
      <w:hyperlink r:id="rId90" w:anchor="co_pp_sp_350_1162">
        <w:r w:rsidRPr="00A1043D">
          <w:rPr>
            <w:rFonts w:ascii="Georgia" w:hAnsi="Georgia"/>
            <w:i/>
            <w:color w:val="000000" w:themeColor="text1"/>
            <w:sz w:val="22"/>
            <w:szCs w:val="22"/>
          </w:rPr>
          <w:t>Gershwin Publishing Corp. v. Columbia Artists Mgmt., Inc.</w:t>
        </w:r>
        <w:r w:rsidRPr="00A1043D">
          <w:rPr>
            <w:rFonts w:ascii="Georgia" w:hAnsi="Georgia"/>
            <w:color w:val="000000" w:themeColor="text1"/>
            <w:sz w:val="22"/>
            <w:szCs w:val="22"/>
          </w:rPr>
          <w:t>, 443 F.2d 1159, 1162 (</w:t>
        </w:r>
        <w:r w:rsidR="00DF6D90" w:rsidRPr="00A1043D">
          <w:rPr>
            <w:rFonts w:ascii="Georgia" w:hAnsi="Georgia"/>
            <w:color w:val="000000" w:themeColor="text1"/>
            <w:sz w:val="22"/>
            <w:szCs w:val="22"/>
          </w:rPr>
          <w:t xml:space="preserve">2d Cir. </w:t>
        </w:r>
        <w:r w:rsidRPr="00A1043D">
          <w:rPr>
            <w:rFonts w:ascii="Georgia" w:hAnsi="Georgia"/>
            <w:color w:val="000000" w:themeColor="text1"/>
            <w:sz w:val="22"/>
            <w:szCs w:val="22"/>
          </w:rPr>
          <w:t>1971)</w:t>
        </w:r>
      </w:hyperlink>
      <w:r w:rsidRPr="00A1043D">
        <w:rPr>
          <w:rFonts w:ascii="Georgia" w:hAnsi="Georgia"/>
          <w:color w:val="000000" w:themeColor="text1"/>
          <w:sz w:val="22"/>
          <w:szCs w:val="22"/>
        </w:rPr>
        <w:t xml:space="preserve"> (discussing vicarious and contributory liability). This case comes to the Court with only contributory liability remaining at issue.</w:t>
      </w:r>
    </w:p>
    <w:p w14:paraId="199F2A9C"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0A326729" w14:textId="3B58F05B"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As the majority explains, this Court's cases have held that contributory liability for copyright infringement may attach in at least two circumstances. The first is when a defendant distributes or provides a product or service that is incapable of “commercially significant </w:t>
      </w:r>
      <w:proofErr w:type="spellStart"/>
      <w:r w:rsidRPr="00A1043D">
        <w:rPr>
          <w:rFonts w:ascii="Georgia" w:hAnsi="Georgia"/>
          <w:color w:val="000000" w:themeColor="text1"/>
          <w:sz w:val="22"/>
          <w:szCs w:val="22"/>
        </w:rPr>
        <w:t>noninfringing</w:t>
      </w:r>
      <w:proofErr w:type="spellEnd"/>
      <w:r w:rsidRPr="00A1043D">
        <w:rPr>
          <w:rFonts w:ascii="Georgia" w:hAnsi="Georgia"/>
          <w:color w:val="000000" w:themeColor="text1"/>
          <w:sz w:val="22"/>
          <w:szCs w:val="22"/>
        </w:rPr>
        <w:t xml:space="preserve"> uses.” </w:t>
      </w:r>
      <w:hyperlink r:id="rId91" w:anchor="co_pp_sp_780_442">
        <w:r w:rsidRPr="00A1043D">
          <w:rPr>
            <w:rFonts w:ascii="Georgia" w:hAnsi="Georgia"/>
            <w:i/>
            <w:color w:val="000000" w:themeColor="text1"/>
            <w:sz w:val="22"/>
            <w:szCs w:val="22"/>
          </w:rPr>
          <w:t>Sony</w:t>
        </w:r>
        <w:r w:rsidRPr="00A1043D">
          <w:rPr>
            <w:rFonts w:ascii="Georgia" w:hAnsi="Georgia"/>
            <w:color w:val="000000" w:themeColor="text1"/>
            <w:sz w:val="22"/>
            <w:szCs w:val="22"/>
          </w:rPr>
          <w:t>, 464 U.S., at 442</w:t>
        </w:r>
      </w:hyperlink>
      <w:r w:rsidRPr="00A1043D">
        <w:rPr>
          <w:rFonts w:ascii="Georgia" w:hAnsi="Georgia"/>
          <w:color w:val="000000" w:themeColor="text1"/>
          <w:sz w:val="22"/>
          <w:szCs w:val="22"/>
        </w:rPr>
        <w:t xml:space="preserve">. In other words, the product or service must be “ ‘good for nothing else’ but infringement.” </w:t>
      </w:r>
      <w:hyperlink r:id="rId92" w:anchor="co_pp_sp_780_932">
        <w:proofErr w:type="spellStart"/>
        <w:r w:rsidRPr="00A1043D">
          <w:rPr>
            <w:rFonts w:ascii="Georgia" w:hAnsi="Georgia"/>
            <w:i/>
            <w:color w:val="000000" w:themeColor="text1"/>
            <w:sz w:val="22"/>
            <w:szCs w:val="22"/>
          </w:rPr>
          <w:t>Grokster</w:t>
        </w:r>
        <w:proofErr w:type="spellEnd"/>
        <w:r w:rsidRPr="00A1043D">
          <w:rPr>
            <w:rFonts w:ascii="Georgia" w:hAnsi="Georgia"/>
            <w:color w:val="000000" w:themeColor="text1"/>
            <w:sz w:val="22"/>
            <w:szCs w:val="22"/>
          </w:rPr>
          <w:t>, 545 U.S., at 932</w:t>
        </w:r>
      </w:hyperlink>
      <w:r w:rsidRPr="00A1043D">
        <w:rPr>
          <w:rFonts w:ascii="Georgia" w:hAnsi="Georgia"/>
          <w:color w:val="000000" w:themeColor="text1"/>
          <w:sz w:val="22"/>
          <w:szCs w:val="22"/>
        </w:rPr>
        <w:t xml:space="preserve">. The Court applied that doctrine in </w:t>
      </w:r>
      <w:hyperlink r:id="rId93">
        <w:r w:rsidRPr="00A1043D">
          <w:rPr>
            <w:rFonts w:ascii="Georgia" w:hAnsi="Georgia"/>
            <w:i/>
            <w:color w:val="000000" w:themeColor="text1"/>
            <w:sz w:val="22"/>
            <w:szCs w:val="22"/>
          </w:rPr>
          <w:t>Sony</w:t>
        </w:r>
        <w:r w:rsidRPr="00A1043D">
          <w:rPr>
            <w:rFonts w:ascii="Georgia" w:hAnsi="Georgia"/>
            <w:color w:val="000000" w:themeColor="text1"/>
            <w:sz w:val="22"/>
            <w:szCs w:val="22"/>
          </w:rPr>
          <w:t>, 464 U.S. 417</w:t>
        </w:r>
      </w:hyperlink>
      <w:r w:rsidRPr="00A1043D">
        <w:rPr>
          <w:rFonts w:ascii="Georgia" w:hAnsi="Georgia"/>
          <w:color w:val="000000" w:themeColor="text1"/>
          <w:sz w:val="22"/>
          <w:szCs w:val="22"/>
        </w:rPr>
        <w:t xml:space="preserve">, and held that Sony was not liable for copyright infringement for selling the Betamax, a tape-recorder device that enabled users to record television shows for later watching. </w:t>
      </w:r>
      <w:hyperlink r:id="rId94">
        <w:r w:rsidRPr="00A1043D">
          <w:rPr>
            <w:rFonts w:ascii="Georgia" w:hAnsi="Georgia"/>
            <w:i/>
            <w:color w:val="000000" w:themeColor="text1"/>
            <w:sz w:val="22"/>
            <w:szCs w:val="22"/>
          </w:rPr>
          <w:t>Id</w:t>
        </w:r>
        <w:r w:rsidRPr="00A1043D">
          <w:rPr>
            <w:rFonts w:ascii="Georgia" w:hAnsi="Georgia"/>
            <w:color w:val="000000" w:themeColor="text1"/>
            <w:sz w:val="22"/>
            <w:szCs w:val="22"/>
          </w:rPr>
          <w:t>., at 442</w:t>
        </w:r>
      </w:hyperlink>
      <w:r w:rsidRPr="00A1043D">
        <w:rPr>
          <w:rFonts w:ascii="Georgia" w:hAnsi="Georgia"/>
          <w:color w:val="000000" w:themeColor="text1"/>
          <w:sz w:val="22"/>
          <w:szCs w:val="22"/>
        </w:rPr>
        <w:t xml:space="preserve">. Regardless of whether the Betamax could be used to commit infringement, the Court reasoned, it was also capable of “commercially significant </w:t>
      </w:r>
      <w:proofErr w:type="spellStart"/>
      <w:r w:rsidRPr="00A1043D">
        <w:rPr>
          <w:rFonts w:ascii="Georgia" w:hAnsi="Georgia"/>
          <w:color w:val="000000" w:themeColor="text1"/>
          <w:sz w:val="22"/>
          <w:szCs w:val="22"/>
        </w:rPr>
        <w:t>noninfringing</w:t>
      </w:r>
      <w:proofErr w:type="spellEnd"/>
      <w:r w:rsidRPr="00A1043D">
        <w:rPr>
          <w:rFonts w:ascii="Georgia" w:hAnsi="Georgia"/>
          <w:color w:val="000000" w:themeColor="text1"/>
          <w:sz w:val="22"/>
          <w:szCs w:val="22"/>
        </w:rPr>
        <w:t xml:space="preserve"> uses,” such as recording a show for personal viewing at home after it aired. </w:t>
      </w:r>
      <w:hyperlink r:id="rId95">
        <w:r w:rsidRPr="00A1043D">
          <w:rPr>
            <w:rFonts w:ascii="Georgia" w:hAnsi="Georgia"/>
            <w:i/>
            <w:color w:val="000000" w:themeColor="text1"/>
            <w:sz w:val="22"/>
            <w:szCs w:val="22"/>
          </w:rPr>
          <w:t>Ibid</w:t>
        </w:r>
        <w:r w:rsidRPr="00A1043D">
          <w:rPr>
            <w:rFonts w:ascii="Georgia" w:hAnsi="Georgia"/>
            <w:color w:val="000000" w:themeColor="text1"/>
            <w:sz w:val="22"/>
            <w:szCs w:val="22"/>
          </w:rPr>
          <w:t>.</w:t>
        </w:r>
      </w:hyperlink>
    </w:p>
    <w:p w14:paraId="4AAC441F"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4DBE23E4" w14:textId="7B91B3F6"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second circumstance in which contributory liability may attach is when a party induces another to commit infringement. The Court applied this rule in </w:t>
      </w:r>
      <w:hyperlink r:id="rId96">
        <w:proofErr w:type="spellStart"/>
        <w:r w:rsidRPr="00A1043D">
          <w:rPr>
            <w:rFonts w:ascii="Georgia" w:hAnsi="Georgia"/>
            <w:i/>
            <w:color w:val="000000" w:themeColor="text1"/>
            <w:sz w:val="22"/>
            <w:szCs w:val="22"/>
          </w:rPr>
          <w:t>Grokster</w:t>
        </w:r>
        <w:proofErr w:type="spellEnd"/>
        <w:r w:rsidRPr="00A1043D">
          <w:rPr>
            <w:rFonts w:ascii="Georgia" w:hAnsi="Georgia"/>
            <w:i/>
            <w:color w:val="000000" w:themeColor="text1"/>
            <w:sz w:val="22"/>
            <w:szCs w:val="22"/>
          </w:rPr>
          <w:t xml:space="preserve">, </w:t>
        </w:r>
        <w:r w:rsidRPr="00A1043D">
          <w:rPr>
            <w:rFonts w:ascii="Georgia" w:hAnsi="Georgia"/>
            <w:color w:val="000000" w:themeColor="text1"/>
            <w:sz w:val="22"/>
            <w:szCs w:val="22"/>
          </w:rPr>
          <w:t>545 U.S. 913</w:t>
        </w:r>
      </w:hyperlink>
      <w:r w:rsidRPr="00A1043D">
        <w:rPr>
          <w:rFonts w:ascii="Georgia" w:hAnsi="Georgia"/>
          <w:color w:val="000000" w:themeColor="text1"/>
          <w:sz w:val="22"/>
          <w:szCs w:val="22"/>
        </w:rPr>
        <w:t xml:space="preserve">. There, the defendants distributed peer-to-peer file sharing software that had lawful uses but also enabled massive amounts of copyright infringement as users shared copyrighted materials with one another without authorization. </w:t>
      </w:r>
      <w:hyperlink r:id="rId97">
        <w:r w:rsidRPr="00A1043D">
          <w:rPr>
            <w:rFonts w:ascii="Georgia" w:hAnsi="Georgia"/>
            <w:i/>
            <w:color w:val="000000" w:themeColor="text1"/>
            <w:sz w:val="22"/>
            <w:szCs w:val="22"/>
          </w:rPr>
          <w:t>Id</w:t>
        </w:r>
        <w:r w:rsidRPr="00A1043D">
          <w:rPr>
            <w:rFonts w:ascii="Georgia" w:hAnsi="Georgia"/>
            <w:color w:val="000000" w:themeColor="text1"/>
            <w:sz w:val="22"/>
            <w:szCs w:val="22"/>
          </w:rPr>
          <w:t>., at 919–922</w:t>
        </w:r>
      </w:hyperlink>
      <w:r w:rsidRPr="00A1043D">
        <w:rPr>
          <w:rFonts w:ascii="Georgia" w:hAnsi="Georgia"/>
          <w:color w:val="000000" w:themeColor="text1"/>
          <w:sz w:val="22"/>
          <w:szCs w:val="22"/>
        </w:rPr>
        <w:t xml:space="preserve">. Drawing from the common law, the Court held that a party can be liable for the infringements of another if it takes “ ‘active </w:t>
      </w:r>
      <w:r w:rsidRPr="00A1043D">
        <w:rPr>
          <w:rFonts w:ascii="Georgia" w:hAnsi="Georgia"/>
          <w:color w:val="000000" w:themeColor="text1"/>
          <w:sz w:val="22"/>
          <w:szCs w:val="22"/>
        </w:rPr>
        <w:lastRenderedPageBreak/>
        <w:t xml:space="preserve">steps ... to encourage direct infringement,’ such as advertising an infringing use or instructing how to engage in an infringing use.” </w:t>
      </w:r>
      <w:hyperlink r:id="rId98">
        <w:r w:rsidRPr="00A1043D">
          <w:rPr>
            <w:rFonts w:ascii="Georgia" w:hAnsi="Georgia"/>
            <w:i/>
            <w:color w:val="000000" w:themeColor="text1"/>
            <w:sz w:val="22"/>
            <w:szCs w:val="22"/>
          </w:rPr>
          <w:t>Id</w:t>
        </w:r>
        <w:r w:rsidRPr="00A1043D">
          <w:rPr>
            <w:rFonts w:ascii="Georgia" w:hAnsi="Georgia"/>
            <w:color w:val="000000" w:themeColor="text1"/>
            <w:sz w:val="22"/>
            <w:szCs w:val="22"/>
          </w:rPr>
          <w:t>., at 936</w:t>
        </w:r>
      </w:hyperlink>
      <w:r w:rsidRPr="00A1043D">
        <w:rPr>
          <w:rFonts w:ascii="Georgia" w:hAnsi="Georgia"/>
          <w:color w:val="000000" w:themeColor="text1"/>
          <w:sz w:val="22"/>
          <w:szCs w:val="22"/>
        </w:rPr>
        <w:t xml:space="preserve"> (citation omitted). The Court found that the software distributors had done just that by advertising their software to users of previous infringing services, declining to implement filters or other policies to weed out infringing content, and relying on a revenue model tied to high-volume use of their software. </w:t>
      </w:r>
      <w:hyperlink r:id="rId99">
        <w:r w:rsidRPr="00A1043D">
          <w:rPr>
            <w:rFonts w:ascii="Georgia" w:hAnsi="Georgia"/>
            <w:i/>
            <w:color w:val="000000" w:themeColor="text1"/>
            <w:sz w:val="22"/>
            <w:szCs w:val="22"/>
          </w:rPr>
          <w:t>Id</w:t>
        </w:r>
        <w:r w:rsidRPr="00A1043D">
          <w:rPr>
            <w:rFonts w:ascii="Georgia" w:hAnsi="Georgia"/>
            <w:color w:val="000000" w:themeColor="text1"/>
            <w:sz w:val="22"/>
            <w:szCs w:val="22"/>
          </w:rPr>
          <w:t>., at 939–940</w:t>
        </w:r>
      </w:hyperlink>
      <w:r w:rsidRPr="00A1043D">
        <w:rPr>
          <w:rFonts w:ascii="Georgia" w:hAnsi="Georgia"/>
          <w:color w:val="000000" w:themeColor="text1"/>
          <w:sz w:val="22"/>
          <w:szCs w:val="22"/>
        </w:rPr>
        <w:t>.</w:t>
      </w:r>
    </w:p>
    <w:p w14:paraId="1273B860"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7C74E67B" w14:textId="77777777" w:rsidR="00F17340" w:rsidRPr="00A1043D" w:rsidRDefault="00000000" w:rsidP="0097443B">
      <w:pPr>
        <w:spacing w:after="0" w:line="240" w:lineRule="auto"/>
        <w:jc w:val="center"/>
        <w:rPr>
          <w:rFonts w:ascii="Georgia" w:hAnsi="Georgia"/>
          <w:color w:val="000000" w:themeColor="text1"/>
          <w:sz w:val="22"/>
          <w:szCs w:val="22"/>
        </w:rPr>
      </w:pPr>
      <w:bookmarkStart w:id="21" w:name="co_anchor_Ieacb42412c9311f19f84ca1ed2"/>
      <w:bookmarkStart w:id="22" w:name="co_anchor_Ieacb42412c9311f19f84ca1ed0fc"/>
      <w:r w:rsidRPr="00A1043D">
        <w:rPr>
          <w:rFonts w:ascii="Georgia" w:hAnsi="Georgia"/>
          <w:color w:val="000000" w:themeColor="text1"/>
          <w:sz w:val="22"/>
          <w:szCs w:val="22"/>
        </w:rPr>
        <w:t>II</w:t>
      </w:r>
    </w:p>
    <w:p w14:paraId="5F8864FB" w14:textId="77777777" w:rsidR="0097443B" w:rsidRPr="00A1043D" w:rsidRDefault="0097443B" w:rsidP="0097443B">
      <w:pPr>
        <w:spacing w:after="0" w:line="240" w:lineRule="auto"/>
        <w:ind w:firstLine="720"/>
        <w:jc w:val="both"/>
        <w:rPr>
          <w:rFonts w:ascii="Georgia" w:hAnsi="Georgia"/>
          <w:b/>
          <w:color w:val="000000" w:themeColor="text1"/>
          <w:sz w:val="22"/>
          <w:szCs w:val="22"/>
        </w:rPr>
      </w:pPr>
      <w:bookmarkStart w:id="23" w:name="co_pp_sp_999_9_1"/>
      <w:bookmarkEnd w:id="21"/>
      <w:bookmarkEnd w:id="22"/>
    </w:p>
    <w:bookmarkEnd w:id="23"/>
    <w:p w14:paraId="2BBAF1F3" w14:textId="4809D4F8"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I agree with the majority that neither of the two prior theories of secondary liability applied by this Court covers Cox's conduct. See </w:t>
      </w:r>
      <w:r w:rsidRPr="00A1043D">
        <w:rPr>
          <w:rFonts w:ascii="Georgia" w:hAnsi="Georgia"/>
          <w:i/>
          <w:color w:val="000000" w:themeColor="text1"/>
          <w:sz w:val="22"/>
          <w:szCs w:val="22"/>
        </w:rPr>
        <w:t>ante</w:t>
      </w:r>
      <w:r w:rsidRPr="00A1043D">
        <w:rPr>
          <w:rFonts w:ascii="Georgia" w:hAnsi="Georgia"/>
          <w:color w:val="000000" w:themeColor="text1"/>
          <w:sz w:val="22"/>
          <w:szCs w:val="22"/>
        </w:rPr>
        <w:t>, at –––– – ––––. The majority is wrong, however, that those are or should be the only two forms of secondary liability for copyright infringement. The majority's artificial limiting of secondary liability is supported by neither precedent nor statute.</w:t>
      </w:r>
    </w:p>
    <w:p w14:paraId="3DE0B518"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70902DEF" w14:textId="77777777" w:rsidR="00F17340" w:rsidRPr="00A1043D" w:rsidRDefault="00000000" w:rsidP="0097443B">
      <w:pPr>
        <w:spacing w:after="0" w:line="240" w:lineRule="auto"/>
        <w:jc w:val="center"/>
        <w:rPr>
          <w:rFonts w:ascii="Georgia" w:hAnsi="Georgia"/>
          <w:color w:val="000000" w:themeColor="text1"/>
          <w:sz w:val="22"/>
          <w:szCs w:val="22"/>
        </w:rPr>
      </w:pPr>
      <w:bookmarkStart w:id="24" w:name="co_anchor_Ieacbde812c9311f19f84ca1ed2"/>
      <w:bookmarkStart w:id="25" w:name="co_anchor_Ieacbde812c9311f19f84ca1ed0fc"/>
      <w:r w:rsidRPr="00A1043D">
        <w:rPr>
          <w:rFonts w:ascii="Georgia" w:hAnsi="Georgia"/>
          <w:color w:val="000000" w:themeColor="text1"/>
          <w:sz w:val="22"/>
          <w:szCs w:val="22"/>
        </w:rPr>
        <w:t>A</w:t>
      </w:r>
    </w:p>
    <w:bookmarkEnd w:id="24"/>
    <w:bookmarkEnd w:id="25"/>
    <w:p w14:paraId="4E02484B" w14:textId="77777777" w:rsidR="0097443B" w:rsidRPr="00A1043D" w:rsidRDefault="0097443B" w:rsidP="0097443B">
      <w:pPr>
        <w:spacing w:after="0" w:line="240" w:lineRule="auto"/>
        <w:ind w:firstLine="720"/>
        <w:jc w:val="both"/>
        <w:rPr>
          <w:rFonts w:ascii="Georgia" w:hAnsi="Georgia"/>
          <w:color w:val="000000" w:themeColor="text1"/>
          <w:sz w:val="22"/>
          <w:szCs w:val="22"/>
        </w:rPr>
      </w:pPr>
    </w:p>
    <w:p w14:paraId="663F3052" w14:textId="0E96E600"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To determine whether Cox may be held liable, the majority starts by correctly explaining that “[t]he provider of a service is contributorily liable for the user's infringement only if it intended that the provided service be used for infringement.” </w:t>
      </w:r>
      <w:r w:rsidRPr="00A1043D">
        <w:rPr>
          <w:rFonts w:ascii="Georgia" w:hAnsi="Georgia"/>
          <w:i/>
          <w:color w:val="000000" w:themeColor="text1"/>
          <w:sz w:val="22"/>
          <w:szCs w:val="22"/>
        </w:rPr>
        <w:t>Ante</w:t>
      </w:r>
      <w:r w:rsidRPr="00A1043D">
        <w:rPr>
          <w:rFonts w:ascii="Georgia" w:hAnsi="Georgia"/>
          <w:color w:val="000000" w:themeColor="text1"/>
          <w:sz w:val="22"/>
          <w:szCs w:val="22"/>
        </w:rPr>
        <w:t xml:space="preserve">, at ––––; </w:t>
      </w:r>
      <w:proofErr w:type="gramStart"/>
      <w:r w:rsidRPr="00A1043D">
        <w:rPr>
          <w:rFonts w:ascii="Georgia" w:hAnsi="Georgia"/>
          <w:color w:val="000000" w:themeColor="text1"/>
          <w:sz w:val="22"/>
          <w:szCs w:val="22"/>
        </w:rPr>
        <w:t xml:space="preserve">see </w:t>
      </w:r>
      <w:r w:rsidRPr="00A1043D">
        <w:rPr>
          <w:rFonts w:ascii="Georgia" w:hAnsi="Georgia"/>
          <w:i/>
          <w:color w:val="000000" w:themeColor="text1"/>
          <w:sz w:val="22"/>
          <w:szCs w:val="22"/>
        </w:rPr>
        <w:t>infra</w:t>
      </w:r>
      <w:r w:rsidRPr="00A1043D">
        <w:rPr>
          <w:rFonts w:ascii="Georgia" w:hAnsi="Georgia"/>
          <w:color w:val="000000" w:themeColor="text1"/>
          <w:sz w:val="22"/>
          <w:szCs w:val="22"/>
        </w:rPr>
        <w:t>,</w:t>
      </w:r>
      <w:proofErr w:type="gramEnd"/>
      <w:r w:rsidRPr="00A1043D">
        <w:rPr>
          <w:rFonts w:ascii="Georgia" w:hAnsi="Georgia"/>
          <w:color w:val="000000" w:themeColor="text1"/>
          <w:sz w:val="22"/>
          <w:szCs w:val="22"/>
        </w:rPr>
        <w:t xml:space="preserve"> at –––– – ––––. The majority, however, errs in the very next sentence. It asserts, with no meaningful explanation, that “[t]he intent required for contributory liability can be shown only if the party induced the infringement or the provided service is tailored to that infringement.” </w:t>
      </w:r>
      <w:r w:rsidRPr="00A1043D">
        <w:rPr>
          <w:rFonts w:ascii="Georgia" w:hAnsi="Georgia"/>
          <w:i/>
          <w:color w:val="000000" w:themeColor="text1"/>
          <w:sz w:val="22"/>
          <w:szCs w:val="22"/>
        </w:rPr>
        <w:t>Ante</w:t>
      </w:r>
      <w:r w:rsidRPr="00A1043D">
        <w:rPr>
          <w:rFonts w:ascii="Georgia" w:hAnsi="Georgia"/>
          <w:color w:val="000000" w:themeColor="text1"/>
          <w:sz w:val="22"/>
          <w:szCs w:val="22"/>
        </w:rPr>
        <w:t>, at ––––. Because plaintiffs do not satisfy those theories of contributory liability, according to the majority, their claims cannot succeed.</w:t>
      </w:r>
    </w:p>
    <w:p w14:paraId="212D956E"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CCA560E" w14:textId="76D7BFD3"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inflexible limit the majority imposes is nowhere to be found in either </w:t>
      </w:r>
      <w:hyperlink r:id="rId100">
        <w:r w:rsidRPr="00A1043D">
          <w:rPr>
            <w:rFonts w:ascii="Georgia" w:hAnsi="Georgia"/>
            <w:i/>
            <w:color w:val="000000" w:themeColor="text1"/>
            <w:sz w:val="22"/>
            <w:szCs w:val="22"/>
          </w:rPr>
          <w:t xml:space="preserve">Sony </w:t>
        </w:r>
      </w:hyperlink>
      <w:r w:rsidRPr="00A1043D">
        <w:rPr>
          <w:rFonts w:ascii="Georgia" w:hAnsi="Georgia"/>
          <w:color w:val="000000" w:themeColor="text1"/>
          <w:sz w:val="22"/>
          <w:szCs w:val="22"/>
        </w:rPr>
        <w:t xml:space="preserve">or </w:t>
      </w:r>
      <w:hyperlink r:id="rId101">
        <w:proofErr w:type="spellStart"/>
        <w:r w:rsidRPr="00A1043D">
          <w:rPr>
            <w:rFonts w:ascii="Georgia" w:hAnsi="Georgia"/>
            <w:i/>
            <w:color w:val="000000" w:themeColor="text1"/>
            <w:sz w:val="22"/>
            <w:szCs w:val="22"/>
          </w:rPr>
          <w:t>Grokster</w:t>
        </w:r>
        <w:proofErr w:type="spellEnd"/>
      </w:hyperlink>
      <w:r w:rsidRPr="00A1043D">
        <w:rPr>
          <w:rFonts w:ascii="Georgia" w:hAnsi="Georgia"/>
          <w:color w:val="000000" w:themeColor="text1"/>
          <w:sz w:val="22"/>
          <w:szCs w:val="22"/>
        </w:rPr>
        <w:t xml:space="preserve">, the only authorities that the majority cites, see </w:t>
      </w:r>
      <w:r w:rsidRPr="00A1043D">
        <w:rPr>
          <w:rFonts w:ascii="Georgia" w:hAnsi="Georgia"/>
          <w:i/>
          <w:color w:val="000000" w:themeColor="text1"/>
          <w:sz w:val="22"/>
          <w:szCs w:val="22"/>
        </w:rPr>
        <w:t>ante</w:t>
      </w:r>
      <w:r w:rsidRPr="00A1043D">
        <w:rPr>
          <w:rFonts w:ascii="Georgia" w:hAnsi="Georgia"/>
          <w:color w:val="000000" w:themeColor="text1"/>
          <w:sz w:val="22"/>
          <w:szCs w:val="22"/>
        </w:rPr>
        <w:t xml:space="preserve">, at ––––. Beginning with </w:t>
      </w:r>
      <w:hyperlink r:id="rId102">
        <w:r w:rsidRPr="00A1043D">
          <w:rPr>
            <w:rFonts w:ascii="Georgia" w:hAnsi="Georgia"/>
            <w:i/>
            <w:color w:val="000000" w:themeColor="text1"/>
            <w:sz w:val="22"/>
            <w:szCs w:val="22"/>
          </w:rPr>
          <w:t>Sony</w:t>
        </w:r>
      </w:hyperlink>
      <w:r w:rsidRPr="00A1043D">
        <w:rPr>
          <w:rFonts w:ascii="Georgia" w:hAnsi="Georgia"/>
          <w:color w:val="000000" w:themeColor="text1"/>
          <w:sz w:val="22"/>
          <w:szCs w:val="22"/>
        </w:rPr>
        <w:t xml:space="preserve">, although that case acknowledged that the Copyright Act does not expressly provide for secondary liability, it also clarified that “[t]he absence of such express language in the copyright statute does not preclude the imposition of” secondary liability, such as vicarious and contributory liability, because both forms of liability are “imposed in virtually all areas of the law.” </w:t>
      </w:r>
      <w:hyperlink r:id="rId103" w:anchor="co_pp_sp_780_434">
        <w:r w:rsidRPr="00A1043D">
          <w:rPr>
            <w:rFonts w:ascii="Georgia" w:hAnsi="Georgia"/>
            <w:color w:val="000000" w:themeColor="text1"/>
            <w:sz w:val="22"/>
            <w:szCs w:val="22"/>
          </w:rPr>
          <w:t>464 U.S., at 434–435</w:t>
        </w:r>
      </w:hyperlink>
      <w:r w:rsidRPr="00A1043D">
        <w:rPr>
          <w:rFonts w:ascii="Georgia" w:hAnsi="Georgia"/>
          <w:color w:val="000000" w:themeColor="text1"/>
          <w:sz w:val="22"/>
          <w:szCs w:val="22"/>
        </w:rPr>
        <w:t xml:space="preserve">; see </w:t>
      </w:r>
      <w:hyperlink r:id="rId104">
        <w:r w:rsidRPr="00A1043D">
          <w:rPr>
            <w:rFonts w:ascii="Georgia" w:hAnsi="Georgia"/>
            <w:i/>
            <w:color w:val="000000" w:themeColor="text1"/>
            <w:sz w:val="22"/>
            <w:szCs w:val="22"/>
          </w:rPr>
          <w:t>id</w:t>
        </w:r>
        <w:r w:rsidRPr="00A1043D">
          <w:rPr>
            <w:rFonts w:ascii="Georgia" w:hAnsi="Georgia"/>
            <w:color w:val="000000" w:themeColor="text1"/>
            <w:sz w:val="22"/>
            <w:szCs w:val="22"/>
          </w:rPr>
          <w:t>., at 436</w:t>
        </w:r>
        <w:r w:rsidR="00DF6D90" w:rsidRPr="00A1043D">
          <w:rPr>
            <w:rFonts w:ascii="Georgia" w:hAnsi="Georgia"/>
            <w:color w:val="000000" w:themeColor="text1"/>
            <w:sz w:val="22"/>
            <w:szCs w:val="22"/>
          </w:rPr>
          <w:t xml:space="preserve"> </w:t>
        </w:r>
      </w:hyperlink>
      <w:r w:rsidRPr="00A1043D">
        <w:rPr>
          <w:rFonts w:ascii="Georgia" w:hAnsi="Georgia"/>
          <w:color w:val="000000" w:themeColor="text1"/>
          <w:sz w:val="22"/>
          <w:szCs w:val="22"/>
        </w:rPr>
        <w:t xml:space="preserve">(Contributory liability principles are “ ‘recognized in every part of the law’ ”). Far from supporting the majority's limitation of secondary liability, </w:t>
      </w:r>
      <w:hyperlink r:id="rId105">
        <w:r w:rsidRPr="00A1043D">
          <w:rPr>
            <w:rFonts w:ascii="Georgia" w:hAnsi="Georgia"/>
            <w:i/>
            <w:color w:val="000000" w:themeColor="text1"/>
            <w:sz w:val="22"/>
            <w:szCs w:val="22"/>
          </w:rPr>
          <w:t xml:space="preserve">Sony </w:t>
        </w:r>
      </w:hyperlink>
      <w:r w:rsidRPr="00A1043D">
        <w:rPr>
          <w:rFonts w:ascii="Georgia" w:hAnsi="Georgia"/>
          <w:color w:val="000000" w:themeColor="text1"/>
          <w:sz w:val="22"/>
          <w:szCs w:val="22"/>
        </w:rPr>
        <w:t xml:space="preserve">teaches that the scope of secondary liability for copyright infringement should be defined by reference to other areas of the law. </w:t>
      </w:r>
      <w:hyperlink r:id="rId106">
        <w:r w:rsidRPr="00A1043D">
          <w:rPr>
            <w:rFonts w:ascii="Georgia" w:hAnsi="Georgia"/>
            <w:i/>
            <w:color w:val="000000" w:themeColor="text1"/>
            <w:sz w:val="22"/>
            <w:szCs w:val="22"/>
          </w:rPr>
          <w:t>Id</w:t>
        </w:r>
        <w:r w:rsidRPr="00A1043D">
          <w:rPr>
            <w:rFonts w:ascii="Georgia" w:hAnsi="Georgia"/>
            <w:color w:val="000000" w:themeColor="text1"/>
            <w:sz w:val="22"/>
            <w:szCs w:val="22"/>
          </w:rPr>
          <w:t>., at 435–437</w:t>
        </w:r>
      </w:hyperlink>
      <w:r w:rsidRPr="00A1043D">
        <w:rPr>
          <w:rFonts w:ascii="Georgia" w:hAnsi="Georgia"/>
          <w:color w:val="000000" w:themeColor="text1"/>
          <w:sz w:val="22"/>
          <w:szCs w:val="22"/>
        </w:rPr>
        <w:t>.</w:t>
      </w:r>
    </w:p>
    <w:p w14:paraId="295440A9"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20416AB0" w14:textId="6FD850E6"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Court reinforced this point in </w:t>
      </w:r>
      <w:hyperlink r:id="rId107">
        <w:proofErr w:type="spellStart"/>
        <w:r w:rsidRPr="00A1043D">
          <w:rPr>
            <w:rFonts w:ascii="Georgia" w:hAnsi="Georgia"/>
            <w:i/>
            <w:color w:val="000000" w:themeColor="text1"/>
            <w:sz w:val="22"/>
            <w:szCs w:val="22"/>
          </w:rPr>
          <w:t>Grokster</w:t>
        </w:r>
        <w:proofErr w:type="spellEnd"/>
      </w:hyperlink>
      <w:r w:rsidRPr="00A1043D">
        <w:rPr>
          <w:rFonts w:ascii="Georgia" w:hAnsi="Georgia"/>
          <w:color w:val="000000" w:themeColor="text1"/>
          <w:sz w:val="22"/>
          <w:szCs w:val="22"/>
        </w:rPr>
        <w:t xml:space="preserve">. In that case, the Ninth Circuit attempted to limit contributory liability to the circumstances </w:t>
      </w:r>
      <w:hyperlink r:id="rId108">
        <w:r w:rsidRPr="00A1043D">
          <w:rPr>
            <w:rFonts w:ascii="Georgia" w:hAnsi="Georgia"/>
            <w:i/>
            <w:color w:val="000000" w:themeColor="text1"/>
            <w:sz w:val="22"/>
            <w:szCs w:val="22"/>
          </w:rPr>
          <w:t xml:space="preserve">Sony </w:t>
        </w:r>
      </w:hyperlink>
      <w:r w:rsidRPr="00A1043D">
        <w:rPr>
          <w:rFonts w:ascii="Georgia" w:hAnsi="Georgia"/>
          <w:color w:val="000000" w:themeColor="text1"/>
          <w:sz w:val="22"/>
          <w:szCs w:val="22"/>
        </w:rPr>
        <w:t xml:space="preserve">confronted. This Court reversed, explaining that </w:t>
      </w:r>
      <w:hyperlink r:id="rId109">
        <w:r w:rsidRPr="00A1043D">
          <w:rPr>
            <w:rFonts w:ascii="Georgia" w:hAnsi="Georgia"/>
            <w:i/>
            <w:color w:val="000000" w:themeColor="text1"/>
            <w:sz w:val="22"/>
            <w:szCs w:val="22"/>
          </w:rPr>
          <w:t xml:space="preserve">Sony </w:t>
        </w:r>
      </w:hyperlink>
      <w:r w:rsidRPr="00A1043D">
        <w:rPr>
          <w:rFonts w:ascii="Georgia" w:hAnsi="Georgia"/>
          <w:color w:val="000000" w:themeColor="text1"/>
          <w:sz w:val="22"/>
          <w:szCs w:val="22"/>
        </w:rPr>
        <w:t xml:space="preserve">neither “displace[d] other theories of secondary liability” nor “foreclose[d] rules of fault-based liability derived from the common law.” </w:t>
      </w:r>
      <w:hyperlink r:id="rId110" w:anchor="co_pp_sp_780_934">
        <w:r w:rsidRPr="00A1043D">
          <w:rPr>
            <w:rFonts w:ascii="Georgia" w:hAnsi="Georgia"/>
            <w:color w:val="000000" w:themeColor="text1"/>
            <w:sz w:val="22"/>
            <w:szCs w:val="22"/>
          </w:rPr>
          <w:t>545 U.S., at 934–935</w:t>
        </w:r>
      </w:hyperlink>
      <w:r w:rsidRPr="00A1043D">
        <w:rPr>
          <w:rFonts w:ascii="Georgia" w:hAnsi="Georgia"/>
          <w:color w:val="000000" w:themeColor="text1"/>
          <w:sz w:val="22"/>
          <w:szCs w:val="22"/>
        </w:rPr>
        <w:t xml:space="preserve">. Instead, all </w:t>
      </w:r>
      <w:hyperlink r:id="rId111">
        <w:r w:rsidRPr="00A1043D">
          <w:rPr>
            <w:rFonts w:ascii="Georgia" w:hAnsi="Georgia"/>
            <w:i/>
            <w:color w:val="000000" w:themeColor="text1"/>
            <w:sz w:val="22"/>
            <w:szCs w:val="22"/>
          </w:rPr>
          <w:t xml:space="preserve">Sony </w:t>
        </w:r>
      </w:hyperlink>
      <w:r w:rsidRPr="00A1043D">
        <w:rPr>
          <w:rFonts w:ascii="Georgia" w:hAnsi="Georgia"/>
          <w:color w:val="000000" w:themeColor="text1"/>
          <w:sz w:val="22"/>
          <w:szCs w:val="22"/>
        </w:rPr>
        <w:t>did was “</w:t>
      </w:r>
      <w:proofErr w:type="spellStart"/>
      <w:r w:rsidRPr="00A1043D">
        <w:rPr>
          <w:rFonts w:ascii="Georgia" w:hAnsi="Georgia"/>
          <w:color w:val="000000" w:themeColor="text1"/>
          <w:sz w:val="22"/>
          <w:szCs w:val="22"/>
        </w:rPr>
        <w:t>limi</w:t>
      </w:r>
      <w:proofErr w:type="spellEnd"/>
      <w:r w:rsidRPr="00A1043D">
        <w:rPr>
          <w:rFonts w:ascii="Georgia" w:hAnsi="Georgia"/>
          <w:color w:val="000000" w:themeColor="text1"/>
          <w:sz w:val="22"/>
          <w:szCs w:val="22"/>
        </w:rPr>
        <w:t xml:space="preserve">[t] imputing culpable intent as a matter of law from the characteristics or uses of a </w:t>
      </w:r>
      <w:r w:rsidRPr="00A1043D">
        <w:rPr>
          <w:rFonts w:ascii="Georgia" w:hAnsi="Georgia"/>
          <w:color w:val="000000" w:themeColor="text1"/>
          <w:sz w:val="22"/>
          <w:szCs w:val="22"/>
        </w:rPr>
        <w:lastRenderedPageBreak/>
        <w:t xml:space="preserve">distributed product.” </w:t>
      </w:r>
      <w:hyperlink r:id="rId112" w:anchor="co_pp_sp_780_934">
        <w:r w:rsidRPr="00A1043D">
          <w:rPr>
            <w:rFonts w:ascii="Georgia" w:hAnsi="Georgia"/>
            <w:color w:val="000000" w:themeColor="text1"/>
            <w:sz w:val="22"/>
            <w:szCs w:val="22"/>
          </w:rPr>
          <w:t>545 U.S., at 934</w:t>
        </w:r>
      </w:hyperlink>
      <w:r w:rsidRPr="00A1043D">
        <w:rPr>
          <w:rFonts w:ascii="Georgia" w:hAnsi="Georgia"/>
          <w:color w:val="000000" w:themeColor="text1"/>
          <w:sz w:val="22"/>
          <w:szCs w:val="22"/>
        </w:rPr>
        <w:t>. “[N]</w:t>
      </w:r>
      <w:proofErr w:type="spellStart"/>
      <w:r w:rsidRPr="00A1043D">
        <w:rPr>
          <w:rFonts w:ascii="Georgia" w:hAnsi="Georgia"/>
          <w:color w:val="000000" w:themeColor="text1"/>
          <w:sz w:val="22"/>
          <w:szCs w:val="22"/>
        </w:rPr>
        <w:t>othing</w:t>
      </w:r>
      <w:proofErr w:type="spellEnd"/>
      <w:r w:rsidRPr="00A1043D">
        <w:rPr>
          <w:rFonts w:ascii="Georgia" w:hAnsi="Georgia"/>
          <w:color w:val="000000" w:themeColor="text1"/>
          <w:sz w:val="22"/>
          <w:szCs w:val="22"/>
        </w:rPr>
        <w:t xml:space="preserve"> in </w:t>
      </w:r>
      <w:hyperlink r:id="rId113">
        <w:r w:rsidRPr="00A1043D">
          <w:rPr>
            <w:rFonts w:ascii="Georgia" w:hAnsi="Georgia"/>
            <w:i/>
            <w:color w:val="000000" w:themeColor="text1"/>
            <w:sz w:val="22"/>
            <w:szCs w:val="22"/>
          </w:rPr>
          <w:t>Sony</w:t>
        </w:r>
      </w:hyperlink>
      <w:r w:rsidRPr="00A1043D">
        <w:rPr>
          <w:rFonts w:ascii="Georgia" w:hAnsi="Georgia"/>
          <w:color w:val="000000" w:themeColor="text1"/>
          <w:sz w:val="22"/>
          <w:szCs w:val="22"/>
        </w:rPr>
        <w:t xml:space="preserve">,” the Court said, “requires courts to ignore evidence of intent if there is such evidence.” </w:t>
      </w:r>
      <w:hyperlink r:id="rId114">
        <w:r w:rsidRPr="00A1043D">
          <w:rPr>
            <w:rFonts w:ascii="Georgia" w:hAnsi="Georgia"/>
            <w:i/>
            <w:color w:val="000000" w:themeColor="text1"/>
            <w:sz w:val="22"/>
            <w:szCs w:val="22"/>
          </w:rPr>
          <w:t>Ibid</w:t>
        </w:r>
        <w:r w:rsidRPr="00A1043D">
          <w:rPr>
            <w:rFonts w:ascii="Georgia" w:hAnsi="Georgia"/>
            <w:color w:val="000000" w:themeColor="text1"/>
            <w:sz w:val="22"/>
            <w:szCs w:val="22"/>
          </w:rPr>
          <w:t>.</w:t>
        </w:r>
      </w:hyperlink>
    </w:p>
    <w:p w14:paraId="08A6ACDF"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7D428CB2" w14:textId="3A6F2B22"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Properly understood, </w:t>
      </w:r>
      <w:hyperlink r:id="rId115">
        <w:r w:rsidRPr="00A1043D">
          <w:rPr>
            <w:rFonts w:ascii="Georgia" w:hAnsi="Georgia"/>
            <w:i/>
            <w:color w:val="000000" w:themeColor="text1"/>
            <w:sz w:val="22"/>
            <w:szCs w:val="22"/>
          </w:rPr>
          <w:t xml:space="preserve">Sony </w:t>
        </w:r>
      </w:hyperlink>
      <w:r w:rsidRPr="00A1043D">
        <w:rPr>
          <w:rFonts w:ascii="Georgia" w:hAnsi="Georgia"/>
          <w:color w:val="000000" w:themeColor="text1"/>
          <w:sz w:val="22"/>
          <w:szCs w:val="22"/>
        </w:rPr>
        <w:t xml:space="preserve">and </w:t>
      </w:r>
      <w:hyperlink r:id="rId116">
        <w:proofErr w:type="spellStart"/>
        <w:r w:rsidRPr="00A1043D">
          <w:rPr>
            <w:rFonts w:ascii="Georgia" w:hAnsi="Georgia"/>
            <w:i/>
            <w:color w:val="000000" w:themeColor="text1"/>
            <w:sz w:val="22"/>
            <w:szCs w:val="22"/>
          </w:rPr>
          <w:t>Grokster</w:t>
        </w:r>
        <w:proofErr w:type="spellEnd"/>
        <w:r w:rsidRPr="00A1043D">
          <w:rPr>
            <w:rFonts w:ascii="Georgia" w:hAnsi="Georgia"/>
            <w:i/>
            <w:color w:val="000000" w:themeColor="text1"/>
            <w:sz w:val="22"/>
            <w:szCs w:val="22"/>
          </w:rPr>
          <w:t xml:space="preserve"> </w:t>
        </w:r>
      </w:hyperlink>
      <w:r w:rsidRPr="00A1043D">
        <w:rPr>
          <w:rFonts w:ascii="Georgia" w:hAnsi="Georgia"/>
          <w:color w:val="000000" w:themeColor="text1"/>
          <w:sz w:val="22"/>
          <w:szCs w:val="22"/>
        </w:rPr>
        <w:t xml:space="preserve">preserved other forms of secondary liability derived from the common law. The majority, however, does not even mention that </w:t>
      </w:r>
      <w:hyperlink r:id="rId117">
        <w:proofErr w:type="spellStart"/>
        <w:r w:rsidRPr="00A1043D">
          <w:rPr>
            <w:rFonts w:ascii="Georgia" w:hAnsi="Georgia"/>
            <w:i/>
            <w:color w:val="000000" w:themeColor="text1"/>
            <w:sz w:val="22"/>
            <w:szCs w:val="22"/>
          </w:rPr>
          <w:t>Grokster</w:t>
        </w:r>
        <w:proofErr w:type="spellEnd"/>
      </w:hyperlink>
      <w:r w:rsidRPr="00A1043D">
        <w:rPr>
          <w:rFonts w:ascii="Georgia" w:hAnsi="Georgia"/>
          <w:color w:val="000000" w:themeColor="text1"/>
          <w:sz w:val="22"/>
          <w:szCs w:val="22"/>
        </w:rPr>
        <w:t xml:space="preserve"> expressly held the door open to other common-law liability rules. Instead, all the majority offers </w:t>
      </w:r>
      <w:proofErr w:type="gramStart"/>
      <w:r w:rsidRPr="00A1043D">
        <w:rPr>
          <w:rFonts w:ascii="Georgia" w:hAnsi="Georgia"/>
          <w:color w:val="000000" w:themeColor="text1"/>
          <w:sz w:val="22"/>
          <w:szCs w:val="22"/>
        </w:rPr>
        <w:t>is</w:t>
      </w:r>
      <w:proofErr w:type="gramEnd"/>
      <w:r w:rsidRPr="00A1043D">
        <w:rPr>
          <w:rFonts w:ascii="Georgia" w:hAnsi="Georgia"/>
          <w:color w:val="000000" w:themeColor="text1"/>
          <w:sz w:val="22"/>
          <w:szCs w:val="22"/>
        </w:rPr>
        <w:t xml:space="preserve"> that it is “loath to expand [secondary] liability” further based on the general principle that “[o]</w:t>
      </w:r>
      <w:proofErr w:type="spellStart"/>
      <w:r w:rsidRPr="00A1043D">
        <w:rPr>
          <w:rFonts w:ascii="Georgia" w:hAnsi="Georgia"/>
          <w:color w:val="000000" w:themeColor="text1"/>
          <w:sz w:val="22"/>
          <w:szCs w:val="22"/>
        </w:rPr>
        <w:t>rdinarily</w:t>
      </w:r>
      <w:proofErr w:type="spellEnd"/>
      <w:r w:rsidRPr="00A1043D">
        <w:rPr>
          <w:rFonts w:ascii="Georgia" w:hAnsi="Georgia"/>
          <w:color w:val="000000" w:themeColor="text1"/>
          <w:sz w:val="22"/>
          <w:szCs w:val="22"/>
        </w:rPr>
        <w:t xml:space="preserve">, when Congress intends to impose secondary liability, it does so expressly.” </w:t>
      </w:r>
      <w:r w:rsidRPr="00A1043D">
        <w:rPr>
          <w:rFonts w:ascii="Georgia" w:hAnsi="Georgia"/>
          <w:i/>
          <w:color w:val="000000" w:themeColor="text1"/>
          <w:sz w:val="22"/>
          <w:szCs w:val="22"/>
        </w:rPr>
        <w:t>Ante</w:t>
      </w:r>
      <w:r w:rsidRPr="00A1043D">
        <w:rPr>
          <w:rFonts w:ascii="Georgia" w:hAnsi="Georgia"/>
          <w:color w:val="000000" w:themeColor="text1"/>
          <w:sz w:val="22"/>
          <w:szCs w:val="22"/>
        </w:rPr>
        <w:t xml:space="preserve">, at –––– – ––––. That principle, however, is irrelevant here because this Court held over 40 years ago that the Copyright Act impliedly provides for secondary liability. See </w:t>
      </w:r>
      <w:hyperlink r:id="rId118" w:anchor="co_pp_sp_780_434">
        <w:r w:rsidRPr="00A1043D">
          <w:rPr>
            <w:rFonts w:ascii="Georgia" w:hAnsi="Georgia"/>
            <w:i/>
            <w:color w:val="000000" w:themeColor="text1"/>
            <w:sz w:val="22"/>
            <w:szCs w:val="22"/>
          </w:rPr>
          <w:t>Sony</w:t>
        </w:r>
        <w:r w:rsidRPr="00A1043D">
          <w:rPr>
            <w:rFonts w:ascii="Georgia" w:hAnsi="Georgia"/>
            <w:color w:val="000000" w:themeColor="text1"/>
            <w:sz w:val="22"/>
            <w:szCs w:val="22"/>
          </w:rPr>
          <w:t>, 464 U.S., at 434–435</w:t>
        </w:r>
      </w:hyperlink>
      <w:r w:rsidRPr="00A1043D">
        <w:rPr>
          <w:rFonts w:ascii="Georgia" w:hAnsi="Georgia"/>
          <w:color w:val="000000" w:themeColor="text1"/>
          <w:sz w:val="22"/>
          <w:szCs w:val="22"/>
        </w:rPr>
        <w:t xml:space="preserve">. </w:t>
      </w:r>
      <w:r w:rsidRPr="00A1043D">
        <w:rPr>
          <w:rFonts w:ascii="Georgia" w:hAnsi="Georgia"/>
          <w:i/>
          <w:color w:val="000000" w:themeColor="text1"/>
          <w:sz w:val="22"/>
          <w:szCs w:val="22"/>
        </w:rPr>
        <w:t xml:space="preserve">Stare decisis </w:t>
      </w:r>
      <w:r w:rsidRPr="00A1043D">
        <w:rPr>
          <w:rFonts w:ascii="Georgia" w:hAnsi="Georgia"/>
          <w:color w:val="000000" w:themeColor="text1"/>
          <w:sz w:val="22"/>
          <w:szCs w:val="22"/>
        </w:rPr>
        <w:t xml:space="preserve">requires this Court to apply that holding fairly, not </w:t>
      </w:r>
      <w:proofErr w:type="gramStart"/>
      <w:r w:rsidRPr="00A1043D">
        <w:rPr>
          <w:rFonts w:ascii="Georgia" w:hAnsi="Georgia"/>
          <w:color w:val="000000" w:themeColor="text1"/>
          <w:sz w:val="22"/>
          <w:szCs w:val="22"/>
        </w:rPr>
        <w:t>ignore</w:t>
      </w:r>
      <w:proofErr w:type="gramEnd"/>
      <w:r w:rsidRPr="00A1043D">
        <w:rPr>
          <w:rFonts w:ascii="Georgia" w:hAnsi="Georgia"/>
          <w:color w:val="000000" w:themeColor="text1"/>
          <w:sz w:val="22"/>
          <w:szCs w:val="22"/>
        </w:rPr>
        <w:t xml:space="preserve"> or artificially constrain it. Indeed, “</w:t>
      </w:r>
      <w:r w:rsidRPr="00A1043D">
        <w:rPr>
          <w:rFonts w:ascii="Georgia" w:hAnsi="Georgia"/>
          <w:i/>
          <w:color w:val="000000" w:themeColor="text1"/>
          <w:sz w:val="22"/>
          <w:szCs w:val="22"/>
        </w:rPr>
        <w:t xml:space="preserve">stare decisis </w:t>
      </w:r>
      <w:r w:rsidRPr="00A1043D">
        <w:rPr>
          <w:rFonts w:ascii="Georgia" w:hAnsi="Georgia"/>
          <w:color w:val="000000" w:themeColor="text1"/>
          <w:sz w:val="22"/>
          <w:szCs w:val="22"/>
        </w:rPr>
        <w:t xml:space="preserve">carries enhanced force when a decision ... interprets a statute.” </w:t>
      </w:r>
      <w:hyperlink r:id="rId119" w:anchor="co_pp_sp_780_456">
        <w:r w:rsidRPr="00A1043D">
          <w:rPr>
            <w:rFonts w:ascii="Georgia" w:hAnsi="Georgia"/>
            <w:i/>
            <w:color w:val="000000" w:themeColor="text1"/>
            <w:sz w:val="22"/>
            <w:szCs w:val="22"/>
          </w:rPr>
          <w:t>Kimble v. Marvel Entertainment, LLC</w:t>
        </w:r>
        <w:r w:rsidRPr="00A1043D">
          <w:rPr>
            <w:rFonts w:ascii="Georgia" w:hAnsi="Georgia"/>
            <w:color w:val="000000" w:themeColor="text1"/>
            <w:sz w:val="22"/>
            <w:szCs w:val="22"/>
          </w:rPr>
          <w:t>, 576 U.S. 446, 456</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(2015)</w:t>
        </w:r>
      </w:hyperlink>
      <w:r w:rsidRPr="00A1043D">
        <w:rPr>
          <w:rFonts w:ascii="Georgia" w:hAnsi="Georgia"/>
          <w:color w:val="000000" w:themeColor="text1"/>
          <w:sz w:val="22"/>
          <w:szCs w:val="22"/>
        </w:rPr>
        <w:t xml:space="preserve">. Whatever the majority may think of </w:t>
      </w:r>
      <w:hyperlink r:id="rId120">
        <w:r w:rsidRPr="00A1043D">
          <w:rPr>
            <w:rFonts w:ascii="Georgia" w:hAnsi="Georgia"/>
            <w:i/>
            <w:color w:val="000000" w:themeColor="text1"/>
            <w:sz w:val="22"/>
            <w:szCs w:val="22"/>
          </w:rPr>
          <w:t xml:space="preserve">Sony </w:t>
        </w:r>
      </w:hyperlink>
      <w:r w:rsidRPr="00A1043D">
        <w:rPr>
          <w:rFonts w:ascii="Georgia" w:hAnsi="Georgia"/>
          <w:color w:val="000000" w:themeColor="text1"/>
          <w:sz w:val="22"/>
          <w:szCs w:val="22"/>
        </w:rPr>
        <w:t xml:space="preserve">and </w:t>
      </w:r>
      <w:hyperlink r:id="rId121">
        <w:proofErr w:type="spellStart"/>
        <w:r w:rsidRPr="00A1043D">
          <w:rPr>
            <w:rFonts w:ascii="Georgia" w:hAnsi="Georgia"/>
            <w:i/>
            <w:color w:val="000000" w:themeColor="text1"/>
            <w:sz w:val="22"/>
            <w:szCs w:val="22"/>
          </w:rPr>
          <w:t>Grokster</w:t>
        </w:r>
        <w:proofErr w:type="spellEnd"/>
      </w:hyperlink>
      <w:r w:rsidRPr="00A1043D">
        <w:rPr>
          <w:rFonts w:ascii="Georgia" w:hAnsi="Georgia"/>
          <w:color w:val="000000" w:themeColor="text1"/>
          <w:sz w:val="22"/>
          <w:szCs w:val="22"/>
        </w:rPr>
        <w:t xml:space="preserve">, those decisions have “effectively become part of the [copyright] statutory scheme.” </w:t>
      </w:r>
      <w:hyperlink r:id="rId122" w:anchor="co_pp_sp_780_456">
        <w:r w:rsidRPr="00A1043D">
          <w:rPr>
            <w:rFonts w:ascii="Georgia" w:hAnsi="Georgia"/>
            <w:i/>
            <w:color w:val="000000" w:themeColor="text1"/>
            <w:sz w:val="22"/>
            <w:szCs w:val="22"/>
          </w:rPr>
          <w:t>Kimble</w:t>
        </w:r>
        <w:r w:rsidRPr="00A1043D">
          <w:rPr>
            <w:rFonts w:ascii="Georgia" w:hAnsi="Georgia"/>
            <w:color w:val="000000" w:themeColor="text1"/>
            <w:sz w:val="22"/>
            <w:szCs w:val="22"/>
          </w:rPr>
          <w:t>, 576 U.S., at 456</w:t>
        </w:r>
      </w:hyperlink>
      <w:r w:rsidRPr="00A1043D">
        <w:rPr>
          <w:rFonts w:ascii="Georgia" w:hAnsi="Georgia"/>
          <w:color w:val="000000" w:themeColor="text1"/>
          <w:sz w:val="22"/>
          <w:szCs w:val="22"/>
        </w:rPr>
        <w:t>. Whether that statutory scheme imposes liability under these circumstances must be decided according to what those cases said, not what the majority might wish they had said. Adhering to precedent is even more important where, as here, Congress has legislated based on this Court's decisions.</w:t>
      </w:r>
    </w:p>
    <w:p w14:paraId="7D1C96E0"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4CD50649" w14:textId="77777777" w:rsidR="00F17340" w:rsidRPr="00A1043D" w:rsidRDefault="00000000" w:rsidP="0097443B">
      <w:pPr>
        <w:spacing w:after="0" w:line="240" w:lineRule="auto"/>
        <w:jc w:val="center"/>
        <w:rPr>
          <w:rFonts w:ascii="Georgia" w:hAnsi="Georgia"/>
          <w:color w:val="000000" w:themeColor="text1"/>
          <w:sz w:val="22"/>
          <w:szCs w:val="22"/>
        </w:rPr>
      </w:pPr>
      <w:bookmarkStart w:id="26" w:name="co_anchor_Iead099712c9311f19f84ca1ed2"/>
      <w:bookmarkStart w:id="27" w:name="co_anchor_Iead099712c9311f19f84ca1ed0fc"/>
      <w:r w:rsidRPr="00A1043D">
        <w:rPr>
          <w:rFonts w:ascii="Georgia" w:hAnsi="Georgia"/>
          <w:color w:val="000000" w:themeColor="text1"/>
          <w:sz w:val="22"/>
          <w:szCs w:val="22"/>
        </w:rPr>
        <w:t>B</w:t>
      </w:r>
    </w:p>
    <w:p w14:paraId="2EFEABB7" w14:textId="77777777" w:rsidR="0097443B" w:rsidRPr="00A1043D" w:rsidRDefault="0097443B" w:rsidP="0097443B">
      <w:pPr>
        <w:spacing w:after="0" w:line="240" w:lineRule="auto"/>
        <w:ind w:firstLine="720"/>
        <w:jc w:val="both"/>
        <w:rPr>
          <w:rFonts w:ascii="Georgia" w:hAnsi="Georgia"/>
          <w:b/>
          <w:color w:val="000000" w:themeColor="text1"/>
          <w:sz w:val="22"/>
          <w:szCs w:val="22"/>
        </w:rPr>
      </w:pPr>
      <w:bookmarkStart w:id="28" w:name="co_pp_sp_999_10_1"/>
      <w:bookmarkEnd w:id="26"/>
      <w:bookmarkEnd w:id="27"/>
    </w:p>
    <w:bookmarkEnd w:id="28"/>
    <w:p w14:paraId="235F028D" w14:textId="55D67F35"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majority's limiting of secondary liability here dismantles the statutory incentive structure that Congress created. Congress passed the Digital Millennium Copyright Act (DMCA) in 1998, 14 years after this Court held in </w:t>
      </w:r>
      <w:hyperlink r:id="rId123">
        <w:r w:rsidRPr="00A1043D">
          <w:rPr>
            <w:rFonts w:ascii="Georgia" w:hAnsi="Georgia"/>
            <w:i/>
            <w:color w:val="000000" w:themeColor="text1"/>
            <w:sz w:val="22"/>
            <w:szCs w:val="22"/>
          </w:rPr>
          <w:t xml:space="preserve">Sony </w:t>
        </w:r>
      </w:hyperlink>
      <w:r w:rsidRPr="00A1043D">
        <w:rPr>
          <w:rFonts w:ascii="Georgia" w:hAnsi="Georgia"/>
          <w:color w:val="000000" w:themeColor="text1"/>
          <w:sz w:val="22"/>
          <w:szCs w:val="22"/>
        </w:rPr>
        <w:t>that the Copyright Act impliedly provided for secondary liability. At the time, the internet was exploding in popularity. Without knowing more about the outer bounds of secondary liability for copyright infringement, and faced with a rapidly changing technological landscape, Congress included in the DMCA a safe harbor that shields internet service providers (ISPs) like Cox from secondary liability for copyright infringement. To gain that protection, they must “</w:t>
      </w:r>
      <w:proofErr w:type="spellStart"/>
      <w:r w:rsidRPr="00A1043D">
        <w:rPr>
          <w:rFonts w:ascii="Georgia" w:hAnsi="Georgia"/>
          <w:color w:val="000000" w:themeColor="text1"/>
          <w:sz w:val="22"/>
          <w:szCs w:val="22"/>
        </w:rPr>
        <w:t>adop</w:t>
      </w:r>
      <w:proofErr w:type="spellEnd"/>
      <w:r w:rsidRPr="00A1043D">
        <w:rPr>
          <w:rFonts w:ascii="Georgia" w:hAnsi="Georgia"/>
          <w:color w:val="000000" w:themeColor="text1"/>
          <w:sz w:val="22"/>
          <w:szCs w:val="22"/>
        </w:rPr>
        <w:t xml:space="preserve">[t] and reasonably </w:t>
      </w:r>
      <w:proofErr w:type="spellStart"/>
      <w:r w:rsidRPr="00A1043D">
        <w:rPr>
          <w:rFonts w:ascii="Georgia" w:hAnsi="Georgia"/>
          <w:color w:val="000000" w:themeColor="text1"/>
          <w:sz w:val="22"/>
          <w:szCs w:val="22"/>
        </w:rPr>
        <w:t>implemen</w:t>
      </w:r>
      <w:proofErr w:type="spellEnd"/>
      <w:r w:rsidRPr="00A1043D">
        <w:rPr>
          <w:rFonts w:ascii="Georgia" w:hAnsi="Georgia"/>
          <w:color w:val="000000" w:themeColor="text1"/>
          <w:sz w:val="22"/>
          <w:szCs w:val="22"/>
        </w:rPr>
        <w:t xml:space="preserve">[t] ... a policy that provides for the termination in appropriate circumstances” of subscribers who repeatedly infringe copyrights using the ISP's network. </w:t>
      </w:r>
      <w:hyperlink r:id="rId124" w:anchor="co_pp_8b3b0000958a4">
        <w:r w:rsidRPr="00A1043D">
          <w:rPr>
            <w:rFonts w:ascii="Georgia" w:hAnsi="Georgia"/>
            <w:color w:val="000000" w:themeColor="text1"/>
            <w:sz w:val="22"/>
            <w:szCs w:val="22"/>
          </w:rPr>
          <w:t>17 U.S.C. §§ 512(a)</w:t>
        </w:r>
      </w:hyperlink>
      <w:r w:rsidRPr="00A1043D">
        <w:rPr>
          <w:rFonts w:ascii="Georgia" w:hAnsi="Georgia"/>
          <w:color w:val="000000" w:themeColor="text1"/>
          <w:sz w:val="22"/>
          <w:szCs w:val="22"/>
        </w:rPr>
        <w:t xml:space="preserve"> and </w:t>
      </w:r>
      <w:hyperlink r:id="rId125" w:anchor="co_pp_ec3a0000f1a25">
        <w:r w:rsidRPr="00A1043D">
          <w:rPr>
            <w:rFonts w:ascii="Georgia" w:hAnsi="Georgia"/>
            <w:color w:val="000000" w:themeColor="text1"/>
            <w:sz w:val="22"/>
            <w:szCs w:val="22"/>
          </w:rPr>
          <w:t>(</w:t>
        </w:r>
        <w:proofErr w:type="spellStart"/>
        <w:r w:rsidRPr="00A1043D">
          <w:rPr>
            <w:rFonts w:ascii="Georgia" w:hAnsi="Georgia"/>
            <w:color w:val="000000" w:themeColor="text1"/>
            <w:sz w:val="22"/>
            <w:szCs w:val="22"/>
          </w:rPr>
          <w:t>i</w:t>
        </w:r>
        <w:proofErr w:type="spellEnd"/>
        <w:r w:rsidRPr="00A1043D">
          <w:rPr>
            <w:rFonts w:ascii="Georgia" w:hAnsi="Georgia"/>
            <w:color w:val="000000" w:themeColor="text1"/>
            <w:sz w:val="22"/>
            <w:szCs w:val="22"/>
          </w:rPr>
          <w:t>)(1)(A)</w:t>
        </w:r>
      </w:hyperlink>
      <w:r w:rsidRPr="00A1043D">
        <w:rPr>
          <w:rFonts w:ascii="Georgia" w:hAnsi="Georgia"/>
          <w:color w:val="000000" w:themeColor="text1"/>
          <w:sz w:val="22"/>
          <w:szCs w:val="22"/>
        </w:rPr>
        <w:t>. Importantly, Congress did not provide that ISPs could never be secondarily liable for copyright infringement. Instead, it struck a balance by creating incentives for ISPs to take reasonable steps to prevent copyright infringement on their networks, while also assuring ISPs that they do not need to take on the impossible task of responding to every instance of infringement on their networks.</w:t>
      </w:r>
    </w:p>
    <w:p w14:paraId="0EF1A182"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6CDBA3D" w14:textId="04A428E6"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majority's new rule completely upends that balance and consigns the safe harbor provision to obsolescence. Typically, this Court tries “ ‘ “to give effect, if possible, to every clause and word of a statute.” ’ ” </w:t>
      </w:r>
      <w:hyperlink r:id="rId126" w:anchor="co_pp_sp_780_31">
        <w:r w:rsidRPr="00A1043D">
          <w:rPr>
            <w:rFonts w:ascii="Georgia" w:hAnsi="Georgia"/>
            <w:i/>
            <w:color w:val="000000" w:themeColor="text1"/>
            <w:sz w:val="22"/>
            <w:szCs w:val="22"/>
          </w:rPr>
          <w:t>TRW Inc. v. Andrews</w:t>
        </w:r>
        <w:r w:rsidRPr="00A1043D">
          <w:rPr>
            <w:rFonts w:ascii="Georgia" w:hAnsi="Georgia"/>
            <w:color w:val="000000" w:themeColor="text1"/>
            <w:sz w:val="22"/>
            <w:szCs w:val="22"/>
          </w:rPr>
          <w:t>, 534 U.S. 19, 31</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(2001)</w:t>
        </w:r>
      </w:hyperlink>
      <w:r w:rsidRPr="00A1043D">
        <w:rPr>
          <w:rFonts w:ascii="Georgia" w:hAnsi="Georgia"/>
          <w:color w:val="000000" w:themeColor="text1"/>
          <w:sz w:val="22"/>
          <w:szCs w:val="22"/>
        </w:rPr>
        <w:t xml:space="preserve">. </w:t>
      </w:r>
      <w:proofErr w:type="gramStart"/>
      <w:r w:rsidRPr="00A1043D">
        <w:rPr>
          <w:rFonts w:ascii="Georgia" w:hAnsi="Georgia"/>
          <w:color w:val="000000" w:themeColor="text1"/>
          <w:sz w:val="22"/>
          <w:szCs w:val="22"/>
        </w:rPr>
        <w:t>After today</w:t>
      </w:r>
      <w:proofErr w:type="gramEnd"/>
      <w:r w:rsidRPr="00A1043D">
        <w:rPr>
          <w:rFonts w:ascii="Georgia" w:hAnsi="Georgia"/>
          <w:color w:val="000000" w:themeColor="text1"/>
          <w:sz w:val="22"/>
          <w:szCs w:val="22"/>
        </w:rPr>
        <w:t xml:space="preserve">, however, ISPs no longer face any realistic </w:t>
      </w:r>
      <w:r w:rsidRPr="00A1043D">
        <w:rPr>
          <w:rFonts w:ascii="Georgia" w:hAnsi="Georgia"/>
          <w:color w:val="000000" w:themeColor="text1"/>
          <w:sz w:val="22"/>
          <w:szCs w:val="22"/>
        </w:rPr>
        <w:lastRenderedPageBreak/>
        <w:t>probability of secondary liability for copyright infringement, regardless of whether they take steps to address infringement on their networks and regardless of what they know about their users’ activity. See Tr. of Oral Arg. 14 (counsel for Cox agreeing that it “would have no liability risk” based on knowledge alone). For example, under the majority's rule, an ISP faces no liability if it sells an internet connection to a company that the ISP knows runs a website that exclusively hosts illegally obtained copyrighted material. That ISP also faces no liability even if it sells a connection to a customer who walks into the store and says that he needs a new internet connection because the other, more scrupulous ISP in town cut his connection after years of unabated piracy.</w:t>
      </w:r>
    </w:p>
    <w:p w14:paraId="7D6E90F8"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15BC7FFE" w14:textId="7D762666"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majority's decision thus permits ISPs to sell an inter-net connection to every single infringer who wants one without fear of liability and without lifting a finger to prevent infringement. It also means that Cox is free to abandon its current policy of responding to copyright infringement. As Cox's counsel conceded at oral argument, under the rule the majority adopts today, the safe harbor provision will not “d[o] anything at all” going forward, </w:t>
      </w:r>
      <w:r w:rsidRPr="00A1043D">
        <w:rPr>
          <w:rFonts w:ascii="Georgia" w:hAnsi="Georgia"/>
          <w:i/>
          <w:color w:val="000000" w:themeColor="text1"/>
          <w:sz w:val="22"/>
          <w:szCs w:val="22"/>
        </w:rPr>
        <w:t>id</w:t>
      </w:r>
      <w:r w:rsidRPr="00A1043D">
        <w:rPr>
          <w:rFonts w:ascii="Georgia" w:hAnsi="Georgia"/>
          <w:color w:val="000000" w:themeColor="text1"/>
          <w:sz w:val="22"/>
          <w:szCs w:val="22"/>
        </w:rPr>
        <w:t>., at 28–29. Congress did not enact the safe harbor just so that this Court could eviscerate it.</w:t>
      </w:r>
      <w:bookmarkStart w:id="29" w:name="co_fnRef_B00032059547408_ID0E4WBI_1"/>
      <w:r w:rsidR="00E51F23" w:rsidRPr="00A1043D">
        <w:rPr>
          <w:rStyle w:val="FootnoteReference"/>
          <w:rFonts w:ascii="Georgia" w:hAnsi="Georgia"/>
          <w:color w:val="000000" w:themeColor="text1"/>
          <w:sz w:val="22"/>
          <w:szCs w:val="22"/>
        </w:rPr>
        <w:footnoteReference w:customMarkFollows="1" w:id="2"/>
        <w:t>*</w:t>
      </w:r>
      <w:bookmarkEnd w:id="29"/>
      <w:r w:rsidR="00E51F23" w:rsidRPr="00A1043D">
        <w:rPr>
          <w:rFonts w:ascii="Georgia" w:hAnsi="Georgia"/>
          <w:color w:val="000000" w:themeColor="text1"/>
          <w:sz w:val="22"/>
          <w:szCs w:val="22"/>
        </w:rPr>
        <w:t xml:space="preserve"> </w:t>
      </w:r>
    </w:p>
    <w:p w14:paraId="6FF067E0" w14:textId="4F75857B" w:rsidR="0097443B" w:rsidRPr="00A1043D" w:rsidRDefault="00000000" w:rsidP="00E51F23">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bookmarkStart w:id="30" w:name="co_anchor_Iead358912c9311f19f84ca1ed2"/>
      <w:bookmarkStart w:id="31" w:name="co_anchor_Iead358912c9311f19f84ca1ed0fc"/>
    </w:p>
    <w:p w14:paraId="33DA8568" w14:textId="7B0E556E" w:rsidR="00F17340" w:rsidRPr="00A1043D" w:rsidRDefault="00000000" w:rsidP="0097443B">
      <w:pPr>
        <w:spacing w:after="0" w:line="240" w:lineRule="auto"/>
        <w:jc w:val="center"/>
        <w:rPr>
          <w:rFonts w:ascii="Georgia" w:hAnsi="Georgia"/>
          <w:color w:val="000000" w:themeColor="text1"/>
          <w:sz w:val="22"/>
          <w:szCs w:val="22"/>
        </w:rPr>
      </w:pPr>
      <w:r w:rsidRPr="00A1043D">
        <w:rPr>
          <w:rFonts w:ascii="Georgia" w:hAnsi="Georgia"/>
          <w:color w:val="000000" w:themeColor="text1"/>
          <w:sz w:val="22"/>
          <w:szCs w:val="22"/>
        </w:rPr>
        <w:t>III</w:t>
      </w:r>
    </w:p>
    <w:bookmarkEnd w:id="30"/>
    <w:bookmarkEnd w:id="31"/>
    <w:p w14:paraId="1C069B09" w14:textId="77777777" w:rsidR="0097443B" w:rsidRPr="00A1043D" w:rsidRDefault="0097443B" w:rsidP="0097443B">
      <w:pPr>
        <w:spacing w:after="0" w:line="240" w:lineRule="auto"/>
        <w:ind w:firstLine="720"/>
        <w:jc w:val="both"/>
        <w:rPr>
          <w:rFonts w:ascii="Georgia" w:hAnsi="Georgia"/>
          <w:color w:val="000000" w:themeColor="text1"/>
          <w:sz w:val="22"/>
          <w:szCs w:val="22"/>
        </w:rPr>
      </w:pPr>
    </w:p>
    <w:p w14:paraId="613CA8B7" w14:textId="7ABFE0F5"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Instead of artificially limiting secondary liability, the Court should have examined whether some other “</w:t>
      </w:r>
      <w:proofErr w:type="spellStart"/>
      <w:r w:rsidRPr="00A1043D">
        <w:rPr>
          <w:rFonts w:ascii="Georgia" w:hAnsi="Georgia"/>
          <w:color w:val="000000" w:themeColor="text1"/>
          <w:sz w:val="22"/>
          <w:szCs w:val="22"/>
        </w:rPr>
        <w:t>rul</w:t>
      </w:r>
      <w:proofErr w:type="spellEnd"/>
      <w:r w:rsidRPr="00A1043D">
        <w:rPr>
          <w:rFonts w:ascii="Georgia" w:hAnsi="Georgia"/>
          <w:color w:val="000000" w:themeColor="text1"/>
          <w:sz w:val="22"/>
          <w:szCs w:val="22"/>
        </w:rPr>
        <w:t xml:space="preserve">[e] of fault-based liability derived from the common law” might hold Cox liable for copyright infringement committed on its network. </w:t>
      </w:r>
      <w:hyperlink r:id="rId127" w:anchor="co_pp_sp_780_934">
        <w:proofErr w:type="spellStart"/>
        <w:r w:rsidRPr="00A1043D">
          <w:rPr>
            <w:rFonts w:ascii="Georgia" w:hAnsi="Georgia"/>
            <w:i/>
            <w:color w:val="000000" w:themeColor="text1"/>
            <w:sz w:val="22"/>
            <w:szCs w:val="22"/>
          </w:rPr>
          <w:t>Grokster</w:t>
        </w:r>
        <w:proofErr w:type="spellEnd"/>
        <w:r w:rsidRPr="00A1043D">
          <w:rPr>
            <w:rFonts w:ascii="Georgia" w:hAnsi="Georgia"/>
            <w:color w:val="000000" w:themeColor="text1"/>
            <w:sz w:val="22"/>
            <w:szCs w:val="22"/>
          </w:rPr>
          <w:t>, 545 U.S., at 934–935</w:t>
        </w:r>
      </w:hyperlink>
      <w:r w:rsidRPr="00A1043D">
        <w:rPr>
          <w:rFonts w:ascii="Georgia" w:hAnsi="Georgia"/>
          <w:color w:val="000000" w:themeColor="text1"/>
          <w:sz w:val="22"/>
          <w:szCs w:val="22"/>
        </w:rPr>
        <w:t>. Plaintiffs argue that Cox is liable because it materially contributed to infringement by servicing internet connections that it knew would be used to commit infringement. That argument is rooted in the common-law doctrine of aiding and abetting. That doctrine, however, requires plaintiffs to show that Cox intended to aid infringement, and the facts of this case foreclose that inference.</w:t>
      </w:r>
    </w:p>
    <w:p w14:paraId="6F216EB0"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70A03997" w14:textId="77777777" w:rsidR="00F17340" w:rsidRPr="00A1043D" w:rsidRDefault="00000000" w:rsidP="0097443B">
      <w:pPr>
        <w:spacing w:after="0" w:line="240" w:lineRule="auto"/>
        <w:jc w:val="center"/>
        <w:rPr>
          <w:rFonts w:ascii="Georgia" w:hAnsi="Georgia"/>
          <w:color w:val="000000" w:themeColor="text1"/>
          <w:sz w:val="22"/>
          <w:szCs w:val="22"/>
        </w:rPr>
      </w:pPr>
      <w:bookmarkStart w:id="32" w:name="co_anchor_Iead3f4d12c9311f19f84ca1ed2"/>
      <w:bookmarkStart w:id="33" w:name="co_anchor_Iead3f4d12c9311f19f84ca1ed0fc"/>
      <w:r w:rsidRPr="00A1043D">
        <w:rPr>
          <w:rFonts w:ascii="Georgia" w:hAnsi="Georgia"/>
          <w:color w:val="000000" w:themeColor="text1"/>
          <w:sz w:val="22"/>
          <w:szCs w:val="22"/>
        </w:rPr>
        <w:t>A</w:t>
      </w:r>
    </w:p>
    <w:bookmarkEnd w:id="32"/>
    <w:bookmarkEnd w:id="33"/>
    <w:p w14:paraId="0C067BEC" w14:textId="77777777" w:rsidR="0097443B" w:rsidRPr="00A1043D" w:rsidRDefault="0097443B" w:rsidP="0097443B">
      <w:pPr>
        <w:spacing w:after="0" w:line="240" w:lineRule="auto"/>
        <w:ind w:firstLine="720"/>
        <w:jc w:val="both"/>
        <w:rPr>
          <w:rFonts w:ascii="Georgia" w:hAnsi="Georgia"/>
          <w:color w:val="000000" w:themeColor="text1"/>
          <w:sz w:val="22"/>
          <w:szCs w:val="22"/>
        </w:rPr>
      </w:pPr>
    </w:p>
    <w:p w14:paraId="4DCE462C" w14:textId="44765E25"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This Court has addressed common-law civil aiding-and-abetting liability twice in recent years. In both cases, it held that aiding-and-betting liability requires proof that the defendant aided another with the intent of helping that other person succeed in committing wrongful conduct.</w:t>
      </w:r>
    </w:p>
    <w:p w14:paraId="7D66EA9C"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704360B3" w14:textId="13A694BE"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first of this Court's recent cases is </w:t>
      </w:r>
      <w:hyperlink r:id="rId128">
        <w:r w:rsidRPr="00A1043D">
          <w:rPr>
            <w:rFonts w:ascii="Georgia" w:hAnsi="Georgia"/>
            <w:i/>
            <w:color w:val="000000" w:themeColor="text1"/>
            <w:sz w:val="22"/>
            <w:szCs w:val="22"/>
          </w:rPr>
          <w:t xml:space="preserve">Twitter, Inc. v. </w:t>
        </w:r>
        <w:proofErr w:type="spellStart"/>
        <w:r w:rsidRPr="00A1043D">
          <w:rPr>
            <w:rFonts w:ascii="Georgia" w:hAnsi="Georgia"/>
            <w:i/>
            <w:color w:val="000000" w:themeColor="text1"/>
            <w:sz w:val="22"/>
            <w:szCs w:val="22"/>
          </w:rPr>
          <w:t>Taamneh</w:t>
        </w:r>
        <w:proofErr w:type="spellEnd"/>
        <w:r w:rsidRPr="00A1043D">
          <w:rPr>
            <w:rFonts w:ascii="Georgia" w:hAnsi="Georgia"/>
            <w:color w:val="000000" w:themeColor="text1"/>
            <w:sz w:val="22"/>
            <w:szCs w:val="22"/>
          </w:rPr>
          <w:t>, 598 U.S. 471 (2023)</w:t>
        </w:r>
      </w:hyperlink>
      <w:r w:rsidRPr="00A1043D">
        <w:rPr>
          <w:rFonts w:ascii="Georgia" w:hAnsi="Georgia"/>
          <w:color w:val="000000" w:themeColor="text1"/>
          <w:sz w:val="22"/>
          <w:szCs w:val="22"/>
        </w:rPr>
        <w:t xml:space="preserve">. There, the plaintiff alleged that social media platforms had aided and </w:t>
      </w:r>
      <w:r w:rsidRPr="00A1043D">
        <w:rPr>
          <w:rFonts w:ascii="Georgia" w:hAnsi="Georgia"/>
          <w:color w:val="000000" w:themeColor="text1"/>
          <w:sz w:val="22"/>
          <w:szCs w:val="22"/>
        </w:rPr>
        <w:lastRenderedPageBreak/>
        <w:t xml:space="preserve">abetted a terrorist attack by ISIS because they knowingly hosted content, posted by ISIS and its followers, that was intended to spread ISIS propaganda, recruit members, and raise funds. </w:t>
      </w:r>
      <w:hyperlink r:id="rId129">
        <w:r w:rsidRPr="00A1043D">
          <w:rPr>
            <w:rFonts w:ascii="Georgia" w:hAnsi="Georgia"/>
            <w:i/>
            <w:color w:val="000000" w:themeColor="text1"/>
            <w:sz w:val="22"/>
            <w:szCs w:val="22"/>
          </w:rPr>
          <w:t>Id</w:t>
        </w:r>
        <w:r w:rsidRPr="00A1043D">
          <w:rPr>
            <w:rFonts w:ascii="Georgia" w:hAnsi="Georgia"/>
            <w:color w:val="000000" w:themeColor="text1"/>
            <w:sz w:val="22"/>
            <w:szCs w:val="22"/>
          </w:rPr>
          <w:t>., at 481</w:t>
        </w:r>
      </w:hyperlink>
      <w:r w:rsidRPr="00A1043D">
        <w:rPr>
          <w:rFonts w:ascii="Georgia" w:hAnsi="Georgia"/>
          <w:color w:val="000000" w:themeColor="text1"/>
          <w:sz w:val="22"/>
          <w:szCs w:val="22"/>
        </w:rPr>
        <w:t xml:space="preserve">. The platforms also allegedly promoted that content via their algorithms. </w:t>
      </w:r>
      <w:hyperlink r:id="rId130">
        <w:r w:rsidRPr="00A1043D">
          <w:rPr>
            <w:rFonts w:ascii="Georgia" w:hAnsi="Georgia"/>
            <w:i/>
            <w:color w:val="000000" w:themeColor="text1"/>
            <w:sz w:val="22"/>
            <w:szCs w:val="22"/>
          </w:rPr>
          <w:t>Ibid</w:t>
        </w:r>
        <w:r w:rsidRPr="00A1043D">
          <w:rPr>
            <w:rFonts w:ascii="Georgia" w:hAnsi="Georgia"/>
            <w:color w:val="000000" w:themeColor="text1"/>
            <w:sz w:val="22"/>
            <w:szCs w:val="22"/>
          </w:rPr>
          <w:t>.</w:t>
        </w:r>
      </w:hyperlink>
      <w:r w:rsidRPr="00A1043D">
        <w:rPr>
          <w:rFonts w:ascii="Georgia" w:hAnsi="Georgia"/>
          <w:color w:val="000000" w:themeColor="text1"/>
          <w:sz w:val="22"/>
          <w:szCs w:val="22"/>
        </w:rPr>
        <w:t xml:space="preserve"> The plaintiffs asserted that the platforms had not done enough to “detect and remove a substantial number of ISIS-related accounts, posts, and videos.” </w:t>
      </w:r>
      <w:hyperlink r:id="rId131">
        <w:r w:rsidRPr="00A1043D">
          <w:rPr>
            <w:rFonts w:ascii="Georgia" w:hAnsi="Georgia"/>
            <w:i/>
            <w:color w:val="000000" w:themeColor="text1"/>
            <w:sz w:val="22"/>
            <w:szCs w:val="22"/>
          </w:rPr>
          <w:t>Ibid</w:t>
        </w:r>
        <w:r w:rsidRPr="00A1043D">
          <w:rPr>
            <w:rFonts w:ascii="Georgia" w:hAnsi="Georgia"/>
            <w:color w:val="000000" w:themeColor="text1"/>
            <w:sz w:val="22"/>
            <w:szCs w:val="22"/>
          </w:rPr>
          <w:t>.</w:t>
        </w:r>
      </w:hyperlink>
    </w:p>
    <w:p w14:paraId="63E1A0F2"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1E84FBC" w14:textId="18F6A863"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This Court held that the platforms could not be held liable as aiders and abettors based on the complaint's allegations. After surveying lower court cases and common-law sources, the Court identified the “conceptual core that has animated aiding-and-abetting liability for centuries: that the defendant consciously and culpably ‘participate[s]’ in a wrongful act so as to help ‘make it succeed.’ ” </w:t>
      </w:r>
      <w:hyperlink r:id="rId132">
        <w:r w:rsidRPr="00A1043D">
          <w:rPr>
            <w:rFonts w:ascii="Georgia" w:hAnsi="Georgia"/>
            <w:i/>
            <w:color w:val="000000" w:themeColor="text1"/>
            <w:sz w:val="22"/>
            <w:szCs w:val="22"/>
          </w:rPr>
          <w:t>Id.</w:t>
        </w:r>
        <w:r w:rsidRPr="00A1043D">
          <w:rPr>
            <w:rFonts w:ascii="Georgia" w:hAnsi="Georgia"/>
            <w:color w:val="000000" w:themeColor="text1"/>
            <w:sz w:val="22"/>
            <w:szCs w:val="22"/>
          </w:rPr>
          <w:t>, at 493</w:t>
        </w:r>
        <w:r w:rsidR="00DF6D90" w:rsidRPr="00A1043D">
          <w:rPr>
            <w:rFonts w:ascii="Georgia" w:hAnsi="Georgia"/>
            <w:color w:val="000000" w:themeColor="text1"/>
            <w:sz w:val="22"/>
            <w:szCs w:val="22"/>
          </w:rPr>
          <w:t xml:space="preserve"> </w:t>
        </w:r>
      </w:hyperlink>
      <w:r w:rsidRPr="00A1043D">
        <w:rPr>
          <w:rFonts w:ascii="Georgia" w:hAnsi="Georgia"/>
          <w:color w:val="000000" w:themeColor="text1"/>
          <w:sz w:val="22"/>
          <w:szCs w:val="22"/>
        </w:rPr>
        <w:t xml:space="preserve">(quoting </w:t>
      </w:r>
      <w:hyperlink r:id="rId133" w:anchor="co_pp_sp_780_619">
        <w:r w:rsidRPr="00A1043D">
          <w:rPr>
            <w:rFonts w:ascii="Georgia" w:hAnsi="Georgia"/>
            <w:i/>
            <w:color w:val="000000" w:themeColor="text1"/>
            <w:sz w:val="22"/>
            <w:szCs w:val="22"/>
          </w:rPr>
          <w:t>Nye &amp; Nissen v. United States</w:t>
        </w:r>
        <w:r w:rsidRPr="00A1043D">
          <w:rPr>
            <w:rFonts w:ascii="Georgia" w:hAnsi="Georgia"/>
            <w:color w:val="000000" w:themeColor="text1"/>
            <w:sz w:val="22"/>
            <w:szCs w:val="22"/>
          </w:rPr>
          <w:t>, 336 U.S. 613, 619</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(1949)</w:t>
        </w:r>
      </w:hyperlink>
      <w:r w:rsidRPr="00A1043D">
        <w:rPr>
          <w:rFonts w:ascii="Georgia" w:hAnsi="Georgia"/>
          <w:color w:val="000000" w:themeColor="text1"/>
          <w:sz w:val="22"/>
          <w:szCs w:val="22"/>
        </w:rPr>
        <w:t xml:space="preserve">). Put another way, “the defendant </w:t>
      </w:r>
      <w:proofErr w:type="gramStart"/>
      <w:r w:rsidRPr="00A1043D">
        <w:rPr>
          <w:rFonts w:ascii="Georgia" w:hAnsi="Georgia"/>
          <w:color w:val="000000" w:themeColor="text1"/>
          <w:sz w:val="22"/>
          <w:szCs w:val="22"/>
        </w:rPr>
        <w:t>has to</w:t>
      </w:r>
      <w:proofErr w:type="gramEnd"/>
      <w:r w:rsidRPr="00A1043D">
        <w:rPr>
          <w:rFonts w:ascii="Georgia" w:hAnsi="Georgia"/>
          <w:color w:val="000000" w:themeColor="text1"/>
          <w:sz w:val="22"/>
          <w:szCs w:val="22"/>
        </w:rPr>
        <w:t xml:space="preserve"> take some ‘affirmative act’ ‘with the intent of facilitating the offense's commission.’ ” </w:t>
      </w:r>
      <w:hyperlink r:id="rId134" w:anchor="co_pp_sp_780_490">
        <w:r w:rsidRPr="00A1043D">
          <w:rPr>
            <w:rFonts w:ascii="Georgia" w:hAnsi="Georgia"/>
            <w:color w:val="000000" w:themeColor="text1"/>
            <w:sz w:val="22"/>
            <w:szCs w:val="22"/>
          </w:rPr>
          <w:t>598 U.S., at 490</w:t>
        </w:r>
      </w:hyperlink>
      <w:r w:rsidRPr="00A1043D">
        <w:rPr>
          <w:rFonts w:ascii="Georgia" w:hAnsi="Georgia"/>
          <w:color w:val="000000" w:themeColor="text1"/>
          <w:sz w:val="22"/>
          <w:szCs w:val="22"/>
        </w:rPr>
        <w:t xml:space="preserve"> (quoting </w:t>
      </w:r>
      <w:hyperlink r:id="rId135" w:anchor="co_pp_sp_780_71">
        <w:r w:rsidRPr="00A1043D">
          <w:rPr>
            <w:rFonts w:ascii="Georgia" w:hAnsi="Georgia"/>
            <w:i/>
            <w:color w:val="000000" w:themeColor="text1"/>
            <w:sz w:val="22"/>
            <w:szCs w:val="22"/>
          </w:rPr>
          <w:t>Rosemond v. United States</w:t>
        </w:r>
        <w:r w:rsidRPr="00A1043D">
          <w:rPr>
            <w:rFonts w:ascii="Georgia" w:hAnsi="Georgia"/>
            <w:color w:val="000000" w:themeColor="text1"/>
            <w:sz w:val="22"/>
            <w:szCs w:val="22"/>
          </w:rPr>
          <w:t>, 572 U.S. 65, 71 (2014)</w:t>
        </w:r>
      </w:hyperlink>
      <w:r w:rsidRPr="00A1043D">
        <w:rPr>
          <w:rFonts w:ascii="Georgia" w:hAnsi="Georgia"/>
          <w:color w:val="000000" w:themeColor="text1"/>
          <w:sz w:val="22"/>
          <w:szCs w:val="22"/>
        </w:rPr>
        <w:t xml:space="preserve">). The plaintiffs’ claims did not plausibly meet this standard, however, because they failed to allege that pro-ISIS accounts or content received “any special treatment.” </w:t>
      </w:r>
      <w:hyperlink r:id="rId136" w:anchor="co_pp_sp_780_498">
        <w:r w:rsidRPr="00A1043D">
          <w:rPr>
            <w:rFonts w:ascii="Georgia" w:hAnsi="Georgia"/>
            <w:color w:val="000000" w:themeColor="text1"/>
            <w:sz w:val="22"/>
            <w:szCs w:val="22"/>
          </w:rPr>
          <w:t>598 U.S., at 498</w:t>
        </w:r>
      </w:hyperlink>
      <w:r w:rsidRPr="00A1043D">
        <w:rPr>
          <w:rFonts w:ascii="Georgia" w:hAnsi="Georgia"/>
          <w:color w:val="000000" w:themeColor="text1"/>
          <w:sz w:val="22"/>
          <w:szCs w:val="22"/>
        </w:rPr>
        <w:t xml:space="preserve">. Nor did they allege any other facts sufficient to overcome the “attenuated ... nexus” between the platforms’ actions and the ISIS attack or establish that the platforms intended to aid that attack. </w:t>
      </w:r>
      <w:hyperlink r:id="rId137">
        <w:r w:rsidRPr="00A1043D">
          <w:rPr>
            <w:rFonts w:ascii="Georgia" w:hAnsi="Georgia"/>
            <w:i/>
            <w:color w:val="000000" w:themeColor="text1"/>
            <w:sz w:val="22"/>
            <w:szCs w:val="22"/>
          </w:rPr>
          <w:t>Id.</w:t>
        </w:r>
        <w:r w:rsidRPr="00A1043D">
          <w:rPr>
            <w:rFonts w:ascii="Georgia" w:hAnsi="Georgia"/>
            <w:color w:val="000000" w:themeColor="text1"/>
            <w:sz w:val="22"/>
            <w:szCs w:val="22"/>
          </w:rPr>
          <w:t>, at 506</w:t>
        </w:r>
      </w:hyperlink>
      <w:r w:rsidRPr="00A1043D">
        <w:rPr>
          <w:rFonts w:ascii="Georgia" w:hAnsi="Georgia"/>
          <w:color w:val="000000" w:themeColor="text1"/>
          <w:sz w:val="22"/>
          <w:szCs w:val="22"/>
        </w:rPr>
        <w:t>.</w:t>
      </w:r>
    </w:p>
    <w:p w14:paraId="2847C7C0"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4C6CC2B" w14:textId="70D389D5"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Importantly, </w:t>
      </w:r>
      <w:hyperlink r:id="rId138">
        <w:r w:rsidRPr="00A1043D">
          <w:rPr>
            <w:rFonts w:ascii="Georgia" w:hAnsi="Georgia"/>
            <w:i/>
            <w:color w:val="000000" w:themeColor="text1"/>
            <w:sz w:val="22"/>
            <w:szCs w:val="22"/>
          </w:rPr>
          <w:t xml:space="preserve">Twitter </w:t>
        </w:r>
      </w:hyperlink>
      <w:r w:rsidRPr="00A1043D">
        <w:rPr>
          <w:rFonts w:ascii="Georgia" w:hAnsi="Georgia"/>
          <w:color w:val="000000" w:themeColor="text1"/>
          <w:sz w:val="22"/>
          <w:szCs w:val="22"/>
        </w:rPr>
        <w:t xml:space="preserve">emphasized that “the </w:t>
      </w:r>
      <w:proofErr w:type="spellStart"/>
      <w:r w:rsidRPr="00A1043D">
        <w:rPr>
          <w:rFonts w:ascii="Georgia" w:hAnsi="Georgia"/>
          <w:color w:val="000000" w:themeColor="text1"/>
          <w:sz w:val="22"/>
          <w:szCs w:val="22"/>
        </w:rPr>
        <w:t>concep</w:t>
      </w:r>
      <w:proofErr w:type="spellEnd"/>
      <w:r w:rsidRPr="00A1043D">
        <w:rPr>
          <w:rFonts w:ascii="Georgia" w:hAnsi="Georgia"/>
          <w:color w:val="000000" w:themeColor="text1"/>
          <w:sz w:val="22"/>
          <w:szCs w:val="22"/>
        </w:rPr>
        <w:t xml:space="preserve">[t] of aiding and abetting” does not “lend [itself] to crisp, bright-line distinctions,” </w:t>
      </w:r>
      <w:hyperlink r:id="rId139">
        <w:r w:rsidRPr="00A1043D">
          <w:rPr>
            <w:rFonts w:ascii="Georgia" w:hAnsi="Georgia"/>
            <w:i/>
            <w:color w:val="000000" w:themeColor="text1"/>
            <w:sz w:val="22"/>
            <w:szCs w:val="22"/>
          </w:rPr>
          <w:t>ibid</w:t>
        </w:r>
        <w:r w:rsidRPr="00A1043D">
          <w:rPr>
            <w:rFonts w:ascii="Georgia" w:hAnsi="Georgia"/>
            <w:color w:val="000000" w:themeColor="text1"/>
            <w:sz w:val="22"/>
            <w:szCs w:val="22"/>
          </w:rPr>
          <w:t>.,</w:t>
        </w:r>
      </w:hyperlink>
      <w:r w:rsidRPr="00A1043D">
        <w:rPr>
          <w:rFonts w:ascii="Georgia" w:hAnsi="Georgia"/>
          <w:color w:val="000000" w:themeColor="text1"/>
          <w:sz w:val="22"/>
          <w:szCs w:val="22"/>
        </w:rPr>
        <w:t xml:space="preserve"> but rather “should be understood in light of the common law,” </w:t>
      </w:r>
      <w:hyperlink r:id="rId140">
        <w:r w:rsidRPr="00A1043D">
          <w:rPr>
            <w:rFonts w:ascii="Georgia" w:hAnsi="Georgia"/>
            <w:i/>
            <w:color w:val="000000" w:themeColor="text1"/>
            <w:sz w:val="22"/>
            <w:szCs w:val="22"/>
          </w:rPr>
          <w:t>id</w:t>
        </w:r>
        <w:r w:rsidRPr="00A1043D">
          <w:rPr>
            <w:rFonts w:ascii="Georgia" w:hAnsi="Georgia"/>
            <w:color w:val="000000" w:themeColor="text1"/>
            <w:sz w:val="22"/>
            <w:szCs w:val="22"/>
          </w:rPr>
          <w:t>., at 497</w:t>
        </w:r>
      </w:hyperlink>
      <w:r w:rsidRPr="00A1043D">
        <w:rPr>
          <w:rFonts w:ascii="Georgia" w:hAnsi="Georgia"/>
          <w:color w:val="000000" w:themeColor="text1"/>
          <w:sz w:val="22"/>
          <w:szCs w:val="22"/>
        </w:rPr>
        <w:t xml:space="preserve">. The common law, in turn, recognizes that intent can sometimes be inferred from what the defendant knew when he acted. The Second Restatement of Torts explains that this kind of knowledge-based intent can be found where “the actor knows that the consequences are certain, or substantially certain, to result from his act, and still goes ahead.” </w:t>
      </w:r>
      <w:hyperlink r:id="rId141">
        <w:r w:rsidRPr="00A1043D">
          <w:rPr>
            <w:rFonts w:ascii="Georgia" w:hAnsi="Georgia"/>
            <w:color w:val="000000" w:themeColor="text1"/>
            <w:sz w:val="22"/>
            <w:szCs w:val="22"/>
          </w:rPr>
          <w:t>Restatement (Second) of Torts § 8A</w:t>
        </w:r>
      </w:hyperlink>
      <w:r w:rsidRPr="00A1043D">
        <w:rPr>
          <w:rFonts w:ascii="Georgia" w:hAnsi="Georgia"/>
          <w:color w:val="000000" w:themeColor="text1"/>
          <w:sz w:val="22"/>
          <w:szCs w:val="22"/>
        </w:rPr>
        <w:t xml:space="preserve">, Comment </w:t>
      </w:r>
      <w:r w:rsidRPr="00A1043D">
        <w:rPr>
          <w:rFonts w:ascii="Georgia" w:hAnsi="Georgia"/>
          <w:i/>
          <w:color w:val="000000" w:themeColor="text1"/>
          <w:sz w:val="22"/>
          <w:szCs w:val="22"/>
        </w:rPr>
        <w:t xml:space="preserve">b </w:t>
      </w:r>
      <w:r w:rsidRPr="00A1043D">
        <w:rPr>
          <w:rFonts w:ascii="Georgia" w:hAnsi="Georgia"/>
          <w:color w:val="000000" w:themeColor="text1"/>
          <w:sz w:val="22"/>
          <w:szCs w:val="22"/>
        </w:rPr>
        <w:t xml:space="preserve">(1963–1964). In these circumstances, the actor “is treated by the law as if he had in fact desired to produce the result.” </w:t>
      </w:r>
      <w:r w:rsidRPr="00A1043D">
        <w:rPr>
          <w:rFonts w:ascii="Georgia" w:hAnsi="Georgia"/>
          <w:i/>
          <w:color w:val="000000" w:themeColor="text1"/>
          <w:sz w:val="22"/>
          <w:szCs w:val="22"/>
        </w:rPr>
        <w:t>Ibid</w:t>
      </w:r>
      <w:r w:rsidRPr="00A1043D">
        <w:rPr>
          <w:rFonts w:ascii="Georgia" w:hAnsi="Georgia"/>
          <w:color w:val="000000" w:themeColor="text1"/>
          <w:sz w:val="22"/>
          <w:szCs w:val="22"/>
        </w:rPr>
        <w:t xml:space="preserve">. For example, someone who gives a gun to another, knowing with certainty that the other person will shoot someone with it, could be found to have intentionally aided a shooting even if he did not desire for anyone to be shot. If the recipient shoots someone with that gun, then under the common law, the person who gave the shooter the gun could be held liable for aiding and abetting the shooting. See </w:t>
      </w:r>
      <w:r w:rsidRPr="00A1043D">
        <w:rPr>
          <w:rFonts w:ascii="Georgia" w:hAnsi="Georgia"/>
          <w:i/>
          <w:color w:val="000000" w:themeColor="text1"/>
          <w:sz w:val="22"/>
          <w:szCs w:val="22"/>
        </w:rPr>
        <w:t>id</w:t>
      </w:r>
      <w:r w:rsidRPr="00A1043D">
        <w:rPr>
          <w:rFonts w:ascii="Georgia" w:hAnsi="Georgia"/>
          <w:color w:val="000000" w:themeColor="text1"/>
          <w:sz w:val="22"/>
          <w:szCs w:val="22"/>
        </w:rPr>
        <w:t xml:space="preserve">., § 876(b) and Comment </w:t>
      </w:r>
      <w:r w:rsidRPr="00A1043D">
        <w:rPr>
          <w:rFonts w:ascii="Georgia" w:hAnsi="Georgia"/>
          <w:i/>
          <w:color w:val="000000" w:themeColor="text1"/>
          <w:sz w:val="22"/>
          <w:szCs w:val="22"/>
        </w:rPr>
        <w:t xml:space="preserve">d </w:t>
      </w:r>
      <w:r w:rsidRPr="00A1043D">
        <w:rPr>
          <w:rFonts w:ascii="Georgia" w:hAnsi="Georgia"/>
          <w:color w:val="000000" w:themeColor="text1"/>
          <w:sz w:val="22"/>
          <w:szCs w:val="22"/>
        </w:rPr>
        <w:t xml:space="preserve">(1977); </w:t>
      </w:r>
      <w:hyperlink r:id="rId142">
        <w:r w:rsidRPr="00A1043D">
          <w:rPr>
            <w:rFonts w:ascii="Georgia" w:hAnsi="Georgia"/>
            <w:color w:val="000000" w:themeColor="text1"/>
            <w:sz w:val="22"/>
            <w:szCs w:val="22"/>
          </w:rPr>
          <w:t>Restatement (Third) of Torts: Liability for Economic Harm § 28</w:t>
        </w:r>
      </w:hyperlink>
      <w:r w:rsidRPr="00A1043D">
        <w:rPr>
          <w:rFonts w:ascii="Georgia" w:hAnsi="Georgia"/>
          <w:color w:val="000000" w:themeColor="text1"/>
          <w:sz w:val="22"/>
          <w:szCs w:val="22"/>
        </w:rPr>
        <w:t xml:space="preserve">, Comment </w:t>
      </w:r>
      <w:r w:rsidRPr="00A1043D">
        <w:rPr>
          <w:rFonts w:ascii="Georgia" w:hAnsi="Georgia"/>
          <w:i/>
          <w:color w:val="000000" w:themeColor="text1"/>
          <w:sz w:val="22"/>
          <w:szCs w:val="22"/>
        </w:rPr>
        <w:t xml:space="preserve">c </w:t>
      </w:r>
      <w:r w:rsidRPr="00A1043D">
        <w:rPr>
          <w:rFonts w:ascii="Georgia" w:hAnsi="Georgia"/>
          <w:color w:val="000000" w:themeColor="text1"/>
          <w:sz w:val="22"/>
          <w:szCs w:val="22"/>
        </w:rPr>
        <w:t>(2018).</w:t>
      </w:r>
    </w:p>
    <w:p w14:paraId="39936909"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73148D2" w14:textId="738DCAA1"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This theory of intent requires a sufficiently specific showing of knowledge. In </w:t>
      </w:r>
      <w:hyperlink r:id="rId143">
        <w:r w:rsidRPr="00A1043D">
          <w:rPr>
            <w:rFonts w:ascii="Georgia" w:hAnsi="Georgia"/>
            <w:i/>
            <w:color w:val="000000" w:themeColor="text1"/>
            <w:sz w:val="22"/>
            <w:szCs w:val="22"/>
          </w:rPr>
          <w:t xml:space="preserve">Smith &amp; Wesson Brands, Inc. v. </w:t>
        </w:r>
        <w:proofErr w:type="spellStart"/>
        <w:r w:rsidRPr="00A1043D">
          <w:rPr>
            <w:rFonts w:ascii="Georgia" w:hAnsi="Georgia"/>
            <w:i/>
            <w:color w:val="000000" w:themeColor="text1"/>
            <w:sz w:val="22"/>
            <w:szCs w:val="22"/>
          </w:rPr>
          <w:t>Estados</w:t>
        </w:r>
        <w:proofErr w:type="spellEnd"/>
        <w:r w:rsidRPr="00A1043D">
          <w:rPr>
            <w:rFonts w:ascii="Georgia" w:hAnsi="Georgia"/>
            <w:i/>
            <w:color w:val="000000" w:themeColor="text1"/>
            <w:sz w:val="22"/>
            <w:szCs w:val="22"/>
          </w:rPr>
          <w:t xml:space="preserve"> Unidos Mexicanos</w:t>
        </w:r>
        <w:r w:rsidRPr="00A1043D">
          <w:rPr>
            <w:rFonts w:ascii="Georgia" w:hAnsi="Georgia"/>
            <w:color w:val="000000" w:themeColor="text1"/>
            <w:sz w:val="22"/>
            <w:szCs w:val="22"/>
          </w:rPr>
          <w:t>, 605 U.S. 280</w:t>
        </w:r>
        <w:r w:rsidR="00DF6D90" w:rsidRPr="00A1043D">
          <w:rPr>
            <w:rFonts w:ascii="Georgia" w:hAnsi="Georgia"/>
            <w:color w:val="000000" w:themeColor="text1"/>
            <w:sz w:val="22"/>
            <w:szCs w:val="22"/>
          </w:rPr>
          <w:t xml:space="preserve"> </w:t>
        </w:r>
        <w:r w:rsidRPr="00A1043D">
          <w:rPr>
            <w:rFonts w:ascii="Georgia" w:hAnsi="Georgia"/>
            <w:color w:val="000000" w:themeColor="text1"/>
            <w:sz w:val="22"/>
            <w:szCs w:val="22"/>
          </w:rPr>
          <w:t xml:space="preserve"> (2025)</w:t>
        </w:r>
      </w:hyperlink>
      <w:r w:rsidRPr="00A1043D">
        <w:rPr>
          <w:rFonts w:ascii="Georgia" w:hAnsi="Georgia"/>
          <w:color w:val="000000" w:themeColor="text1"/>
          <w:sz w:val="22"/>
          <w:szCs w:val="22"/>
        </w:rPr>
        <w:t xml:space="preserve">, this Court rejected secondary liability for gun manufacturers whose guns were used by Mexican drug cartels to commit violence in Mexico due to insufficient allegations of intent. </w:t>
      </w:r>
      <w:hyperlink r:id="rId144">
        <w:r w:rsidRPr="00A1043D">
          <w:rPr>
            <w:rFonts w:ascii="Georgia" w:hAnsi="Georgia"/>
            <w:i/>
            <w:color w:val="000000" w:themeColor="text1"/>
            <w:sz w:val="22"/>
            <w:szCs w:val="22"/>
          </w:rPr>
          <w:t>Id</w:t>
        </w:r>
        <w:r w:rsidRPr="00A1043D">
          <w:rPr>
            <w:rFonts w:ascii="Georgia" w:hAnsi="Georgia"/>
            <w:color w:val="000000" w:themeColor="text1"/>
            <w:sz w:val="22"/>
            <w:szCs w:val="22"/>
          </w:rPr>
          <w:t>., at 291</w:t>
        </w:r>
      </w:hyperlink>
      <w:r w:rsidRPr="00A1043D">
        <w:rPr>
          <w:rFonts w:ascii="Georgia" w:hAnsi="Georgia"/>
          <w:color w:val="000000" w:themeColor="text1"/>
          <w:sz w:val="22"/>
          <w:szCs w:val="22"/>
        </w:rPr>
        <w:t xml:space="preserve">. There, Mexico alleged that the gun manufacturers had aided and abetted the unlawful gun sales that routed guns to those cartels. </w:t>
      </w:r>
      <w:hyperlink r:id="rId145">
        <w:r w:rsidRPr="00A1043D">
          <w:rPr>
            <w:rFonts w:ascii="Georgia" w:hAnsi="Georgia"/>
            <w:i/>
            <w:color w:val="000000" w:themeColor="text1"/>
            <w:sz w:val="22"/>
            <w:szCs w:val="22"/>
          </w:rPr>
          <w:t>Id</w:t>
        </w:r>
        <w:r w:rsidRPr="00A1043D">
          <w:rPr>
            <w:rFonts w:ascii="Georgia" w:hAnsi="Georgia"/>
            <w:color w:val="000000" w:themeColor="text1"/>
            <w:sz w:val="22"/>
            <w:szCs w:val="22"/>
          </w:rPr>
          <w:t>., at 287–289</w:t>
        </w:r>
      </w:hyperlink>
      <w:r w:rsidRPr="00A1043D">
        <w:rPr>
          <w:rFonts w:ascii="Georgia" w:hAnsi="Georgia"/>
          <w:color w:val="000000" w:themeColor="text1"/>
          <w:sz w:val="22"/>
          <w:szCs w:val="22"/>
        </w:rPr>
        <w:t xml:space="preserve">. As the Court observed, there was “little doubt that, </w:t>
      </w:r>
      <w:r w:rsidRPr="00A1043D">
        <w:rPr>
          <w:rFonts w:ascii="Georgia" w:hAnsi="Georgia"/>
          <w:color w:val="000000" w:themeColor="text1"/>
          <w:sz w:val="22"/>
          <w:szCs w:val="22"/>
        </w:rPr>
        <w:lastRenderedPageBreak/>
        <w:t xml:space="preserve">as the complaint asserts, some [unlawful] sales take place—and that the manufacturers know they do.” </w:t>
      </w:r>
      <w:hyperlink r:id="rId146">
        <w:r w:rsidRPr="00A1043D">
          <w:rPr>
            <w:rFonts w:ascii="Georgia" w:hAnsi="Georgia"/>
            <w:i/>
            <w:color w:val="000000" w:themeColor="text1"/>
            <w:sz w:val="22"/>
            <w:szCs w:val="22"/>
          </w:rPr>
          <w:t>Id</w:t>
        </w:r>
        <w:r w:rsidRPr="00A1043D">
          <w:rPr>
            <w:rFonts w:ascii="Georgia" w:hAnsi="Georgia"/>
            <w:color w:val="000000" w:themeColor="text1"/>
            <w:sz w:val="22"/>
            <w:szCs w:val="22"/>
          </w:rPr>
          <w:t>., at 294</w:t>
        </w:r>
      </w:hyperlink>
      <w:r w:rsidRPr="00A1043D">
        <w:rPr>
          <w:rFonts w:ascii="Georgia" w:hAnsi="Georgia"/>
          <w:color w:val="000000" w:themeColor="text1"/>
          <w:sz w:val="22"/>
          <w:szCs w:val="22"/>
        </w:rPr>
        <w:t xml:space="preserve">. Nonetheless, applying the principles of aiding-and-abetting liability discussed in </w:t>
      </w:r>
      <w:hyperlink r:id="rId147">
        <w:r w:rsidRPr="00A1043D">
          <w:rPr>
            <w:rFonts w:ascii="Georgia" w:hAnsi="Georgia"/>
            <w:i/>
            <w:color w:val="000000" w:themeColor="text1"/>
            <w:sz w:val="22"/>
            <w:szCs w:val="22"/>
          </w:rPr>
          <w:t>Twitter</w:t>
        </w:r>
      </w:hyperlink>
      <w:r w:rsidRPr="00A1043D">
        <w:rPr>
          <w:rFonts w:ascii="Georgia" w:hAnsi="Georgia"/>
          <w:color w:val="000000" w:themeColor="text1"/>
          <w:sz w:val="22"/>
          <w:szCs w:val="22"/>
        </w:rPr>
        <w:t xml:space="preserve">, the Court concluded that Mexico had not plausibly alleged that the gun manufacturers had “ ‘participate[d] in’ ” the illicit sale of guns to the cartels such that they sought “ ‘by [their] action to make’ ” those sales succeed. </w:t>
      </w:r>
      <w:hyperlink r:id="rId148" w:anchor="co_pp_sp_780_294">
        <w:r w:rsidRPr="00A1043D">
          <w:rPr>
            <w:rFonts w:ascii="Georgia" w:hAnsi="Georgia"/>
            <w:color w:val="000000" w:themeColor="text1"/>
            <w:sz w:val="22"/>
            <w:szCs w:val="22"/>
          </w:rPr>
          <w:t>605 U.S., at 294</w:t>
        </w:r>
      </w:hyperlink>
      <w:r w:rsidRPr="00A1043D">
        <w:rPr>
          <w:rFonts w:ascii="Georgia" w:hAnsi="Georgia"/>
          <w:color w:val="000000" w:themeColor="text1"/>
          <w:sz w:val="22"/>
          <w:szCs w:val="22"/>
        </w:rPr>
        <w:t xml:space="preserve"> (second alteration in original). It observed that Mexico had “se[t] for itself a high bar” to clear because it did not “pinpoint, as most aiding-and-abetting claims do, any specific criminal transactions.” </w:t>
      </w:r>
      <w:hyperlink r:id="rId149">
        <w:r w:rsidRPr="00A1043D">
          <w:rPr>
            <w:rFonts w:ascii="Georgia" w:hAnsi="Georgia"/>
            <w:i/>
            <w:color w:val="000000" w:themeColor="text1"/>
            <w:sz w:val="22"/>
            <w:szCs w:val="22"/>
          </w:rPr>
          <w:t>Ibid.</w:t>
        </w:r>
      </w:hyperlink>
      <w:r w:rsidRPr="00A1043D">
        <w:rPr>
          <w:rFonts w:ascii="Georgia" w:hAnsi="Georgia"/>
          <w:color w:val="000000" w:themeColor="text1"/>
          <w:sz w:val="22"/>
          <w:szCs w:val="22"/>
        </w:rPr>
        <w:t xml:space="preserve"> Instead, Mexico “level[ed] a more general accusation: that all the manufacturers assist some number of unidentified rogue gun dealers in making a host of firearm sales in violation of various legal bars.” </w:t>
      </w:r>
      <w:hyperlink r:id="rId150">
        <w:r w:rsidRPr="00A1043D">
          <w:rPr>
            <w:rFonts w:ascii="Georgia" w:hAnsi="Georgia"/>
            <w:i/>
            <w:color w:val="000000" w:themeColor="text1"/>
            <w:sz w:val="22"/>
            <w:szCs w:val="22"/>
          </w:rPr>
          <w:t>Ibid</w:t>
        </w:r>
        <w:r w:rsidRPr="00A1043D">
          <w:rPr>
            <w:rFonts w:ascii="Georgia" w:hAnsi="Georgia"/>
            <w:color w:val="000000" w:themeColor="text1"/>
            <w:sz w:val="22"/>
            <w:szCs w:val="22"/>
          </w:rPr>
          <w:t>.</w:t>
        </w:r>
      </w:hyperlink>
      <w:r w:rsidRPr="00A1043D">
        <w:rPr>
          <w:rFonts w:ascii="Georgia" w:hAnsi="Georgia"/>
          <w:color w:val="000000" w:themeColor="text1"/>
          <w:sz w:val="22"/>
          <w:szCs w:val="22"/>
        </w:rPr>
        <w:t xml:space="preserve"> The “systemic nature” of those more generalized allegations, the Court explained, required “plausible allegations of ‘pervasive, systemic, and culpable assistance.’ ” </w:t>
      </w:r>
      <w:hyperlink r:id="rId151">
        <w:r w:rsidRPr="00A1043D">
          <w:rPr>
            <w:rFonts w:ascii="Georgia" w:hAnsi="Georgia"/>
            <w:i/>
            <w:color w:val="000000" w:themeColor="text1"/>
            <w:sz w:val="22"/>
            <w:szCs w:val="22"/>
          </w:rPr>
          <w:t xml:space="preserve">Ibid. </w:t>
        </w:r>
      </w:hyperlink>
      <w:r w:rsidRPr="00A1043D">
        <w:rPr>
          <w:rFonts w:ascii="Georgia" w:hAnsi="Georgia"/>
          <w:color w:val="000000" w:themeColor="text1"/>
          <w:sz w:val="22"/>
          <w:szCs w:val="22"/>
        </w:rPr>
        <w:t xml:space="preserve">(quoting </w:t>
      </w:r>
      <w:hyperlink r:id="rId152" w:anchor="co_pp_sp_780_502">
        <w:r w:rsidRPr="00A1043D">
          <w:rPr>
            <w:rFonts w:ascii="Georgia" w:hAnsi="Georgia"/>
            <w:i/>
            <w:color w:val="000000" w:themeColor="text1"/>
            <w:sz w:val="22"/>
            <w:szCs w:val="22"/>
          </w:rPr>
          <w:t>Twitter</w:t>
        </w:r>
        <w:r w:rsidRPr="00A1043D">
          <w:rPr>
            <w:rFonts w:ascii="Georgia" w:hAnsi="Georgia"/>
            <w:color w:val="000000" w:themeColor="text1"/>
            <w:sz w:val="22"/>
            <w:szCs w:val="22"/>
          </w:rPr>
          <w:t>, 598 U.S., at 502</w:t>
        </w:r>
      </w:hyperlink>
      <w:r w:rsidRPr="00A1043D">
        <w:rPr>
          <w:rFonts w:ascii="Georgia" w:hAnsi="Georgia"/>
          <w:color w:val="000000" w:themeColor="text1"/>
          <w:sz w:val="22"/>
          <w:szCs w:val="22"/>
        </w:rPr>
        <w:t>).</w:t>
      </w:r>
    </w:p>
    <w:p w14:paraId="68C39639"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3267052A" w14:textId="19332928"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Mexico's allegations failed to clear that high bar. To start, Mexico did not allege that the gun manufacturers had treated unlawful actors any differently from lawful actors. </w:t>
      </w:r>
      <w:hyperlink r:id="rId153" w:anchor="co_pp_sp_780_295">
        <w:r w:rsidRPr="00A1043D">
          <w:rPr>
            <w:rFonts w:ascii="Georgia" w:hAnsi="Georgia"/>
            <w:color w:val="000000" w:themeColor="text1"/>
            <w:sz w:val="22"/>
            <w:szCs w:val="22"/>
          </w:rPr>
          <w:t>605 U.S., at 295</w:t>
        </w:r>
      </w:hyperlink>
      <w:r w:rsidRPr="00A1043D">
        <w:rPr>
          <w:rFonts w:ascii="Georgia" w:hAnsi="Georgia"/>
          <w:color w:val="000000" w:themeColor="text1"/>
          <w:sz w:val="22"/>
          <w:szCs w:val="22"/>
        </w:rPr>
        <w:t xml:space="preserve">. Mexico also failed to account for the fact that gun manufacturers sold the guns to middlemen distributors, whom the manufacturers did not control, who then sold the guns to illicit dealers. </w:t>
      </w:r>
      <w:hyperlink r:id="rId154">
        <w:r w:rsidRPr="00A1043D">
          <w:rPr>
            <w:rFonts w:ascii="Georgia" w:hAnsi="Georgia"/>
            <w:i/>
            <w:color w:val="000000" w:themeColor="text1"/>
            <w:sz w:val="22"/>
            <w:szCs w:val="22"/>
          </w:rPr>
          <w:t>Id</w:t>
        </w:r>
        <w:r w:rsidRPr="00A1043D">
          <w:rPr>
            <w:rFonts w:ascii="Georgia" w:hAnsi="Georgia"/>
            <w:color w:val="000000" w:themeColor="text1"/>
            <w:sz w:val="22"/>
            <w:szCs w:val="22"/>
          </w:rPr>
          <w:t>., at 295–296</w:t>
        </w:r>
      </w:hyperlink>
      <w:r w:rsidRPr="00A1043D">
        <w:rPr>
          <w:rFonts w:ascii="Georgia" w:hAnsi="Georgia"/>
          <w:color w:val="000000" w:themeColor="text1"/>
          <w:sz w:val="22"/>
          <w:szCs w:val="22"/>
        </w:rPr>
        <w:t xml:space="preserve">. Even if the gun manufacturers knew everything the distributors did, the Court continued, Mexico failed to allege plausibly that the manufacturers knew, or even could learn, which dealers were selling guns to the cartels. </w:t>
      </w:r>
      <w:hyperlink r:id="rId155">
        <w:r w:rsidRPr="00A1043D">
          <w:rPr>
            <w:rFonts w:ascii="Georgia" w:hAnsi="Georgia"/>
            <w:i/>
            <w:color w:val="000000" w:themeColor="text1"/>
            <w:sz w:val="22"/>
            <w:szCs w:val="22"/>
          </w:rPr>
          <w:t>Id</w:t>
        </w:r>
        <w:r w:rsidRPr="00A1043D">
          <w:rPr>
            <w:rFonts w:ascii="Georgia" w:hAnsi="Georgia"/>
            <w:color w:val="000000" w:themeColor="text1"/>
            <w:sz w:val="22"/>
            <w:szCs w:val="22"/>
          </w:rPr>
          <w:t>., at 296–297</w:t>
        </w:r>
      </w:hyperlink>
      <w:r w:rsidRPr="00A1043D">
        <w:rPr>
          <w:rFonts w:ascii="Georgia" w:hAnsi="Georgia"/>
          <w:color w:val="000000" w:themeColor="text1"/>
          <w:sz w:val="22"/>
          <w:szCs w:val="22"/>
        </w:rPr>
        <w:t xml:space="preserve">. Without that knowledge, or further evidence of the manufacturers’ intent, the Court held that Mexico's allegations did not satisfy the standards necessary to impose aiding and abetting on the manufacturers because those allegations did not plausibly show that they had participated in the unlawful sales to make them succeed. </w:t>
      </w:r>
      <w:hyperlink r:id="rId156">
        <w:r w:rsidRPr="00A1043D">
          <w:rPr>
            <w:rFonts w:ascii="Georgia" w:hAnsi="Georgia"/>
            <w:i/>
            <w:color w:val="000000" w:themeColor="text1"/>
            <w:sz w:val="22"/>
            <w:szCs w:val="22"/>
          </w:rPr>
          <w:t>Id</w:t>
        </w:r>
        <w:r w:rsidRPr="00A1043D">
          <w:rPr>
            <w:rFonts w:ascii="Georgia" w:hAnsi="Georgia"/>
            <w:color w:val="000000" w:themeColor="text1"/>
            <w:sz w:val="22"/>
            <w:szCs w:val="22"/>
          </w:rPr>
          <w:t>., at 296–299</w:t>
        </w:r>
      </w:hyperlink>
      <w:r w:rsidRPr="00A1043D">
        <w:rPr>
          <w:rFonts w:ascii="Georgia" w:hAnsi="Georgia"/>
          <w:color w:val="000000" w:themeColor="text1"/>
          <w:sz w:val="22"/>
          <w:szCs w:val="22"/>
        </w:rPr>
        <w:t>.</w:t>
      </w:r>
    </w:p>
    <w:p w14:paraId="353DEAC9"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2364E249" w14:textId="77777777" w:rsidR="00F17340" w:rsidRPr="00A1043D" w:rsidRDefault="00000000" w:rsidP="0097443B">
      <w:pPr>
        <w:spacing w:after="0" w:line="240" w:lineRule="auto"/>
        <w:jc w:val="center"/>
        <w:rPr>
          <w:rFonts w:ascii="Georgia" w:hAnsi="Georgia"/>
          <w:color w:val="000000" w:themeColor="text1"/>
          <w:sz w:val="22"/>
          <w:szCs w:val="22"/>
        </w:rPr>
      </w:pPr>
      <w:bookmarkStart w:id="34" w:name="co_anchor_Ieada36612c9311f19f84ca1ed2"/>
      <w:bookmarkStart w:id="35" w:name="co_anchor_Ieada36612c9311f19f84ca1ed0fc"/>
      <w:r w:rsidRPr="00A1043D">
        <w:rPr>
          <w:rFonts w:ascii="Georgia" w:hAnsi="Georgia"/>
          <w:color w:val="000000" w:themeColor="text1"/>
          <w:sz w:val="22"/>
          <w:szCs w:val="22"/>
        </w:rPr>
        <w:t>B</w:t>
      </w:r>
    </w:p>
    <w:bookmarkEnd w:id="34"/>
    <w:bookmarkEnd w:id="35"/>
    <w:p w14:paraId="79D16077" w14:textId="77777777" w:rsidR="0097443B" w:rsidRPr="00A1043D" w:rsidRDefault="0097443B" w:rsidP="0097443B">
      <w:pPr>
        <w:spacing w:after="0" w:line="240" w:lineRule="auto"/>
        <w:jc w:val="both"/>
        <w:rPr>
          <w:rFonts w:ascii="Georgia" w:hAnsi="Georgia"/>
          <w:color w:val="000000" w:themeColor="text1"/>
          <w:sz w:val="22"/>
          <w:szCs w:val="22"/>
        </w:rPr>
      </w:pPr>
    </w:p>
    <w:p w14:paraId="7049C603" w14:textId="6BD5880E" w:rsidR="00F17340" w:rsidRPr="00A1043D" w:rsidRDefault="00000000" w:rsidP="00E51F23">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These principles of aiding-and-abetting liability and intent resolve this case. Plaintiffs must prove that Cox intended to aid, and therefore help make succeed, copyright infringement committed by those who use its network. To do so, plaintiffs point out that Cox, having received copyright-violation notices, knew that specific connections it services </w:t>
      </w:r>
      <w:proofErr w:type="gramStart"/>
      <w:r w:rsidRPr="00A1043D">
        <w:rPr>
          <w:rFonts w:ascii="Georgia" w:hAnsi="Georgia"/>
          <w:color w:val="000000" w:themeColor="text1"/>
          <w:sz w:val="22"/>
          <w:szCs w:val="22"/>
        </w:rPr>
        <w:t>have</w:t>
      </w:r>
      <w:proofErr w:type="gramEnd"/>
      <w:r w:rsidRPr="00A1043D">
        <w:rPr>
          <w:rFonts w:ascii="Georgia" w:hAnsi="Georgia"/>
          <w:color w:val="000000" w:themeColor="text1"/>
          <w:sz w:val="22"/>
          <w:szCs w:val="22"/>
        </w:rPr>
        <w:t xml:space="preserve"> been, and will continue to be, used to infringe copyrights. Because Cox nonetheless continued to service those connections, plaintiffs </w:t>
      </w:r>
      <w:proofErr w:type="gramStart"/>
      <w:r w:rsidRPr="00A1043D">
        <w:rPr>
          <w:rFonts w:ascii="Georgia" w:hAnsi="Georgia"/>
          <w:color w:val="000000" w:themeColor="text1"/>
          <w:sz w:val="22"/>
          <w:szCs w:val="22"/>
        </w:rPr>
        <w:t>argue</w:t>
      </w:r>
      <w:proofErr w:type="gramEnd"/>
      <w:r w:rsidRPr="00A1043D">
        <w:rPr>
          <w:rFonts w:ascii="Georgia" w:hAnsi="Georgia"/>
          <w:color w:val="000000" w:themeColor="text1"/>
          <w:sz w:val="22"/>
          <w:szCs w:val="22"/>
        </w:rPr>
        <w:t xml:space="preserve"> that the jury could have found that Cox intended to facilitate infringement committed using those connections.</w:t>
      </w:r>
    </w:p>
    <w:p w14:paraId="593E4378"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44AF3F77" w14:textId="11A0FCE3"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This record, however, cannot support finding the necessary intent for aiding-and-abetting liability to attach. To </w:t>
      </w:r>
      <w:proofErr w:type="gramStart"/>
      <w:r w:rsidRPr="00A1043D">
        <w:rPr>
          <w:rFonts w:ascii="Georgia" w:hAnsi="Georgia"/>
          <w:color w:val="000000" w:themeColor="text1"/>
          <w:sz w:val="22"/>
          <w:szCs w:val="22"/>
        </w:rPr>
        <w:t>begin</w:t>
      </w:r>
      <w:proofErr w:type="gramEnd"/>
      <w:r w:rsidRPr="00A1043D">
        <w:rPr>
          <w:rFonts w:ascii="Georgia" w:hAnsi="Georgia"/>
          <w:color w:val="000000" w:themeColor="text1"/>
          <w:sz w:val="22"/>
          <w:szCs w:val="22"/>
        </w:rPr>
        <w:t xml:space="preserve">, Cox is merely supplying internet service to its customers. Nothing about that conduct is inherently culpable: Most internet traffic is lawful, and supplying an internet connection is just as consistent with lawful purposes as it is with unlawful purposes. See </w:t>
      </w:r>
      <w:hyperlink r:id="rId157" w:anchor="co_pp_sp_708_292">
        <w:r w:rsidRPr="00A1043D">
          <w:rPr>
            <w:rFonts w:ascii="Georgia" w:hAnsi="Georgia"/>
            <w:i/>
            <w:color w:val="000000" w:themeColor="text1"/>
            <w:sz w:val="22"/>
            <w:szCs w:val="22"/>
          </w:rPr>
          <w:t>id.</w:t>
        </w:r>
        <w:r w:rsidRPr="00A1043D">
          <w:rPr>
            <w:rFonts w:ascii="Georgia" w:hAnsi="Georgia"/>
            <w:color w:val="000000" w:themeColor="text1"/>
            <w:sz w:val="22"/>
            <w:szCs w:val="22"/>
          </w:rPr>
          <w:t xml:space="preserve">, at 292 </w:t>
        </w:r>
      </w:hyperlink>
      <w:r w:rsidRPr="00A1043D">
        <w:rPr>
          <w:rFonts w:ascii="Georgia" w:hAnsi="Georgia"/>
          <w:color w:val="000000" w:themeColor="text1"/>
          <w:sz w:val="22"/>
          <w:szCs w:val="22"/>
        </w:rPr>
        <w:t xml:space="preserve"> </w:t>
      </w:r>
      <w:r w:rsidRPr="00A1043D">
        <w:rPr>
          <w:rFonts w:ascii="Georgia" w:hAnsi="Georgia"/>
          <w:color w:val="000000" w:themeColor="text1"/>
          <w:sz w:val="22"/>
          <w:szCs w:val="22"/>
        </w:rPr>
        <w:lastRenderedPageBreak/>
        <w:t>(“[R]</w:t>
      </w:r>
      <w:proofErr w:type="spellStart"/>
      <w:r w:rsidRPr="00A1043D">
        <w:rPr>
          <w:rFonts w:ascii="Georgia" w:hAnsi="Georgia"/>
          <w:color w:val="000000" w:themeColor="text1"/>
          <w:sz w:val="22"/>
          <w:szCs w:val="22"/>
        </w:rPr>
        <w:t>outine</w:t>
      </w:r>
      <w:proofErr w:type="spellEnd"/>
      <w:r w:rsidRPr="00A1043D">
        <w:rPr>
          <w:rFonts w:ascii="Georgia" w:hAnsi="Georgia"/>
          <w:color w:val="000000" w:themeColor="text1"/>
          <w:sz w:val="22"/>
          <w:szCs w:val="22"/>
        </w:rPr>
        <w:t xml:space="preserve"> and general activity that happens on occasion to assist in a crime ... is unlikely to count as aiding and abetting”).</w:t>
      </w:r>
    </w:p>
    <w:p w14:paraId="12228F27"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52DA7341"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Nor have plaintiffs shown that Cox intended to aid specific instances of infringement. That is because, based on plaintiffs’ evidence, Cox does not actually know that specific users will commit infringement using Cox's network. Cox supplies internet connections to a wide range of customers, ranging from single users all the way to smaller regional ISPs. When Cox receives a copyright violation notice, however, the notice specifies only which connection was used to infringe, not who used it to commit infringement.</w:t>
      </w:r>
    </w:p>
    <w:p w14:paraId="21846546"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F2DEE0B" w14:textId="32194B25"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That informational gap is fatal here. As </w:t>
      </w:r>
      <w:hyperlink r:id="rId158">
        <w:r w:rsidRPr="00A1043D">
          <w:rPr>
            <w:rFonts w:ascii="Georgia" w:hAnsi="Georgia"/>
            <w:i/>
            <w:color w:val="000000" w:themeColor="text1"/>
            <w:sz w:val="22"/>
            <w:szCs w:val="22"/>
          </w:rPr>
          <w:t>Smith &amp; Wesson</w:t>
        </w:r>
      </w:hyperlink>
      <w:r w:rsidRPr="00A1043D">
        <w:rPr>
          <w:rFonts w:ascii="Georgia" w:hAnsi="Georgia"/>
          <w:color w:val="000000" w:themeColor="text1"/>
          <w:sz w:val="22"/>
          <w:szCs w:val="22"/>
        </w:rPr>
        <w:t xml:space="preserve"> explained, aiding-and-abetting liability most commonly attaches where the defendant aided a specific instance of unlawful conduct. </w:t>
      </w:r>
      <w:hyperlink r:id="rId159" w:anchor="co_pp_sp_708_294">
        <w:r w:rsidRPr="00A1043D">
          <w:rPr>
            <w:rFonts w:ascii="Georgia" w:hAnsi="Georgia"/>
            <w:i/>
            <w:color w:val="000000" w:themeColor="text1"/>
            <w:sz w:val="22"/>
            <w:szCs w:val="22"/>
          </w:rPr>
          <w:t>Id.</w:t>
        </w:r>
        <w:r w:rsidRPr="00A1043D">
          <w:rPr>
            <w:rFonts w:ascii="Georgia" w:hAnsi="Georgia"/>
            <w:color w:val="000000" w:themeColor="text1"/>
            <w:sz w:val="22"/>
            <w:szCs w:val="22"/>
          </w:rPr>
          <w:t>, at 294</w:t>
        </w:r>
      </w:hyperlink>
      <w:r w:rsidRPr="00A1043D">
        <w:rPr>
          <w:rFonts w:ascii="Georgia" w:hAnsi="Georgia"/>
          <w:color w:val="000000" w:themeColor="text1"/>
          <w:sz w:val="22"/>
          <w:szCs w:val="22"/>
        </w:rPr>
        <w:t xml:space="preserve">. Often, that requires the plaintiff to show that the defendant, at a minimum, knew who the “principals” in the alleged unlawful acts were. </w:t>
      </w:r>
      <w:hyperlink r:id="rId160" w:anchor="co_pp_sp_708_295">
        <w:r w:rsidRPr="00A1043D">
          <w:rPr>
            <w:rFonts w:ascii="Georgia" w:hAnsi="Georgia"/>
            <w:i/>
            <w:color w:val="000000" w:themeColor="text1"/>
            <w:sz w:val="22"/>
            <w:szCs w:val="22"/>
          </w:rPr>
          <w:t>Id</w:t>
        </w:r>
        <w:r w:rsidRPr="00A1043D">
          <w:rPr>
            <w:rFonts w:ascii="Georgia" w:hAnsi="Georgia"/>
            <w:color w:val="000000" w:themeColor="text1"/>
            <w:sz w:val="22"/>
            <w:szCs w:val="22"/>
          </w:rPr>
          <w:t>., at 295–296</w:t>
        </w:r>
      </w:hyperlink>
      <w:r w:rsidRPr="00A1043D">
        <w:rPr>
          <w:rFonts w:ascii="Georgia" w:hAnsi="Georgia"/>
          <w:color w:val="000000" w:themeColor="text1"/>
          <w:sz w:val="22"/>
          <w:szCs w:val="22"/>
        </w:rPr>
        <w:t xml:space="preserve">. Here, however, plaintiffs have not shown that Cox had specific knowledge of who committed the infringing conduct. Take, for example, a connection sold to a single-family home. Cox, after receiving three notices of copyright violations, would know only that that home's connection </w:t>
      </w:r>
      <w:proofErr w:type="gramStart"/>
      <w:r w:rsidRPr="00A1043D">
        <w:rPr>
          <w:rFonts w:ascii="Georgia" w:hAnsi="Georgia"/>
          <w:color w:val="000000" w:themeColor="text1"/>
          <w:sz w:val="22"/>
          <w:szCs w:val="22"/>
        </w:rPr>
        <w:t>is substantially</w:t>
      </w:r>
      <w:proofErr w:type="gramEnd"/>
      <w:r w:rsidRPr="00A1043D">
        <w:rPr>
          <w:rFonts w:ascii="Georgia" w:hAnsi="Georgia"/>
          <w:color w:val="000000" w:themeColor="text1"/>
          <w:sz w:val="22"/>
          <w:szCs w:val="22"/>
        </w:rPr>
        <w:t xml:space="preserve"> certain to be used again in the future to commit infringement. Yet Cox would have no knowledge (indeed, plaintiffs have not shown that Cox has any way of knowing) who within the household committed infringement. Nor, for that matter, have plaintiffs </w:t>
      </w:r>
      <w:proofErr w:type="gramStart"/>
      <w:r w:rsidRPr="00A1043D">
        <w:rPr>
          <w:rFonts w:ascii="Georgia" w:hAnsi="Georgia"/>
          <w:color w:val="000000" w:themeColor="text1"/>
          <w:sz w:val="22"/>
          <w:szCs w:val="22"/>
        </w:rPr>
        <w:t>show</w:t>
      </w:r>
      <w:proofErr w:type="gramEnd"/>
      <w:r w:rsidRPr="00A1043D">
        <w:rPr>
          <w:rFonts w:ascii="Georgia" w:hAnsi="Georgia"/>
          <w:color w:val="000000" w:themeColor="text1"/>
          <w:sz w:val="22"/>
          <w:szCs w:val="22"/>
        </w:rPr>
        <w:t xml:space="preserve"> any way for Cox to know if the infringer was a neighbor who might have the Wi-Fi password. Without that knowledge, it is not reasonable to infer that Cox intended to aid infringement committed by another person just because it provided an internet connection to some unknown infringer.</w:t>
      </w:r>
    </w:p>
    <w:p w14:paraId="5011FE00"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5D4A3651"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This problem is even more glaring when it comes to connections that serve hundreds or thousands of users. For instance, Cox provides internet service to regional ISPs who in turn supply internet service to thousands of users. Given the numbers involved, it is hardly surprising that Cox has received many copyright-violation notices as to connections supplied to regional ISPs. Still, Cox does not know who among a regional ISP's thousands of customers is committing infringement, even if it knows that someone has infringed in the past and that someone will infringe in the future.</w:t>
      </w:r>
    </w:p>
    <w:p w14:paraId="0312A5FC"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7D765EE1" w14:textId="102E13DB"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In this scenario, the regional ISP is akin to the middlemen in </w:t>
      </w:r>
      <w:hyperlink r:id="rId161">
        <w:r w:rsidRPr="00A1043D">
          <w:rPr>
            <w:rFonts w:ascii="Georgia" w:hAnsi="Georgia"/>
            <w:i/>
            <w:color w:val="000000" w:themeColor="text1"/>
            <w:sz w:val="22"/>
            <w:szCs w:val="22"/>
          </w:rPr>
          <w:t>Smith &amp; Wesson</w:t>
        </w:r>
      </w:hyperlink>
      <w:r w:rsidRPr="00A1043D">
        <w:rPr>
          <w:rFonts w:ascii="Georgia" w:hAnsi="Georgia"/>
          <w:color w:val="000000" w:themeColor="text1"/>
          <w:sz w:val="22"/>
          <w:szCs w:val="22"/>
        </w:rPr>
        <w:t xml:space="preserve">: Like the middlemen who purchased lawful firearms and then redirected them to a mix of lawful and unlawful dealers, the regional ISP is purchasing lawful internet service and redirecting it to a range of users, some of whom will use the service lawfully and some who will use it unlawfully. See </w:t>
      </w:r>
      <w:hyperlink r:id="rId162" w:anchor="co_pp_sp_708_294">
        <w:r w:rsidRPr="00A1043D">
          <w:rPr>
            <w:rFonts w:ascii="Georgia" w:hAnsi="Georgia"/>
            <w:i/>
            <w:color w:val="000000" w:themeColor="text1"/>
            <w:sz w:val="22"/>
            <w:szCs w:val="22"/>
          </w:rPr>
          <w:t>id.</w:t>
        </w:r>
        <w:r w:rsidRPr="00A1043D">
          <w:rPr>
            <w:rFonts w:ascii="Georgia" w:hAnsi="Georgia"/>
            <w:color w:val="000000" w:themeColor="text1"/>
            <w:sz w:val="22"/>
            <w:szCs w:val="22"/>
          </w:rPr>
          <w:t>, at 294–296</w:t>
        </w:r>
      </w:hyperlink>
      <w:r w:rsidRPr="00A1043D">
        <w:rPr>
          <w:rFonts w:ascii="Georgia" w:hAnsi="Georgia"/>
          <w:color w:val="000000" w:themeColor="text1"/>
          <w:sz w:val="22"/>
          <w:szCs w:val="22"/>
        </w:rPr>
        <w:t xml:space="preserve">. Furthermore, just as the gun manufacturers in </w:t>
      </w:r>
      <w:hyperlink r:id="rId163">
        <w:r w:rsidRPr="00A1043D">
          <w:rPr>
            <w:rFonts w:ascii="Georgia" w:hAnsi="Georgia"/>
            <w:i/>
            <w:color w:val="000000" w:themeColor="text1"/>
            <w:sz w:val="22"/>
            <w:szCs w:val="22"/>
          </w:rPr>
          <w:t xml:space="preserve">Smith &amp; Wesson </w:t>
        </w:r>
      </w:hyperlink>
      <w:r w:rsidRPr="00A1043D">
        <w:rPr>
          <w:rFonts w:ascii="Georgia" w:hAnsi="Georgia"/>
          <w:color w:val="000000" w:themeColor="text1"/>
          <w:sz w:val="22"/>
          <w:szCs w:val="22"/>
        </w:rPr>
        <w:t xml:space="preserve">did not have control over the middlemen, Cox similarly does not have control over the regional ISP. </w:t>
      </w:r>
      <w:hyperlink r:id="rId164" w:anchor="co_pp_sp_708_295">
        <w:r w:rsidRPr="00A1043D">
          <w:rPr>
            <w:rFonts w:ascii="Georgia" w:hAnsi="Georgia"/>
            <w:i/>
            <w:color w:val="000000" w:themeColor="text1"/>
            <w:sz w:val="22"/>
            <w:szCs w:val="22"/>
          </w:rPr>
          <w:t>Id</w:t>
        </w:r>
        <w:r w:rsidRPr="00A1043D">
          <w:rPr>
            <w:rFonts w:ascii="Georgia" w:hAnsi="Georgia"/>
            <w:color w:val="000000" w:themeColor="text1"/>
            <w:sz w:val="22"/>
            <w:szCs w:val="22"/>
          </w:rPr>
          <w:t>., at 295–296</w:t>
        </w:r>
      </w:hyperlink>
      <w:r w:rsidRPr="00A1043D">
        <w:rPr>
          <w:rFonts w:ascii="Georgia" w:hAnsi="Georgia"/>
          <w:color w:val="000000" w:themeColor="text1"/>
          <w:sz w:val="22"/>
          <w:szCs w:val="22"/>
        </w:rPr>
        <w:t xml:space="preserve">. Given this degree of removal from the infringing activity and Cox's incomplete knowledge, Cox cannot be found to have intended to aid in </w:t>
      </w:r>
      <w:r w:rsidRPr="00A1043D">
        <w:rPr>
          <w:rFonts w:ascii="Georgia" w:hAnsi="Georgia"/>
          <w:color w:val="000000" w:themeColor="text1"/>
          <w:sz w:val="22"/>
          <w:szCs w:val="22"/>
        </w:rPr>
        <w:lastRenderedPageBreak/>
        <w:t>any specific instance of infringement committed using the connection that Cox provides to the regional ISP. The same is true for connections Cox provides to university housing, hospitals, military bases, and other places that are likely to have many different users.</w:t>
      </w:r>
    </w:p>
    <w:p w14:paraId="4122CFA2"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6F844800" w14:textId="2E989B46"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Without proof that Cox knew more about individual instances of infringement, and without evidence of “pervasive, systemic, and culpable assistance” needed to support a more generalized theory of liability, see </w:t>
      </w:r>
      <w:hyperlink r:id="rId165" w:anchor="co_pp_sp_780_502">
        <w:r w:rsidRPr="00A1043D">
          <w:rPr>
            <w:rFonts w:ascii="Georgia" w:hAnsi="Georgia"/>
            <w:i/>
            <w:color w:val="000000" w:themeColor="text1"/>
            <w:sz w:val="22"/>
            <w:szCs w:val="22"/>
          </w:rPr>
          <w:t>Twitter</w:t>
        </w:r>
        <w:r w:rsidRPr="00A1043D">
          <w:rPr>
            <w:rFonts w:ascii="Georgia" w:hAnsi="Georgia"/>
            <w:color w:val="000000" w:themeColor="text1"/>
            <w:sz w:val="22"/>
            <w:szCs w:val="22"/>
          </w:rPr>
          <w:t>, 598 U.S., at 502</w:t>
        </w:r>
      </w:hyperlink>
      <w:r w:rsidRPr="00A1043D">
        <w:rPr>
          <w:rFonts w:ascii="Georgia" w:hAnsi="Georgia"/>
          <w:color w:val="000000" w:themeColor="text1"/>
          <w:sz w:val="22"/>
          <w:szCs w:val="22"/>
        </w:rPr>
        <w:t xml:space="preserve">, plaintiffs have at most shown that Cox was “indifferent” to infringement conducted via the connections it sells. </w:t>
      </w:r>
      <w:hyperlink r:id="rId166">
        <w:r w:rsidRPr="00A1043D">
          <w:rPr>
            <w:rFonts w:ascii="Georgia" w:hAnsi="Georgia"/>
            <w:i/>
            <w:color w:val="000000" w:themeColor="text1"/>
            <w:sz w:val="22"/>
            <w:szCs w:val="22"/>
          </w:rPr>
          <w:t>Id</w:t>
        </w:r>
        <w:r w:rsidRPr="00A1043D">
          <w:rPr>
            <w:rFonts w:ascii="Georgia" w:hAnsi="Georgia"/>
            <w:color w:val="000000" w:themeColor="text1"/>
            <w:sz w:val="22"/>
            <w:szCs w:val="22"/>
          </w:rPr>
          <w:t>., at 500</w:t>
        </w:r>
      </w:hyperlink>
      <w:r w:rsidRPr="00A1043D">
        <w:rPr>
          <w:rFonts w:ascii="Georgia" w:hAnsi="Georgia"/>
          <w:color w:val="000000" w:themeColor="text1"/>
          <w:sz w:val="22"/>
          <w:szCs w:val="22"/>
        </w:rPr>
        <w:t xml:space="preserve">. Mere indifference, however, is not enough for aiding and abetting liability to attach. </w:t>
      </w:r>
      <w:hyperlink r:id="rId167" w:anchor="co_pp_sp_780_297">
        <w:r w:rsidRPr="00A1043D">
          <w:rPr>
            <w:rFonts w:ascii="Georgia" w:hAnsi="Georgia"/>
            <w:i/>
            <w:color w:val="000000" w:themeColor="text1"/>
            <w:sz w:val="22"/>
            <w:szCs w:val="22"/>
          </w:rPr>
          <w:t>Smith &amp; Wesson</w:t>
        </w:r>
        <w:r w:rsidRPr="00A1043D">
          <w:rPr>
            <w:rFonts w:ascii="Georgia" w:hAnsi="Georgia"/>
            <w:color w:val="000000" w:themeColor="text1"/>
            <w:sz w:val="22"/>
            <w:szCs w:val="22"/>
          </w:rPr>
          <w:t>, 605 U.S., at 297</w:t>
        </w:r>
      </w:hyperlink>
      <w:r w:rsidRPr="00A1043D">
        <w:rPr>
          <w:rFonts w:ascii="Georgia" w:hAnsi="Georgia"/>
          <w:color w:val="000000" w:themeColor="text1"/>
          <w:sz w:val="22"/>
          <w:szCs w:val="22"/>
        </w:rPr>
        <w:t>.</w:t>
      </w:r>
    </w:p>
    <w:p w14:paraId="40CB1326"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49AA690D" w14:textId="77777777" w:rsidR="00F17340" w:rsidRPr="00A1043D" w:rsidRDefault="00000000" w:rsidP="0097443B">
      <w:pPr>
        <w:spacing w:after="0" w:line="240" w:lineRule="auto"/>
        <w:jc w:val="center"/>
        <w:rPr>
          <w:rFonts w:ascii="Georgia" w:hAnsi="Georgia"/>
          <w:color w:val="000000" w:themeColor="text1"/>
          <w:sz w:val="22"/>
          <w:szCs w:val="22"/>
        </w:rPr>
      </w:pPr>
      <w:r w:rsidRPr="00A1043D">
        <w:rPr>
          <w:rFonts w:ascii="Georgia" w:hAnsi="Georgia"/>
          <w:color w:val="000000" w:themeColor="text1"/>
          <w:sz w:val="22"/>
          <w:szCs w:val="22"/>
        </w:rPr>
        <w:t>* * *</w:t>
      </w:r>
    </w:p>
    <w:p w14:paraId="298D062B"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w:t>
      </w:r>
    </w:p>
    <w:p w14:paraId="22326F6C" w14:textId="77777777" w:rsidR="00F17340" w:rsidRPr="00A1043D" w:rsidRDefault="00000000" w:rsidP="0097443B">
      <w:pPr>
        <w:spacing w:after="0" w:line="240" w:lineRule="auto"/>
        <w:ind w:firstLine="720"/>
        <w:jc w:val="both"/>
        <w:rPr>
          <w:rFonts w:ascii="Georgia" w:hAnsi="Georgia"/>
          <w:color w:val="000000" w:themeColor="text1"/>
          <w:sz w:val="22"/>
          <w:szCs w:val="22"/>
        </w:rPr>
      </w:pPr>
      <w:r w:rsidRPr="00A1043D">
        <w:rPr>
          <w:rFonts w:ascii="Georgia" w:hAnsi="Georgia"/>
          <w:color w:val="000000" w:themeColor="text1"/>
          <w:sz w:val="22"/>
          <w:szCs w:val="22"/>
        </w:rPr>
        <w:t xml:space="preserve">The facts of this case do not establish the requisite intent needed to hold Cox liable for infringement that occurred on its network. Because the majority needlessly </w:t>
      </w:r>
      <w:proofErr w:type="gramStart"/>
      <w:r w:rsidRPr="00A1043D">
        <w:rPr>
          <w:rFonts w:ascii="Georgia" w:hAnsi="Georgia"/>
          <w:color w:val="000000" w:themeColor="text1"/>
          <w:sz w:val="22"/>
          <w:szCs w:val="22"/>
        </w:rPr>
        <w:t>curtails</w:t>
      </w:r>
      <w:proofErr w:type="gramEnd"/>
      <w:r w:rsidRPr="00A1043D">
        <w:rPr>
          <w:rFonts w:ascii="Georgia" w:hAnsi="Georgia"/>
          <w:color w:val="000000" w:themeColor="text1"/>
          <w:sz w:val="22"/>
          <w:szCs w:val="22"/>
        </w:rPr>
        <w:t xml:space="preserve"> secondary liability in a manner inconsistent with both precedent and statute, I concur only in the judgment.</w:t>
      </w:r>
    </w:p>
    <w:p w14:paraId="03E946DF" w14:textId="77777777" w:rsidR="00F17340" w:rsidRPr="00A1043D" w:rsidRDefault="00000000" w:rsidP="0097443B">
      <w:pPr>
        <w:spacing w:after="0" w:line="240" w:lineRule="auto"/>
        <w:jc w:val="both"/>
        <w:rPr>
          <w:rFonts w:ascii="Georgia" w:hAnsi="Georgia"/>
          <w:color w:val="000000" w:themeColor="text1"/>
          <w:sz w:val="22"/>
          <w:szCs w:val="22"/>
        </w:rPr>
      </w:pPr>
      <w:r w:rsidRPr="00A1043D">
        <w:rPr>
          <w:rFonts w:ascii="Georgia" w:hAnsi="Georgia"/>
          <w:color w:val="000000" w:themeColor="text1"/>
          <w:sz w:val="22"/>
          <w:szCs w:val="22"/>
        </w:rPr>
        <w:t> </w:t>
      </w:r>
    </w:p>
    <w:sectPr w:rsidR="00F17340" w:rsidRPr="00A1043D" w:rsidSect="00A1043D">
      <w:headerReference w:type="even" r:id="rId168"/>
      <w:headerReference w:type="default" r:id="rId169"/>
      <w:footerReference w:type="even" r:id="rId170"/>
      <w:footerReference w:type="default" r:id="rId171"/>
      <w:headerReference w:type="first" r:id="rId172"/>
      <w:footerReference w:type="first" r:id="rId173"/>
      <w:pgSz w:w="12240" w:h="15840" w:code="1"/>
      <w:pgMar w:top="2160" w:right="2160" w:bottom="2160" w:left="216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8E3B" w14:textId="77777777" w:rsidR="0069167B" w:rsidRDefault="0069167B">
      <w:pPr>
        <w:spacing w:after="0" w:line="240" w:lineRule="auto"/>
      </w:pPr>
      <w:r>
        <w:separator/>
      </w:r>
    </w:p>
  </w:endnote>
  <w:endnote w:type="continuationSeparator" w:id="0">
    <w:p w14:paraId="1AC962B7" w14:textId="77777777" w:rsidR="0069167B" w:rsidRDefault="0069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82BF" w14:textId="340F05E3" w:rsidR="00A1043D" w:rsidRPr="00A1043D" w:rsidRDefault="00A1043D" w:rsidP="00A1043D">
    <w:pPr>
      <w:pStyle w:val="Footer"/>
      <w:jc w:val="center"/>
      <w:rPr>
        <w:rFonts w:ascii="Georgia" w:hAnsi="Georgia"/>
        <w:sz w:val="22"/>
        <w:szCs w:val="22"/>
      </w:rPr>
    </w:pPr>
    <w:r w:rsidRPr="00A1043D">
      <w:rPr>
        <w:rFonts w:ascii="Georgia" w:hAnsi="Georgia"/>
        <w:sz w:val="22"/>
        <w:szCs w:val="22"/>
      </w:rPr>
      <w:t xml:space="preserve">Page </w:t>
    </w:r>
    <w:r w:rsidRPr="00A1043D">
      <w:rPr>
        <w:rFonts w:ascii="Georgia" w:hAnsi="Georgia"/>
        <w:sz w:val="22"/>
        <w:szCs w:val="22"/>
      </w:rPr>
      <w:fldChar w:fldCharType="begin"/>
    </w:r>
    <w:r w:rsidRPr="00A1043D">
      <w:rPr>
        <w:rFonts w:ascii="Georgia" w:hAnsi="Georgia"/>
        <w:sz w:val="22"/>
        <w:szCs w:val="22"/>
      </w:rPr>
      <w:instrText xml:space="preserve"> PAGE  \* Arabic  \* MERGEFORMAT </w:instrText>
    </w:r>
    <w:r w:rsidRPr="00A1043D">
      <w:rPr>
        <w:rFonts w:ascii="Georgia" w:hAnsi="Georgia"/>
        <w:sz w:val="22"/>
        <w:szCs w:val="22"/>
      </w:rPr>
      <w:fldChar w:fldCharType="separate"/>
    </w:r>
    <w:r w:rsidRPr="00A1043D">
      <w:rPr>
        <w:rFonts w:ascii="Georgia" w:hAnsi="Georgia"/>
        <w:sz w:val="22"/>
        <w:szCs w:val="22"/>
      </w:rPr>
      <w:t>1</w:t>
    </w:r>
    <w:r w:rsidRPr="00A1043D">
      <w:rPr>
        <w:rFonts w:ascii="Georgia" w:hAnsi="Georgia"/>
        <w:sz w:val="22"/>
        <w:szCs w:val="22"/>
      </w:rPr>
      <w:fldChar w:fldCharType="end"/>
    </w:r>
    <w:r w:rsidRPr="00A1043D">
      <w:rPr>
        <w:rFonts w:ascii="Georgia" w:hAnsi="Georgia"/>
        <w:sz w:val="22"/>
        <w:szCs w:val="22"/>
      </w:rPr>
      <w:t xml:space="preserve"> of </w:t>
    </w:r>
    <w:r w:rsidRPr="00A1043D">
      <w:rPr>
        <w:rFonts w:ascii="Georgia" w:hAnsi="Georgia"/>
        <w:sz w:val="22"/>
        <w:szCs w:val="22"/>
      </w:rPr>
      <w:fldChar w:fldCharType="begin"/>
    </w:r>
    <w:r w:rsidRPr="00A1043D">
      <w:rPr>
        <w:rFonts w:ascii="Georgia" w:hAnsi="Georgia"/>
        <w:sz w:val="22"/>
        <w:szCs w:val="22"/>
      </w:rPr>
      <w:instrText xml:space="preserve"> NUMPAGES  \* Arabic  \* MERGEFORMAT </w:instrText>
    </w:r>
    <w:r w:rsidRPr="00A1043D">
      <w:rPr>
        <w:rFonts w:ascii="Georgia" w:hAnsi="Georgia"/>
        <w:sz w:val="22"/>
        <w:szCs w:val="22"/>
      </w:rPr>
      <w:fldChar w:fldCharType="separate"/>
    </w:r>
    <w:r w:rsidRPr="00A1043D">
      <w:rPr>
        <w:rFonts w:ascii="Georgia" w:hAnsi="Georgia"/>
        <w:sz w:val="22"/>
        <w:szCs w:val="22"/>
      </w:rPr>
      <w:t>13</w:t>
    </w:r>
    <w:r w:rsidRPr="00A1043D">
      <w:rPr>
        <w:rFonts w:ascii="Georgia" w:hAnsi="Georgia"/>
        <w:noProof/>
        <w:sz w:val="22"/>
        <w:szCs w:val="22"/>
      </w:rPr>
      <w:fldChar w:fldCharType="end"/>
    </w:r>
  </w:p>
  <w:p w14:paraId="7730F8F5" w14:textId="198F9335" w:rsidR="00A1043D" w:rsidRDefault="00A10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3D48" w14:textId="051E23E6" w:rsidR="00A1043D" w:rsidRPr="00A1043D" w:rsidRDefault="00A1043D" w:rsidP="00A1043D">
    <w:pPr>
      <w:pStyle w:val="Footer"/>
      <w:jc w:val="center"/>
      <w:rPr>
        <w:rFonts w:ascii="Georgia" w:hAnsi="Georgia"/>
        <w:sz w:val="22"/>
        <w:szCs w:val="22"/>
      </w:rPr>
    </w:pPr>
    <w:r w:rsidRPr="00A1043D">
      <w:rPr>
        <w:rFonts w:ascii="Georgia" w:hAnsi="Georgia"/>
        <w:sz w:val="22"/>
        <w:szCs w:val="22"/>
      </w:rPr>
      <w:t xml:space="preserve">Page </w:t>
    </w:r>
    <w:r w:rsidRPr="00A1043D">
      <w:rPr>
        <w:rFonts w:ascii="Georgia" w:hAnsi="Georgia"/>
        <w:sz w:val="22"/>
        <w:szCs w:val="22"/>
      </w:rPr>
      <w:fldChar w:fldCharType="begin"/>
    </w:r>
    <w:r w:rsidRPr="00A1043D">
      <w:rPr>
        <w:rFonts w:ascii="Georgia" w:hAnsi="Georgia"/>
        <w:sz w:val="22"/>
        <w:szCs w:val="22"/>
      </w:rPr>
      <w:instrText xml:space="preserve"> PAGE  \* Arabic  \* MERGEFORMAT </w:instrText>
    </w:r>
    <w:r w:rsidRPr="00A1043D">
      <w:rPr>
        <w:rFonts w:ascii="Georgia" w:hAnsi="Georgia"/>
        <w:sz w:val="22"/>
        <w:szCs w:val="22"/>
      </w:rPr>
      <w:fldChar w:fldCharType="separate"/>
    </w:r>
    <w:r w:rsidRPr="00A1043D">
      <w:rPr>
        <w:rFonts w:ascii="Georgia" w:hAnsi="Georgia"/>
        <w:sz w:val="22"/>
        <w:szCs w:val="22"/>
      </w:rPr>
      <w:t>1</w:t>
    </w:r>
    <w:r w:rsidRPr="00A1043D">
      <w:rPr>
        <w:rFonts w:ascii="Georgia" w:hAnsi="Georgia"/>
        <w:sz w:val="22"/>
        <w:szCs w:val="22"/>
      </w:rPr>
      <w:fldChar w:fldCharType="end"/>
    </w:r>
    <w:r w:rsidRPr="00A1043D">
      <w:rPr>
        <w:rFonts w:ascii="Georgia" w:hAnsi="Georgia"/>
        <w:sz w:val="22"/>
        <w:szCs w:val="22"/>
      </w:rPr>
      <w:t xml:space="preserve"> of </w:t>
    </w:r>
    <w:r w:rsidRPr="00A1043D">
      <w:rPr>
        <w:rFonts w:ascii="Georgia" w:hAnsi="Georgia"/>
        <w:sz w:val="22"/>
        <w:szCs w:val="22"/>
      </w:rPr>
      <w:fldChar w:fldCharType="begin"/>
    </w:r>
    <w:r w:rsidRPr="00A1043D">
      <w:rPr>
        <w:rFonts w:ascii="Georgia" w:hAnsi="Georgia"/>
        <w:sz w:val="22"/>
        <w:szCs w:val="22"/>
      </w:rPr>
      <w:instrText xml:space="preserve"> NUMPAGES  \* Arabic  \* MERGEFORMAT </w:instrText>
    </w:r>
    <w:r w:rsidRPr="00A1043D">
      <w:rPr>
        <w:rFonts w:ascii="Georgia" w:hAnsi="Georgia"/>
        <w:sz w:val="22"/>
        <w:szCs w:val="22"/>
      </w:rPr>
      <w:fldChar w:fldCharType="separate"/>
    </w:r>
    <w:r w:rsidRPr="00A1043D">
      <w:rPr>
        <w:rFonts w:ascii="Georgia" w:hAnsi="Georgia"/>
        <w:sz w:val="22"/>
        <w:szCs w:val="22"/>
      </w:rPr>
      <w:t>13</w:t>
    </w:r>
    <w:r w:rsidRPr="00A1043D">
      <w:rPr>
        <w:rFonts w:ascii="Georgia" w:hAnsi="Georgia"/>
        <w:noProof/>
        <w:sz w:val="22"/>
        <w:szCs w:val="22"/>
      </w:rPr>
      <w:fldChar w:fldCharType="end"/>
    </w:r>
  </w:p>
  <w:p w14:paraId="47A4782E" w14:textId="75061345" w:rsidR="00A1043D" w:rsidRDefault="00A10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B1EF" w14:textId="77777777" w:rsidR="00A1043D" w:rsidRDefault="00A1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EF8F" w14:textId="77777777" w:rsidR="0069167B" w:rsidRDefault="0069167B">
      <w:pPr>
        <w:spacing w:after="0" w:line="240" w:lineRule="auto"/>
      </w:pPr>
      <w:r>
        <w:separator/>
      </w:r>
    </w:p>
  </w:footnote>
  <w:footnote w:type="continuationSeparator" w:id="0">
    <w:p w14:paraId="646133FD" w14:textId="77777777" w:rsidR="0069167B" w:rsidRDefault="0069167B">
      <w:pPr>
        <w:spacing w:after="0" w:line="240" w:lineRule="auto"/>
      </w:pPr>
      <w:r>
        <w:continuationSeparator/>
      </w:r>
    </w:p>
  </w:footnote>
  <w:footnote w:id="1">
    <w:p w14:paraId="588F644F" w14:textId="71BD8A44" w:rsidR="00E51F23" w:rsidRPr="00A1043D" w:rsidRDefault="00E51F23" w:rsidP="00A1043D">
      <w:pPr>
        <w:pStyle w:val="FootnoteText"/>
        <w:jc w:val="both"/>
        <w:rPr>
          <w:color w:val="000000" w:themeColor="text1"/>
        </w:rPr>
      </w:pPr>
      <w:r w:rsidRPr="00A1043D">
        <w:rPr>
          <w:rStyle w:val="FootnoteReference"/>
          <w:color w:val="000000" w:themeColor="text1"/>
        </w:rPr>
        <w:t>*</w:t>
      </w:r>
      <w:r w:rsidRPr="00A1043D">
        <w:rPr>
          <w:color w:val="000000" w:themeColor="text1"/>
        </w:rPr>
        <w:t xml:space="preserve"> </w:t>
      </w:r>
      <w:r w:rsidRPr="00A1043D">
        <w:rPr>
          <w:rFonts w:ascii="Georgia" w:hAnsi="Georgia"/>
          <w:color w:val="000000" w:themeColor="text1"/>
        </w:rPr>
        <w:t xml:space="preserve">Cox could not invoke the DMCA safe-harbor defense based on its efforts to reduce infringement because an earlier decision had foreclosed that defense for the relevant period. </w:t>
      </w:r>
      <w:hyperlink r:id="rId1" w:anchor="co_pp_sp_8173_228">
        <w:r w:rsidRPr="00A1043D">
          <w:rPr>
            <w:rFonts w:ascii="Georgia" w:hAnsi="Georgia"/>
            <w:color w:val="000000" w:themeColor="text1"/>
          </w:rPr>
          <w:t>93 F.4th 222, 228 (</w:t>
        </w:r>
        <w:r w:rsidRPr="00A1043D">
          <w:rPr>
            <w:rFonts w:ascii="Georgia" w:hAnsi="Georgia"/>
            <w:color w:val="000000" w:themeColor="text1"/>
          </w:rPr>
          <w:t>4</w:t>
        </w:r>
        <w:r w:rsidRPr="00A1043D">
          <w:rPr>
            <w:rFonts w:ascii="Georgia" w:hAnsi="Georgia"/>
            <w:color w:val="000000" w:themeColor="text1"/>
            <w:vertAlign w:val="superscript"/>
          </w:rPr>
          <w:t>th</w:t>
        </w:r>
        <w:r w:rsidRPr="00A1043D">
          <w:rPr>
            <w:rFonts w:ascii="Georgia" w:hAnsi="Georgia"/>
            <w:color w:val="000000" w:themeColor="text1"/>
          </w:rPr>
          <w:t xml:space="preserve"> Cir. </w:t>
        </w:r>
        <w:r w:rsidRPr="00A1043D">
          <w:rPr>
            <w:rFonts w:ascii="Georgia" w:hAnsi="Georgia"/>
            <w:color w:val="000000" w:themeColor="text1"/>
          </w:rPr>
          <w:t>2024)</w:t>
        </w:r>
      </w:hyperlink>
      <w:r w:rsidRPr="00A1043D">
        <w:rPr>
          <w:rFonts w:ascii="Georgia" w:hAnsi="Georgia"/>
          <w:color w:val="000000" w:themeColor="text1"/>
        </w:rPr>
        <w:t xml:space="preserve"> (citing </w:t>
      </w:r>
      <w:hyperlink r:id="rId2" w:anchor="co_pp_sp_506_301">
        <w:r w:rsidRPr="00A1043D">
          <w:rPr>
            <w:rFonts w:ascii="Georgia" w:hAnsi="Georgia"/>
            <w:i/>
            <w:color w:val="000000" w:themeColor="text1"/>
          </w:rPr>
          <w:t>BMG Rights Mgmt. (US) LLC v. Cox Communications, Inc.</w:t>
        </w:r>
        <w:r w:rsidRPr="00A1043D">
          <w:rPr>
            <w:rFonts w:ascii="Georgia" w:hAnsi="Georgia"/>
            <w:color w:val="000000" w:themeColor="text1"/>
          </w:rPr>
          <w:t>, 881 F.3d 293, 301–305 (</w:t>
        </w:r>
        <w:r w:rsidRPr="00A1043D">
          <w:rPr>
            <w:rFonts w:ascii="Georgia" w:hAnsi="Georgia"/>
            <w:color w:val="000000" w:themeColor="text1"/>
          </w:rPr>
          <w:t>4</w:t>
        </w:r>
        <w:r w:rsidRPr="00A1043D">
          <w:rPr>
            <w:rFonts w:ascii="Georgia" w:hAnsi="Georgia"/>
            <w:color w:val="000000" w:themeColor="text1"/>
            <w:vertAlign w:val="superscript"/>
          </w:rPr>
          <w:t>th</w:t>
        </w:r>
        <w:r w:rsidRPr="00A1043D">
          <w:rPr>
            <w:rFonts w:ascii="Georgia" w:hAnsi="Georgia"/>
            <w:color w:val="000000" w:themeColor="text1"/>
          </w:rPr>
          <w:t xml:space="preserve"> Cir.</w:t>
        </w:r>
        <w:r w:rsidRPr="00A1043D">
          <w:rPr>
            <w:rFonts w:ascii="Georgia" w:hAnsi="Georgia"/>
            <w:color w:val="000000" w:themeColor="text1"/>
          </w:rPr>
          <w:t xml:space="preserve"> 2018)</w:t>
        </w:r>
      </w:hyperlink>
      <w:r w:rsidRPr="00A1043D">
        <w:rPr>
          <w:rFonts w:ascii="Georgia" w:hAnsi="Georgia"/>
          <w:color w:val="000000" w:themeColor="text1"/>
        </w:rPr>
        <w:t>).</w:t>
      </w:r>
    </w:p>
  </w:footnote>
  <w:footnote w:id="2">
    <w:p w14:paraId="141C2065" w14:textId="44E2E4EF" w:rsidR="00E51F23" w:rsidRPr="00A1043D" w:rsidRDefault="00E51F23" w:rsidP="00A1043D">
      <w:pPr>
        <w:pStyle w:val="FootnoteText"/>
        <w:jc w:val="both"/>
        <w:rPr>
          <w:color w:val="000000" w:themeColor="text1"/>
        </w:rPr>
      </w:pPr>
      <w:r w:rsidRPr="00A1043D">
        <w:rPr>
          <w:rStyle w:val="FootnoteReference"/>
          <w:color w:val="000000" w:themeColor="text1"/>
        </w:rPr>
        <w:t>*</w:t>
      </w:r>
      <w:r w:rsidRPr="00A1043D">
        <w:rPr>
          <w:color w:val="000000" w:themeColor="text1"/>
        </w:rPr>
        <w:t xml:space="preserve"> </w:t>
      </w:r>
      <w:r w:rsidRPr="00A1043D">
        <w:rPr>
          <w:rFonts w:ascii="Georgia" w:hAnsi="Georgia"/>
          <w:color w:val="000000" w:themeColor="text1"/>
        </w:rPr>
        <w:t xml:space="preserve">Under the majority's view, ISPs could still face secondary liability if they design their service to facilitate infringement or if they promote their service as infringement friendly. The safe harbor, however, is not intended to help an ISP facing liability on either of those two theories because it requires that an anti-infringement policy be “reasonably implemented.” </w:t>
      </w:r>
      <w:hyperlink r:id="rId3" w:anchor="co_pp_ec3a0000f1a25">
        <w:r w:rsidRPr="00A1043D">
          <w:rPr>
            <w:rFonts w:ascii="Georgia" w:hAnsi="Georgia"/>
            <w:color w:val="000000" w:themeColor="text1"/>
          </w:rPr>
          <w:t>17 U.S.C. § 512(</w:t>
        </w:r>
        <w:proofErr w:type="spellStart"/>
        <w:r w:rsidRPr="00A1043D">
          <w:rPr>
            <w:rFonts w:ascii="Georgia" w:hAnsi="Georgia"/>
            <w:color w:val="000000" w:themeColor="text1"/>
          </w:rPr>
          <w:t>i</w:t>
        </w:r>
        <w:proofErr w:type="spellEnd"/>
        <w:r w:rsidRPr="00A1043D">
          <w:rPr>
            <w:rFonts w:ascii="Georgia" w:hAnsi="Georgia"/>
            <w:color w:val="000000" w:themeColor="text1"/>
          </w:rPr>
          <w:t>)(1)(A)</w:t>
        </w:r>
      </w:hyperlink>
      <w:r w:rsidRPr="00A1043D">
        <w:rPr>
          <w:rFonts w:ascii="Georgia" w:hAnsi="Georgia"/>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F793" w14:textId="77777777" w:rsidR="00F17340"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B695" w14:textId="77777777" w:rsidR="00F17340" w:rsidRDefault="00000000">
    <w:pPr>
      <w:spacing w:after="0" w:line="240" w:lineRule="auto"/>
    </w:pPr>
    <w:r>
      <w:rPr>
        <w:rFonts w:ascii="Arial" w:hAnsi="Arial"/>
        <w:color w:val="000000"/>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DCEA" w14:textId="77777777" w:rsidR="00A1043D" w:rsidRDefault="00A104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7340"/>
    <w:rsid w:val="002D3E5E"/>
    <w:rsid w:val="0069167B"/>
    <w:rsid w:val="008B1911"/>
    <w:rsid w:val="0097443B"/>
    <w:rsid w:val="00A1043D"/>
    <w:rsid w:val="00DF6D90"/>
    <w:rsid w:val="00E51F23"/>
    <w:rsid w:val="00F17340"/>
    <w:rsid w:val="00FB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F0F73"/>
  <w15:docId w15:val="{0B006C7F-AC5E-4A45-9EDA-1CAB1DE6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043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43B"/>
  </w:style>
  <w:style w:type="paragraph" w:styleId="Footer">
    <w:name w:val="footer"/>
    <w:basedOn w:val="Normal"/>
    <w:link w:val="FooterChar"/>
    <w:uiPriority w:val="99"/>
    <w:unhideWhenUsed/>
    <w:rsid w:val="00974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43B"/>
  </w:style>
  <w:style w:type="paragraph" w:styleId="FootnoteText">
    <w:name w:val="footnote text"/>
    <w:basedOn w:val="Normal"/>
    <w:link w:val="FootnoteTextChar"/>
    <w:uiPriority w:val="99"/>
    <w:semiHidden/>
    <w:unhideWhenUsed/>
    <w:rsid w:val="00E51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F23"/>
    <w:rPr>
      <w:sz w:val="20"/>
      <w:szCs w:val="20"/>
    </w:rPr>
  </w:style>
  <w:style w:type="character" w:styleId="FootnoteReference">
    <w:name w:val="footnote reference"/>
    <w:basedOn w:val="DefaultParagraphFont"/>
    <w:uiPriority w:val="99"/>
    <w:semiHidden/>
    <w:unhideWhenUsed/>
    <w:rsid w:val="00E51F23"/>
    <w:rPr>
      <w:vertAlign w:val="superscript"/>
    </w:rPr>
  </w:style>
  <w:style w:type="paragraph" w:customStyle="1" w:styleId="4-LineAfterCaseNameTitle">
    <w:name w:val="4-Line After Case Name Title"/>
    <w:next w:val="Heading2"/>
    <w:qFormat/>
    <w:rsid w:val="00A1043D"/>
    <w:pPr>
      <w:spacing w:after="0" w:line="240" w:lineRule="auto"/>
      <w:jc w:val="center"/>
    </w:pPr>
    <w:rPr>
      <w:rFonts w:ascii="Georgia" w:eastAsia="Times New Roman" w:hAnsi="Georgia" w:cs="Times New Roman"/>
      <w:color w:val="000000"/>
      <w:kern w:val="0"/>
      <w:sz w:val="32"/>
      <w:szCs w:val="32"/>
    </w:rPr>
  </w:style>
  <w:style w:type="character" w:customStyle="1" w:styleId="Heading2Char">
    <w:name w:val="Heading 2 Char"/>
    <w:basedOn w:val="DefaultParagraphFont"/>
    <w:link w:val="Heading2"/>
    <w:uiPriority w:val="9"/>
    <w:semiHidden/>
    <w:rsid w:val="00A1043D"/>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westlaw.com/Link/Document/FullText?findType=Y&amp;serNum=2006858550&amp;pubNum=0000780&amp;originatingDoc=I19812a96a5b343b991c8f1562eaa1a5a&amp;refType=RP&amp;originationContext=document&amp;vr=3.0&amp;rs=cblt1.0&amp;transitionType=DocumentItem&amp;contextData=(sc.Search)" TargetMode="External"/><Relationship Id="rId21" Type="http://schemas.openxmlformats.org/officeDocument/2006/relationships/hyperlink" Target="https://www.westlaw.com/Link/Document/FullText?findType=L&amp;pubNum=1000546&amp;cite=17USCAS504&amp;originatingDoc=I19812a96a5b343b991c8f1562eaa1a5a&amp;refType=RB&amp;originationContext=document&amp;vr=3.0&amp;rs=cblt1.0&amp;transitionType=DocumentItem&amp;contextData=(sc.Search)" TargetMode="External"/><Relationship Id="rId42" Type="http://schemas.openxmlformats.org/officeDocument/2006/relationships/hyperlink" Target="https://www.westlaw.com/Link/Document/FullText?findType=Y&amp;serNum=1994086670&amp;pubNum=0000780&amp;originatingDoc=I19812a96a5b343b991c8f1562eaa1a5a&amp;refType=RP&amp;fi=co_pp_sp_780_176&amp;originationContext=document&amp;vr=3.0&amp;rs=cblt1.0&amp;transitionType=DocumentItem&amp;contextData=(sc.Search)" TargetMode="External"/><Relationship Id="rId63" Type="http://schemas.openxmlformats.org/officeDocument/2006/relationships/hyperlink" Target="https://www.westlaw.com/Link/Document/FullText?findType=Y&amp;serNum=2006858550&amp;pubNum=0000780&amp;originatingDoc=I19812a96a5b343b991c8f1562eaa1a5a&amp;refType=RP&amp;fi=co_pp_sp_780_936&amp;originationContext=document&amp;vr=3.0&amp;rs=cblt1.0&amp;transitionType=DocumentItem&amp;contextData=(sc.Search)" TargetMode="External"/><Relationship Id="rId84" Type="http://schemas.openxmlformats.org/officeDocument/2006/relationships/hyperlink" Target="https://www.westlaw.com/Link/Document/FullText?findType=L&amp;pubNum=1000546&amp;cite=17USCAS512&amp;originatingDoc=I19812a96a5b343b991c8f1562eaa1a5a&amp;refType=RB&amp;originationContext=document&amp;vr=3.0&amp;rs=cblt1.0&amp;transitionType=DocumentItem&amp;contextData=(sc.Search)" TargetMode="External"/><Relationship Id="rId138" Type="http://schemas.openxmlformats.org/officeDocument/2006/relationships/hyperlink" Target="https://www.westlaw.com/Link/Document/FullText?findType=Y&amp;serNum=2074754243&amp;pubNum=0000780&amp;originatingDoc=I19812a96a5b343b991c8f1562eaa1a5a&amp;refType=RP&amp;originationContext=document&amp;vr=3.0&amp;rs=cblt1.0&amp;transitionType=DocumentItem&amp;contextData=(sc.Search)" TargetMode="External"/><Relationship Id="rId159" Type="http://schemas.openxmlformats.org/officeDocument/2006/relationships/hyperlink" Target="https://www.westlaw.com/Link/Document/FullText?findType=Y&amp;serNum=2083911539&amp;pubNum=0000708&amp;originatingDoc=I19812a96a5b343b991c8f1562eaa1a5a&amp;refType=RP&amp;fi=co_pp_sp_708_294&amp;originationContext=document&amp;vr=3.0&amp;rs=cblt1.0&amp;transitionType=DocumentItem&amp;contextData=(sc.Search)" TargetMode="External"/><Relationship Id="rId170" Type="http://schemas.openxmlformats.org/officeDocument/2006/relationships/footer" Target="footer1.xml"/><Relationship Id="rId107" Type="http://schemas.openxmlformats.org/officeDocument/2006/relationships/hyperlink" Target="https://www.westlaw.com/Link/Document/FullText?findType=Y&amp;serNum=2006858550&amp;pubNum=0000780&amp;originatingDoc=I19812a96a5b343b991c8f1562eaa1a5a&amp;refType=RP&amp;originationContext=document&amp;vr=3.0&amp;rs=cblt1.0&amp;transitionType=DocumentItem&amp;contextData=(sc.Search)" TargetMode="External"/><Relationship Id="rId11" Type="http://schemas.openxmlformats.org/officeDocument/2006/relationships/hyperlink" Target="https://www.westlaw.com/Link/Document/FullText?findType=h&amp;pubNum=176284&amp;cite=0301239401&amp;originatingDoc=I19812a96a5b343b991c8f1562eaa1a5a&amp;refType=RQ&amp;originationContext=document&amp;vr=3.0&amp;rs=cblt1.0&amp;transitionType=DocumentItem&amp;contextData=(sc.Search)" TargetMode="External"/><Relationship Id="rId32" Type="http://schemas.openxmlformats.org/officeDocument/2006/relationships/hyperlink" Target="https://www.westlaw.com/Link/Document/FullText?findType=Y&amp;serNum=2006858550&amp;pubNum=0000780&amp;originatingDoc=I19812a96a5b343b991c8f1562eaa1a5a&amp;refType=RP&amp;fi=co_pp_sp_780_930&amp;originationContext=document&amp;vr=3.0&amp;rs=cblt1.0&amp;transitionType=DocumentItem&amp;contextData=(sc.Search)" TargetMode="External"/><Relationship Id="rId53" Type="http://schemas.openxmlformats.org/officeDocument/2006/relationships/hyperlink" Target="https://www.westlaw.com/Link/Document/FullText?findType=Y&amp;serNum=2006858550&amp;pubNum=0000780&amp;originatingDoc=I19812a96a5b343b991c8f1562eaa1a5a&amp;refType=RP&amp;fi=co_pp_sp_780_942&amp;originationContext=document&amp;vr=3.0&amp;rs=cblt1.0&amp;transitionType=DocumentItem&amp;contextData=(sc.Search)" TargetMode="External"/><Relationship Id="rId74" Type="http://schemas.openxmlformats.org/officeDocument/2006/relationships/hyperlink" Target="https://www.westlaw.com/Link/Document/FullText?findType=Y&amp;serNum=2078723699&amp;pubNum=0008173&amp;originatingDoc=I19812a96a5b343b991c8f1562eaa1a5a&amp;refType=RP&amp;fi=co_pp_sp_8173_235&amp;originationContext=document&amp;vr=3.0&amp;rs=cblt1.0&amp;transitionType=DocumentItem&amp;contextData=(sc.Search)" TargetMode="External"/><Relationship Id="rId128" Type="http://schemas.openxmlformats.org/officeDocument/2006/relationships/hyperlink" Target="https://www.westlaw.com/Link/Document/FullText?findType=Y&amp;serNum=2074754243&amp;pubNum=0000708&amp;originatingDoc=I19812a96a5b343b991c8f1562eaa1a5a&amp;refType=RP&amp;originationContext=document&amp;vr=3.0&amp;rs=cblt1.0&amp;transitionType=DocumentItem&amp;contextData=(sc.Search)" TargetMode="External"/><Relationship Id="rId149" Type="http://schemas.openxmlformats.org/officeDocument/2006/relationships/hyperlink" Target="https://www.westlaw.com/Link/Document/FullText?findType=Y&amp;serNum=2083911539&amp;pubNum=0000780&amp;originatingDoc=I19812a96a5b343b991c8f1562eaa1a5a&amp;refType=RP&amp;originationContext=document&amp;vr=3.0&amp;rs=cblt1.0&amp;transitionType=DocumentItem&amp;contextData=(sc.Search)" TargetMode="External"/><Relationship Id="rId5" Type="http://schemas.openxmlformats.org/officeDocument/2006/relationships/footnotes" Target="footnotes.xml"/><Relationship Id="rId95"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60" Type="http://schemas.openxmlformats.org/officeDocument/2006/relationships/hyperlink" Target="https://www.westlaw.com/Link/Document/FullText?findType=Y&amp;serNum=2083911539&amp;pubNum=0000708&amp;originatingDoc=I19812a96a5b343b991c8f1562eaa1a5a&amp;refType=RP&amp;fi=co_pp_sp_708_295&amp;originationContext=document&amp;vr=3.0&amp;rs=cblt1.0&amp;transitionType=DocumentItem&amp;contextData=(sc.Search)" TargetMode="External"/><Relationship Id="rId22" Type="http://schemas.openxmlformats.org/officeDocument/2006/relationships/hyperlink" Target="https://www.westlaw.com/Link/Document/FullText?findType=Y&amp;serNum=2006858550&amp;pubNum=0000780&amp;originatingDoc=I19812a96a5b343b991c8f1562eaa1a5a&amp;refType=RP&amp;fi=co_pp_sp_780_930&amp;originationContext=document&amp;vr=3.0&amp;rs=cblt1.0&amp;transitionType=DocumentItem&amp;contextData=(sc.Search)" TargetMode="External"/><Relationship Id="rId43" Type="http://schemas.openxmlformats.org/officeDocument/2006/relationships/hyperlink" Target="https://www.westlaw.com/Link/Document/FullText?findType=Y&amp;serNum=2006858550&amp;pubNum=0000780&amp;originatingDoc=I19812a96a5b343b991c8f1562eaa1a5a&amp;refType=RP&amp;fi=co_pp_sp_780_930&amp;originationContext=document&amp;vr=3.0&amp;rs=cblt1.0&amp;transitionType=DocumentItem&amp;contextData=(sc.Search)" TargetMode="External"/><Relationship Id="rId64" Type="http://schemas.openxmlformats.org/officeDocument/2006/relationships/hyperlink" Target="https://www.westlaw.com/Link/Document/FullText?findType=L&amp;pubNum=1000546&amp;cite=35USCAS271&amp;originatingDoc=I19812a96a5b343b991c8f1562eaa1a5a&amp;refType=RB&amp;originationContext=document&amp;vr=3.0&amp;rs=cblt1.0&amp;transitionType=DocumentItem&amp;contextData=(sc.Search)" TargetMode="External"/><Relationship Id="rId118" Type="http://schemas.openxmlformats.org/officeDocument/2006/relationships/hyperlink" Target="https://www.westlaw.com/Link/Document/FullText?findType=Y&amp;serNum=1984103021&amp;pubNum=0000780&amp;originatingDoc=I19812a96a5b343b991c8f1562eaa1a5a&amp;refType=RP&amp;fi=co_pp_sp_780_434&amp;originationContext=document&amp;vr=3.0&amp;rs=cblt1.0&amp;transitionType=DocumentItem&amp;contextData=(sc.Search)" TargetMode="External"/><Relationship Id="rId139" Type="http://schemas.openxmlformats.org/officeDocument/2006/relationships/hyperlink" Target="https://www.westlaw.com/Link/Document/FullText?findType=Y&amp;serNum=2074754243&amp;pubNum=0000780&amp;originatingDoc=I19812a96a5b343b991c8f1562eaa1a5a&amp;refType=RP&amp;originationContext=document&amp;vr=3.0&amp;rs=cblt1.0&amp;transitionType=DocumentItem&amp;contextData=(sc.Search)" TargetMode="External"/><Relationship Id="rId85" Type="http://schemas.openxmlformats.org/officeDocument/2006/relationships/hyperlink" Target="https://www.westlaw.com/Link/Document/FullText?findType=h&amp;pubNum=176284&amp;cite=0145172701&amp;originatingDoc=I19812a96a5b343b991c8f1562eaa1a5a&amp;refType=RQ&amp;originationContext=document&amp;vr=3.0&amp;rs=cblt1.0&amp;transitionType=DocumentItem&amp;contextData=(sc.Search)" TargetMode="External"/><Relationship Id="rId150" Type="http://schemas.openxmlformats.org/officeDocument/2006/relationships/hyperlink" Target="https://www.westlaw.com/Link/Document/FullText?findType=Y&amp;serNum=2083911539&amp;pubNum=0000780&amp;originatingDoc=I19812a96a5b343b991c8f1562eaa1a5a&amp;refType=RP&amp;originationContext=document&amp;vr=3.0&amp;rs=cblt1.0&amp;transitionType=DocumentItem&amp;contextData=(sc.Search)" TargetMode="External"/><Relationship Id="rId171" Type="http://schemas.openxmlformats.org/officeDocument/2006/relationships/footer" Target="footer2.xml"/><Relationship Id="rId12" Type="http://schemas.openxmlformats.org/officeDocument/2006/relationships/hyperlink" Target="https://www.westlaw.com/Link/Document/FullText?findType=h&amp;pubNum=176284&amp;cite=0183411701&amp;originatingDoc=I19812a96a5b343b991c8f1562eaa1a5a&amp;refType=RQ&amp;originationContext=document&amp;vr=3.0&amp;rs=cblt1.0&amp;transitionType=DocumentItem&amp;contextData=(sc.Search)" TargetMode="External"/><Relationship Id="rId33" Type="http://schemas.openxmlformats.org/officeDocument/2006/relationships/hyperlink" Target="https://www.westlaw.com/Link/Document/FullText?findType=Y&amp;serNum=2051250070&amp;pubNum=0007903&amp;originatingDoc=I19812a96a5b343b991c8f1562eaa1a5a&amp;refType=RP&amp;fi=co_pp_sp_7903_807&amp;originationContext=document&amp;vr=3.0&amp;rs=cblt1.0&amp;transitionType=DocumentItem&amp;contextData=(sc.Search)" TargetMode="External"/><Relationship Id="rId108"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29" Type="http://schemas.openxmlformats.org/officeDocument/2006/relationships/hyperlink" Target="https://www.westlaw.com/Link/Document/FullText?findType=Y&amp;serNum=2074754243&amp;pubNum=0000708&amp;originatingDoc=I19812a96a5b343b991c8f1562eaa1a5a&amp;refType=RP&amp;originationContext=document&amp;vr=3.0&amp;rs=cblt1.0&amp;transitionType=DocumentItem&amp;contextData=(sc.Search)" TargetMode="External"/><Relationship Id="rId54" Type="http://schemas.openxmlformats.org/officeDocument/2006/relationships/hyperlink" Target="https://www.westlaw.com/Link/Document/FullText?findType=Y&amp;serNum=1984103021&amp;pubNum=0000780&amp;originatingDoc=I19812a96a5b343b991c8f1562eaa1a5a&amp;refType=RP&amp;fi=co_pp_sp_780_442&amp;originationContext=document&amp;vr=3.0&amp;rs=cblt1.0&amp;transitionType=DocumentItem&amp;contextData=(sc.Search)" TargetMode="External"/><Relationship Id="rId75" Type="http://schemas.openxmlformats.org/officeDocument/2006/relationships/hyperlink" Target="https://www.westlaw.com/Link/Document/FullText?findType=Y&amp;serNum=2078723699&amp;pubNum=0008173&amp;originatingDoc=I19812a96a5b343b991c8f1562eaa1a5a&amp;refType=RP&amp;fi=co_pp_sp_8173_236&amp;originationContext=document&amp;vr=3.0&amp;rs=cblt1.0&amp;transitionType=DocumentItem&amp;contextData=(sc.Search)" TargetMode="External"/><Relationship Id="rId96" Type="http://schemas.openxmlformats.org/officeDocument/2006/relationships/hyperlink" Target="https://www.westlaw.com/Link/Document/FullText?findType=Y&amp;serNum=2006858550&amp;pubNum=0000708&amp;originatingDoc=I19812a96a5b343b991c8f1562eaa1a5a&amp;refType=RP&amp;originationContext=document&amp;vr=3.0&amp;rs=cblt1.0&amp;transitionType=DocumentItem&amp;contextData=(sc.Search)" TargetMode="External"/><Relationship Id="rId140" Type="http://schemas.openxmlformats.org/officeDocument/2006/relationships/hyperlink" Target="https://www.westlaw.com/Link/Document/FullText?findType=Y&amp;serNum=2074754243&amp;pubNum=0000708&amp;originatingDoc=I19812a96a5b343b991c8f1562eaa1a5a&amp;refType=RP&amp;originationContext=document&amp;vr=3.0&amp;rs=cblt1.0&amp;transitionType=DocumentItem&amp;contextData=(sc.Search)" TargetMode="External"/><Relationship Id="rId161" Type="http://schemas.openxmlformats.org/officeDocument/2006/relationships/hyperlink" Target="https://www.westlaw.com/Link/Document/FullText?findType=Y&amp;serNum=2083911539&amp;pubNum=0000780&amp;originatingDoc=I19812a96a5b343b991c8f1562eaa1a5a&amp;refType=RP&amp;originationContext=document&amp;vr=3.0&amp;rs=cblt1.0&amp;transitionType=DocumentItem&amp;contextData=(sc.Search)"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www.westlaw.com/Link/Document/FullText?findType=Y&amp;serNum=2006858550&amp;pubNum=0000780&amp;originatingDoc=I19812a96a5b343b991c8f1562eaa1a5a&amp;refType=RP&amp;originationContext=document&amp;vr=3.0&amp;rs=cblt1.0&amp;transitionType=DocumentItem&amp;contextData=(sc.Search)" TargetMode="External"/><Relationship Id="rId28" Type="http://schemas.openxmlformats.org/officeDocument/2006/relationships/hyperlink" Target="https://www.westlaw.com/Link/Document/FullText?findType=L&amp;pubNum=1000546&amp;cite=17USCAS1201&amp;originatingDoc=I19812a96a5b343b991c8f1562eaa1a5a&amp;refType=LQ&amp;originationContext=document&amp;vr=3.0&amp;rs=cblt1.0&amp;transitionType=DocumentItem&amp;contextData=(sc.Search)" TargetMode="External"/><Relationship Id="rId49" Type="http://schemas.openxmlformats.org/officeDocument/2006/relationships/hyperlink" Target="https://www.westlaw.com/Link/Document/FullText?findType=Y&amp;serNum=2006858550&amp;pubNum=0000780&amp;originatingDoc=I19812a96a5b343b991c8f1562eaa1a5a&amp;refType=RP&amp;originationContext=document&amp;vr=3.0&amp;rs=cblt1.0&amp;transitionType=DocumentItem&amp;contextData=(sc.Search)" TargetMode="External"/><Relationship Id="rId114" Type="http://schemas.openxmlformats.org/officeDocument/2006/relationships/hyperlink" Target="https://www.westlaw.com/Link/Document/FullText?findType=Y&amp;serNum=2006858550&amp;pubNum=0000780&amp;originatingDoc=I19812a96a5b343b991c8f1562eaa1a5a&amp;refType=RP&amp;originationContext=document&amp;vr=3.0&amp;rs=cblt1.0&amp;transitionType=DocumentItem&amp;contextData=(sc.Search)" TargetMode="External"/><Relationship Id="rId119" Type="http://schemas.openxmlformats.org/officeDocument/2006/relationships/hyperlink" Target="https://www.westlaw.com/Link/Document/FullText?findType=Y&amp;serNum=2036504422&amp;pubNum=0000780&amp;originatingDoc=I19812a96a5b343b991c8f1562eaa1a5a&amp;refType=RP&amp;fi=co_pp_sp_780_456&amp;originationContext=document&amp;vr=3.0&amp;rs=cblt1.0&amp;transitionType=DocumentItem&amp;contextData=(sc.Search)" TargetMode="External"/><Relationship Id="rId44" Type="http://schemas.openxmlformats.org/officeDocument/2006/relationships/hyperlink" Target="https://www.westlaw.com/Link/Document/FullText?findType=Y&amp;serNum=1984103021&amp;pubNum=0000780&amp;originatingDoc=I19812a96a5b343b991c8f1562eaa1a5a&amp;refType=RP&amp;fi=co_pp_sp_780_440&amp;originationContext=document&amp;vr=3.0&amp;rs=cblt1.0&amp;transitionType=DocumentItem&amp;contextData=(sc.Search)" TargetMode="External"/><Relationship Id="rId60" Type="http://schemas.openxmlformats.org/officeDocument/2006/relationships/hyperlink" Target="https://www.westlaw.com/Link/Document/FullText?findType=Y&amp;serNum=1984103021&amp;pubNum=0000708&amp;originatingDoc=I19812a96a5b343b991c8f1562eaa1a5a&amp;refType=RP&amp;originationContext=document&amp;vr=3.0&amp;rs=cblt1.0&amp;transitionType=DocumentItem&amp;contextData=(sc.Search)" TargetMode="External"/><Relationship Id="rId65" Type="http://schemas.openxmlformats.org/officeDocument/2006/relationships/hyperlink" Target="https://www.westlaw.com/Link/Document/FullText?findType=Y&amp;serNum=1911103525&amp;pubNum=0000780&amp;originatingDoc=I19812a96a5b343b991c8f1562eaa1a5a&amp;refType=RP&amp;originationContext=document&amp;vr=3.0&amp;rs=cblt1.0&amp;transitionType=DocumentItem&amp;contextData=(sc.Search)" TargetMode="External"/><Relationship Id="rId81" Type="http://schemas.openxmlformats.org/officeDocument/2006/relationships/hyperlink" Target="https://www.westlaw.com/Link/Document/FullText?findType=Y&amp;serNum=1984103021&amp;pubNum=0000780&amp;originatingDoc=I19812a96a5b343b991c8f1562eaa1a5a&amp;refType=RP&amp;fi=co_pp_sp_780_439&amp;originationContext=document&amp;vr=3.0&amp;rs=cblt1.0&amp;transitionType=DocumentItem&amp;contextData=(sc.Search)" TargetMode="External"/><Relationship Id="rId86" Type="http://schemas.openxmlformats.org/officeDocument/2006/relationships/hyperlink" Target="https://www.westlaw.com/Link/Document/FullText?findType=h&amp;pubNum=176284&amp;cite=0384965701&amp;originatingDoc=I19812a96a5b343b991c8f1562eaa1a5a&amp;refType=RQ&amp;originationContext=document&amp;vr=3.0&amp;rs=cblt1.0&amp;transitionType=DocumentItem&amp;contextData=(sc.Search)" TargetMode="External"/><Relationship Id="rId130" Type="http://schemas.openxmlformats.org/officeDocument/2006/relationships/hyperlink" Target="https://www.westlaw.com/Link/Document/FullText?findType=Y&amp;serNum=2074754243&amp;pubNum=0000780&amp;originatingDoc=I19812a96a5b343b991c8f1562eaa1a5a&amp;refType=RP&amp;originationContext=document&amp;vr=3.0&amp;rs=cblt1.0&amp;transitionType=DocumentItem&amp;contextData=(sc.Search)" TargetMode="External"/><Relationship Id="rId135" Type="http://schemas.openxmlformats.org/officeDocument/2006/relationships/hyperlink" Target="https://www.westlaw.com/Link/Document/FullText?findType=Y&amp;serNum=2032824241&amp;pubNum=0000780&amp;originatingDoc=I19812a96a5b343b991c8f1562eaa1a5a&amp;refType=RP&amp;fi=co_pp_sp_780_71&amp;originationContext=document&amp;vr=3.0&amp;rs=cblt1.0&amp;transitionType=DocumentItem&amp;contextData=(sc.Search)" TargetMode="External"/><Relationship Id="rId151" Type="http://schemas.openxmlformats.org/officeDocument/2006/relationships/hyperlink" Target="https://www.westlaw.com/Link/Document/FullText?findType=Y&amp;serNum=2083911539&amp;pubNum=0000780&amp;originatingDoc=I19812a96a5b343b991c8f1562eaa1a5a&amp;refType=RP&amp;originationContext=document&amp;vr=3.0&amp;rs=cblt1.0&amp;transitionType=DocumentItem&amp;contextData=(sc.Search)" TargetMode="External"/><Relationship Id="rId156" Type="http://schemas.openxmlformats.org/officeDocument/2006/relationships/hyperlink" Target="https://www.westlaw.com/Link/Document/FullText?findType=Y&amp;serNum=2083911539&amp;pubNum=0000708&amp;originatingDoc=I19812a96a5b343b991c8f1562eaa1a5a&amp;refType=RP&amp;originationContext=document&amp;vr=3.0&amp;rs=cblt1.0&amp;transitionType=DocumentItem&amp;contextData=(sc.Search)" TargetMode="External"/><Relationship Id="rId172" Type="http://schemas.openxmlformats.org/officeDocument/2006/relationships/header" Target="header3.xml"/><Relationship Id="rId13" Type="http://schemas.openxmlformats.org/officeDocument/2006/relationships/hyperlink" Target="https://www.westlaw.com/Link/Document/FullText?findType=h&amp;pubNum=176284&amp;cite=0364335801&amp;originatingDoc=I19812a96a5b343b991c8f1562eaa1a5a&amp;refType=RQ&amp;originationContext=document&amp;vr=3.0&amp;rs=cblt1.0&amp;transitionType=DocumentItem&amp;contextData=(sc.Search)" TargetMode="External"/><Relationship Id="rId18" Type="http://schemas.openxmlformats.org/officeDocument/2006/relationships/hyperlink" Target="https://www.westlaw.com/Link/Document/FullText?findType=L&amp;pubNum=1000546&amp;cite=17USCAS501&amp;originatingDoc=I19812a96a5b343b991c8f1562eaa1a5a&amp;refType=RB&amp;originationContext=document&amp;vr=3.0&amp;rs=cblt1.0&amp;transitionType=DocumentItem&amp;contextData=(sc.Search)" TargetMode="External"/><Relationship Id="rId39" Type="http://schemas.openxmlformats.org/officeDocument/2006/relationships/hyperlink" Target="https://www.westlaw.com/Link/Document/FullText?findType=Y&amp;serNum=2057233725&amp;pubNum=0000708&amp;originatingDoc=I19812a96a5b343b991c8f1562eaa1a5a&amp;refType=RP&amp;originationContext=document&amp;vr=3.0&amp;rs=cblt1.0&amp;transitionType=DocumentItem&amp;contextData=(sc.Search)" TargetMode="External"/><Relationship Id="rId109"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34" Type="http://schemas.openxmlformats.org/officeDocument/2006/relationships/hyperlink" Target="https://www.westlaw.com/Link/Document/FullText?findType=Y&amp;serNum=2051250070&amp;pubNum=0007903&amp;originatingDoc=I19812a96a5b343b991c8f1562eaa1a5a&amp;refType=RP&amp;originationContext=document&amp;vr=3.0&amp;rs=cblt1.0&amp;transitionType=DocumentItem&amp;contextData=(sc.Search)" TargetMode="External"/><Relationship Id="rId50" Type="http://schemas.openxmlformats.org/officeDocument/2006/relationships/hyperlink" Target="https://www.westlaw.com/Link/Document/FullText?findType=Y&amp;serNum=1911103525&amp;pubNum=0000780&amp;originatingDoc=I19812a96a5b343b991c8f1562eaa1a5a&amp;refType=RP&amp;fi=co_pp_sp_780_62&amp;originationContext=document&amp;vr=3.0&amp;rs=cblt1.0&amp;transitionType=DocumentItem&amp;contextData=(sc.Search)" TargetMode="External"/><Relationship Id="rId55"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76" Type="http://schemas.openxmlformats.org/officeDocument/2006/relationships/hyperlink" Target="https://www.westlaw.com/Link/Document/FullText?findType=Y&amp;serNum=2078723699&amp;pubNum=0008173&amp;originatingDoc=I19812a96a5b343b991c8f1562eaa1a5a&amp;refType=RP&amp;originationContext=document&amp;vr=3.0&amp;rs=cblt1.0&amp;transitionType=DocumentItem&amp;contextData=(sc.Search)" TargetMode="External"/><Relationship Id="rId97" Type="http://schemas.openxmlformats.org/officeDocument/2006/relationships/hyperlink" Target="https://www.westlaw.com/Link/Document/FullText?findType=Y&amp;serNum=2006858550&amp;pubNum=0000708&amp;originatingDoc=I19812a96a5b343b991c8f1562eaa1a5a&amp;refType=RP&amp;originationContext=document&amp;vr=3.0&amp;rs=cblt1.0&amp;transitionType=DocumentItem&amp;contextData=(sc.Search)" TargetMode="External"/><Relationship Id="rId104" Type="http://schemas.openxmlformats.org/officeDocument/2006/relationships/hyperlink" Target="https://www.westlaw.com/Link/Document/FullText?findType=Y&amp;serNum=1984103021&amp;pubNum=0000708&amp;originatingDoc=I19812a96a5b343b991c8f1562eaa1a5a&amp;refType=RP&amp;originationContext=document&amp;vr=3.0&amp;rs=cblt1.0&amp;transitionType=DocumentItem&amp;contextData=(sc.Search)" TargetMode="External"/><Relationship Id="rId120"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25" Type="http://schemas.openxmlformats.org/officeDocument/2006/relationships/hyperlink" Target="https://www.westlaw.com/Link/Document/FullText?findType=L&amp;pubNum=1000546&amp;cite=17USCAS512&amp;originatingDoc=I19812a96a5b343b991c8f1562eaa1a5a&amp;refType=RB&amp;originationContext=document&amp;vr=3.0&amp;rs=cblt1.0&amp;transitionType=DocumentItem&amp;contextData=(sc.Search)" TargetMode="External"/><Relationship Id="rId141" Type="http://schemas.openxmlformats.org/officeDocument/2006/relationships/hyperlink" Target="https://www.westlaw.com/Link/Document/FullText?findType=Y&amp;serNum=0290693565&amp;pubNum=0101577&amp;originatingDoc=I19812a96a5b343b991c8f1562eaa1a5a&amp;refType=TS&amp;originationContext=document&amp;vr=3.0&amp;rs=cblt1.0&amp;transitionType=DocumentItem&amp;contextData=(sc.Search)" TargetMode="External"/><Relationship Id="rId146" Type="http://schemas.openxmlformats.org/officeDocument/2006/relationships/hyperlink" Target="https://www.westlaw.com/Link/Document/FullText?findType=Y&amp;serNum=2083911539&amp;pubNum=0000708&amp;originatingDoc=I19812a96a5b343b991c8f1562eaa1a5a&amp;refType=RP&amp;originationContext=document&amp;vr=3.0&amp;rs=cblt1.0&amp;transitionType=DocumentItem&amp;contextData=(sc.Search)" TargetMode="External"/><Relationship Id="rId167" Type="http://schemas.openxmlformats.org/officeDocument/2006/relationships/hyperlink" Target="https://www.westlaw.com/Link/Document/FullText?findType=Y&amp;serNum=2083911539&amp;pubNum=0000780&amp;originatingDoc=I19812a96a5b343b991c8f1562eaa1a5a&amp;refType=RP&amp;fi=co_pp_sp_780_297&amp;originationContext=document&amp;vr=3.0&amp;rs=cblt1.0&amp;transitionType=DocumentItem&amp;contextData=(sc.Search)" TargetMode="External"/><Relationship Id="rId7" Type="http://schemas.openxmlformats.org/officeDocument/2006/relationships/hyperlink" Target="https://www.westlaw.com/Search/Results.html?query=advanced%3a+WCAID(I649F49B27E9F11E79C6782232EBF70C7)&amp;saveJuris=False&amp;contentType=BUSINESS-INVESTIGATOR&amp;startIndex=1&amp;contextData=(sc.Default)&amp;categoryPageUrl=Home%2fCompanyInvestigator&amp;originationContext=document&amp;vr=3.0&amp;rs=cblt1.0&amp;transitionType=DocumentItem" TargetMode="External"/><Relationship Id="rId71" Type="http://schemas.openxmlformats.org/officeDocument/2006/relationships/hyperlink" Target="https://www.westlaw.com/Link/Document/FullText?findType=Y&amp;serNum=2006858550&amp;pubNum=0000708&amp;originatingDoc=I19812a96a5b343b991c8f1562eaa1a5a&amp;refType=RP&amp;fi=co_pp_sp_708_930&amp;originationContext=document&amp;vr=3.0&amp;rs=cblt1.0&amp;transitionType=DocumentItem&amp;contextData=(sc.Search)" TargetMode="External"/><Relationship Id="rId92" Type="http://schemas.openxmlformats.org/officeDocument/2006/relationships/hyperlink" Target="https://www.westlaw.com/Link/Document/FullText?findType=Y&amp;serNum=2006858550&amp;pubNum=0000780&amp;originatingDoc=I19812a96a5b343b991c8f1562eaa1a5a&amp;refType=RP&amp;fi=co_pp_sp_780_932&amp;originationContext=document&amp;vr=3.0&amp;rs=cblt1.0&amp;transitionType=DocumentItem&amp;contextData=(sc.Search)" TargetMode="External"/><Relationship Id="rId162" Type="http://schemas.openxmlformats.org/officeDocument/2006/relationships/hyperlink" Target="https://www.westlaw.com/Link/Document/FullText?findType=Y&amp;serNum=2083911539&amp;pubNum=0000708&amp;originatingDoc=I19812a96a5b343b991c8f1562eaa1a5a&amp;refType=RP&amp;fi=co_pp_sp_708_294&amp;originationContext=document&amp;vr=3.0&amp;rs=cblt1.0&amp;transitionType=DocumentItem&amp;contextData=(sc.Search)" TargetMode="External"/><Relationship Id="rId2" Type="http://schemas.openxmlformats.org/officeDocument/2006/relationships/styles" Target="styles.xml"/><Relationship Id="rId29" Type="http://schemas.openxmlformats.org/officeDocument/2006/relationships/hyperlink" Target="https://www.westlaw.com/Link/Document/FullText?findType=L&amp;pubNum=1000546&amp;cite=17USCAS512&amp;originatingDoc=I19812a96a5b343b991c8f1562eaa1a5a&amp;refType=RB&amp;originationContext=document&amp;vr=3.0&amp;rs=cblt1.0&amp;transitionType=DocumentItem&amp;contextData=(sc.Search)" TargetMode="External"/><Relationship Id="rId24" Type="http://schemas.openxmlformats.org/officeDocument/2006/relationships/hyperlink" Target="https://www.westlaw.com/Link/Document/FullText?findType=Y&amp;serNum=2006858550&amp;pubNum=0000708&amp;originatingDoc=I19812a96a5b343b991c8f1562eaa1a5a&amp;refType=RP&amp;originationContext=document&amp;vr=3.0&amp;rs=cblt1.0&amp;transitionType=DocumentItem&amp;contextData=(sc.Search)" TargetMode="External"/><Relationship Id="rId40" Type="http://schemas.openxmlformats.org/officeDocument/2006/relationships/hyperlink" Target="https://www.westlaw.com/Link/Document/FullText?findType=Y&amp;serNum=2057233741&amp;pubNum=0000708&amp;originatingDoc=I19812a96a5b343b991c8f1562eaa1a5a&amp;refType=RP&amp;originationContext=document&amp;vr=3.0&amp;rs=cblt1.0&amp;transitionType=DocumentItem&amp;contextData=(sc.Search)" TargetMode="External"/><Relationship Id="rId45" Type="http://schemas.openxmlformats.org/officeDocument/2006/relationships/hyperlink" Target="https://www.westlaw.com/Link/Document/FullText?findType=Y&amp;serNum=2006858550&amp;pubNum=0000780&amp;originatingDoc=I19812a96a5b343b991c8f1562eaa1a5a&amp;refType=RP&amp;fi=co_pp_sp_780_942&amp;originationContext=document&amp;vr=3.0&amp;rs=cblt1.0&amp;transitionType=DocumentItem&amp;contextData=(sc.Search)" TargetMode="External"/><Relationship Id="rId66" Type="http://schemas.openxmlformats.org/officeDocument/2006/relationships/hyperlink" Target="https://www.westlaw.com/Link/Document/FullText?findType=Y&amp;serNum=1911103525&amp;pubNum=0000780&amp;originatingDoc=I19812a96a5b343b991c8f1562eaa1a5a&amp;refType=RP&amp;fi=co_pp_sp_780_62&amp;originationContext=document&amp;vr=3.0&amp;rs=cblt1.0&amp;transitionType=DocumentItem&amp;contextData=(sc.Search)" TargetMode="External"/><Relationship Id="rId87" Type="http://schemas.openxmlformats.org/officeDocument/2006/relationships/hyperlink" Target="https://www.westlaw.com/Link/Document/FullText?findType=Y&amp;serNum=1984103021&amp;pubNum=0000780&amp;originatingDoc=I19812a96a5b343b991c8f1562eaa1a5a&amp;refType=RP&amp;fi=co_pp_sp_780_434&amp;originationContext=document&amp;vr=3.0&amp;rs=cblt1.0&amp;transitionType=DocumentItem&amp;contextData=(sc.Search)" TargetMode="External"/><Relationship Id="rId110" Type="http://schemas.openxmlformats.org/officeDocument/2006/relationships/hyperlink" Target="https://www.westlaw.com/Link/Document/FullText?findType=Y&amp;serNum=2006858550&amp;pubNum=0000780&amp;originatingDoc=I19812a96a5b343b991c8f1562eaa1a5a&amp;refType=RP&amp;fi=co_pp_sp_780_934&amp;originationContext=document&amp;vr=3.0&amp;rs=cblt1.0&amp;transitionType=DocumentItem&amp;contextData=(sc.Search)" TargetMode="External"/><Relationship Id="rId115"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31" Type="http://schemas.openxmlformats.org/officeDocument/2006/relationships/hyperlink" Target="https://www.westlaw.com/Link/Document/FullText?findType=Y&amp;serNum=2074754243&amp;pubNum=0000780&amp;originatingDoc=I19812a96a5b343b991c8f1562eaa1a5a&amp;refType=RP&amp;originationContext=document&amp;vr=3.0&amp;rs=cblt1.0&amp;transitionType=DocumentItem&amp;contextData=(sc.Search)" TargetMode="External"/><Relationship Id="rId136" Type="http://schemas.openxmlformats.org/officeDocument/2006/relationships/hyperlink" Target="https://www.westlaw.com/Link/Document/FullText?findType=Y&amp;serNum=2074754243&amp;pubNum=0000780&amp;originatingDoc=I19812a96a5b343b991c8f1562eaa1a5a&amp;refType=RP&amp;fi=co_pp_sp_780_498&amp;originationContext=document&amp;vr=3.0&amp;rs=cblt1.0&amp;transitionType=DocumentItem&amp;contextData=(sc.Search)" TargetMode="External"/><Relationship Id="rId157" Type="http://schemas.openxmlformats.org/officeDocument/2006/relationships/hyperlink" Target="https://www.westlaw.com/Link/Document/FullText?findType=Y&amp;serNum=2083911539&amp;pubNum=0000708&amp;originatingDoc=I19812a96a5b343b991c8f1562eaa1a5a&amp;refType=RP&amp;fi=co_pp_sp_708_292&amp;originationContext=document&amp;vr=3.0&amp;rs=cblt1.0&amp;transitionType=DocumentItem&amp;contextData=(sc.Search)" TargetMode="External"/><Relationship Id="rId61" Type="http://schemas.openxmlformats.org/officeDocument/2006/relationships/hyperlink" Target="https://www.westlaw.com/Link/Document/FullText?findType=Y&amp;serNum=2006858550&amp;pubNum=0000780&amp;originatingDoc=I19812a96a5b343b991c8f1562eaa1a5a&amp;refType=RP&amp;fi=co_pp_sp_780_942&amp;originationContext=document&amp;vr=3.0&amp;rs=cblt1.0&amp;transitionType=DocumentItem&amp;contextData=(sc.Search)" TargetMode="External"/><Relationship Id="rId82" Type="http://schemas.openxmlformats.org/officeDocument/2006/relationships/hyperlink" Target="https://www.westlaw.com/Link/Document/FullText?findType=Y&amp;serNum=2006858550&amp;pubNum=0000780&amp;originatingDoc=I19812a96a5b343b991c8f1562eaa1a5a&amp;refType=RP&amp;fi=co_pp_sp_780_939&amp;originationContext=document&amp;vr=3.0&amp;rs=cblt1.0&amp;transitionType=DocumentItem&amp;contextData=(sc.Search)" TargetMode="External"/><Relationship Id="rId152" Type="http://schemas.openxmlformats.org/officeDocument/2006/relationships/hyperlink" Target="https://www.westlaw.com/Link/Document/FullText?findType=Y&amp;serNum=2074754243&amp;pubNum=0000780&amp;originatingDoc=I19812a96a5b343b991c8f1562eaa1a5a&amp;refType=RP&amp;fi=co_pp_sp_780_502&amp;originationContext=document&amp;vr=3.0&amp;rs=cblt1.0&amp;transitionType=DocumentItem&amp;contextData=(sc.Search)" TargetMode="External"/><Relationship Id="rId173" Type="http://schemas.openxmlformats.org/officeDocument/2006/relationships/footer" Target="footer3.xml"/><Relationship Id="rId19" Type="http://schemas.openxmlformats.org/officeDocument/2006/relationships/hyperlink" Target="https://www.westlaw.com/Link/Document/FullText?findType=L&amp;pubNum=1000546&amp;cite=17USCAS504&amp;originatingDoc=I19812a96a5b343b991c8f1562eaa1a5a&amp;refType=RB&amp;originationContext=document&amp;vr=3.0&amp;rs=cblt1.0&amp;transitionType=DocumentItem&amp;contextData=(sc.Search)" TargetMode="External"/><Relationship Id="rId14" Type="http://schemas.openxmlformats.org/officeDocument/2006/relationships/hyperlink" Target="https://www.westlaw.com/Link/Document/FullText?findType=h&amp;pubNum=176284&amp;cite=0505709001&amp;originatingDoc=I19812a96a5b343b991c8f1562eaa1a5a&amp;refType=RQ&amp;originationContext=document&amp;vr=3.0&amp;rs=cblt1.0&amp;transitionType=DocumentItem&amp;contextData=(sc.Search)" TargetMode="External"/><Relationship Id="rId30" Type="http://schemas.openxmlformats.org/officeDocument/2006/relationships/hyperlink" Target="https://www.westlaw.com/Link/Document/FullText?findType=L&amp;pubNum=1000546&amp;cite=17USCAS512&amp;originatingDoc=I19812a96a5b343b991c8f1562eaa1a5a&amp;refType=RB&amp;originationContext=document&amp;vr=3.0&amp;rs=cblt1.0&amp;transitionType=DocumentItem&amp;contextData=(sc.Search)" TargetMode="External"/><Relationship Id="rId35" Type="http://schemas.openxmlformats.org/officeDocument/2006/relationships/hyperlink" Target="https://www.westlaw.com/Link/Document/FullText?findType=Y&amp;serNum=2051250070&amp;pubNum=0007903&amp;originatingDoc=I19812a96a5b343b991c8f1562eaa1a5a&amp;refType=RP&amp;fi=co_pp_sp_7903_847&amp;originationContext=document&amp;vr=3.0&amp;rs=cblt1.0&amp;transitionType=DocumentItem&amp;contextData=(sc.Search)" TargetMode="External"/><Relationship Id="rId56" Type="http://schemas.openxmlformats.org/officeDocument/2006/relationships/hyperlink" Target="https://www.westlaw.com/Link/Document/FullText?findType=Y&amp;serNum=1984103021&amp;pubNum=0000708&amp;originatingDoc=I19812a96a5b343b991c8f1562eaa1a5a&amp;refType=RP&amp;originationContext=document&amp;vr=3.0&amp;rs=cblt1.0&amp;transitionType=DocumentItem&amp;contextData=(sc.Search)" TargetMode="External"/><Relationship Id="rId77" Type="http://schemas.openxmlformats.org/officeDocument/2006/relationships/hyperlink" Target="https://www.westlaw.com/Link/Document/FullText?findType=Y&amp;serNum=2043718716&amp;pubNum=0000506&amp;originatingDoc=I19812a96a5b343b991c8f1562eaa1a5a&amp;refType=RP&amp;fi=co_pp_sp_506_311&amp;originationContext=document&amp;vr=3.0&amp;rs=cblt1.0&amp;transitionType=DocumentItem&amp;contextData=(sc.Search)" TargetMode="External"/><Relationship Id="rId100"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05"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26" Type="http://schemas.openxmlformats.org/officeDocument/2006/relationships/hyperlink" Target="https://www.westlaw.com/Link/Document/FullText?findType=Y&amp;serNum=2001947996&amp;pubNum=0000780&amp;originatingDoc=I19812a96a5b343b991c8f1562eaa1a5a&amp;refType=RP&amp;fi=co_pp_sp_780_31&amp;originationContext=document&amp;vr=3.0&amp;rs=cblt1.0&amp;transitionType=DocumentItem&amp;contextData=(sc.Search)" TargetMode="External"/><Relationship Id="rId147" Type="http://schemas.openxmlformats.org/officeDocument/2006/relationships/hyperlink" Target="https://www.westlaw.com/Link/Document/FullText?findType=Y&amp;serNum=2074754243&amp;pubNum=0000780&amp;originatingDoc=I19812a96a5b343b991c8f1562eaa1a5a&amp;refType=RP&amp;originationContext=document&amp;vr=3.0&amp;rs=cblt1.0&amp;transitionType=DocumentItem&amp;contextData=(sc.Search)" TargetMode="External"/><Relationship Id="rId168" Type="http://schemas.openxmlformats.org/officeDocument/2006/relationships/header" Target="header1.xml"/><Relationship Id="rId8" Type="http://schemas.openxmlformats.org/officeDocument/2006/relationships/hyperlink" Target="https://www.westlaw.com/Link/Document/FullText?findType=h&amp;pubNum=176284&amp;cite=0216654601&amp;originatingDoc=I19812a96a5b343b991c8f1562eaa1a5a&amp;refType=RQ&amp;originationContext=document&amp;vr=3.0&amp;rs=cblt1.0&amp;transitionType=DocumentItem&amp;contextData=(sc.Search)" TargetMode="External"/><Relationship Id="rId51" Type="http://schemas.openxmlformats.org/officeDocument/2006/relationships/hyperlink" Target="https://www.westlaw.com/Link/Document/FullText?findType=Y&amp;serNum=1912100444&amp;pubNum=0000780&amp;originatingDoc=I19812a96a5b343b991c8f1562eaa1a5a&amp;refType=RP&amp;fi=co_pp_sp_780_49&amp;originationContext=document&amp;vr=3.0&amp;rs=cblt1.0&amp;transitionType=DocumentItem&amp;contextData=(sc.Search)" TargetMode="External"/><Relationship Id="rId72" Type="http://schemas.openxmlformats.org/officeDocument/2006/relationships/hyperlink" Target="https://www.westlaw.com/Link/Document/FullText?findType=Y&amp;serNum=2006858550&amp;pubNum=0000708&amp;originatingDoc=I19812a96a5b343b991c8f1562eaa1a5a&amp;refType=RP&amp;fi=co_pp_sp_708_926&amp;originationContext=document&amp;vr=3.0&amp;rs=cblt1.0&amp;transitionType=DocumentItem&amp;contextData=(sc.Search)" TargetMode="External"/><Relationship Id="rId93" Type="http://schemas.openxmlformats.org/officeDocument/2006/relationships/hyperlink" Target="https://www.westlaw.com/Link/Document/FullText?findType=Y&amp;serNum=1984103021&amp;pubNum=0000708&amp;originatingDoc=I19812a96a5b343b991c8f1562eaa1a5a&amp;refType=RP&amp;originationContext=document&amp;vr=3.0&amp;rs=cblt1.0&amp;transitionType=DocumentItem&amp;contextData=(sc.Search)" TargetMode="External"/><Relationship Id="rId98" Type="http://schemas.openxmlformats.org/officeDocument/2006/relationships/hyperlink" Target="https://www.westlaw.com/Link/Document/FullText?findType=Y&amp;serNum=2006858550&amp;pubNum=0000708&amp;originatingDoc=I19812a96a5b343b991c8f1562eaa1a5a&amp;refType=RP&amp;originationContext=document&amp;vr=3.0&amp;rs=cblt1.0&amp;transitionType=DocumentItem&amp;contextData=(sc.Search)" TargetMode="External"/><Relationship Id="rId121" Type="http://schemas.openxmlformats.org/officeDocument/2006/relationships/hyperlink" Target="https://www.westlaw.com/Link/Document/FullText?findType=Y&amp;serNum=2006858550&amp;pubNum=0000780&amp;originatingDoc=I19812a96a5b343b991c8f1562eaa1a5a&amp;refType=RP&amp;originationContext=document&amp;vr=3.0&amp;rs=cblt1.0&amp;transitionType=DocumentItem&amp;contextData=(sc.Search)" TargetMode="External"/><Relationship Id="rId142" Type="http://schemas.openxmlformats.org/officeDocument/2006/relationships/hyperlink" Target="https://www.westlaw.com/Link/Document/FullText?findType=Y&amp;serNum=0491205555&amp;pubNum=0216558&amp;originatingDoc=I19812a96a5b343b991c8f1562eaa1a5a&amp;refType=TS&amp;originationContext=document&amp;vr=3.0&amp;rs=cblt1.0&amp;transitionType=DocumentItem&amp;contextData=(sc.Search)" TargetMode="External"/><Relationship Id="rId163" Type="http://schemas.openxmlformats.org/officeDocument/2006/relationships/hyperlink" Target="https://www.westlaw.com/Link/Document/FullText?findType=Y&amp;serNum=2083911539&amp;pubNum=0000780&amp;originatingDoc=I19812a96a5b343b991c8f1562eaa1a5a&amp;refType=RP&amp;originationContext=document&amp;vr=3.0&amp;rs=cblt1.0&amp;transitionType=DocumentItem&amp;contextData=(sc.Search)" TargetMode="External"/><Relationship Id="rId3" Type="http://schemas.openxmlformats.org/officeDocument/2006/relationships/settings" Target="settings.xml"/><Relationship Id="rId25" Type="http://schemas.openxmlformats.org/officeDocument/2006/relationships/hyperlink" Target="https://www.westlaw.com/Link/Document/FullText?findType=Y&amp;serNum=1984103021&amp;pubNum=0000780&amp;originatingDoc=I19812a96a5b343b991c8f1562eaa1a5a&amp;refType=RP&amp;fi=co_pp_sp_780_439&amp;originationContext=document&amp;vr=3.0&amp;rs=cblt1.0&amp;transitionType=DocumentItem&amp;contextData=(sc.Search)" TargetMode="External"/><Relationship Id="rId46" Type="http://schemas.openxmlformats.org/officeDocument/2006/relationships/hyperlink" Target="https://www.westlaw.com/Link/Document/FullText?findType=Y&amp;serNum=2006858550&amp;pubNum=0000780&amp;originatingDoc=I19812a96a5b343b991c8f1562eaa1a5a&amp;refType=RP&amp;originationContext=document&amp;vr=3.0&amp;rs=cblt1.0&amp;transitionType=DocumentItem&amp;contextData=(sc.Search)" TargetMode="External"/><Relationship Id="rId67"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16" Type="http://schemas.openxmlformats.org/officeDocument/2006/relationships/hyperlink" Target="https://www.westlaw.com/Link/Document/FullText?findType=Y&amp;serNum=2006858550&amp;pubNum=0000780&amp;originatingDoc=I19812a96a5b343b991c8f1562eaa1a5a&amp;refType=RP&amp;originationContext=document&amp;vr=3.0&amp;rs=cblt1.0&amp;transitionType=DocumentItem&amp;contextData=(sc.Search)" TargetMode="External"/><Relationship Id="rId137" Type="http://schemas.openxmlformats.org/officeDocument/2006/relationships/hyperlink" Target="https://www.westlaw.com/Link/Document/FullText?findType=Y&amp;serNum=2074754243&amp;pubNum=0000708&amp;originatingDoc=I19812a96a5b343b991c8f1562eaa1a5a&amp;refType=RP&amp;originationContext=document&amp;vr=3.0&amp;rs=cblt1.0&amp;transitionType=DocumentItem&amp;contextData=(sc.Search)" TargetMode="External"/><Relationship Id="rId158" Type="http://schemas.openxmlformats.org/officeDocument/2006/relationships/hyperlink" Target="https://www.westlaw.com/Link/Document/FullText?findType=Y&amp;serNum=2083911539&amp;pubNum=0000780&amp;originatingDoc=I19812a96a5b343b991c8f1562eaa1a5a&amp;refType=RP&amp;originationContext=document&amp;vr=3.0&amp;rs=cblt1.0&amp;transitionType=DocumentItem&amp;contextData=(sc.Search)" TargetMode="External"/><Relationship Id="rId20" Type="http://schemas.openxmlformats.org/officeDocument/2006/relationships/hyperlink" Target="https://www.westlaw.com/Link/Document/FullText?findType=L&amp;pubNum=1000546&amp;cite=17USCAS501&amp;originatingDoc=I19812a96a5b343b991c8f1562eaa1a5a&amp;refType=RB&amp;originationContext=document&amp;vr=3.0&amp;rs=cblt1.0&amp;transitionType=DocumentItem&amp;contextData=(sc.Search)" TargetMode="External"/><Relationship Id="rId41" Type="http://schemas.openxmlformats.org/officeDocument/2006/relationships/hyperlink" Target="https://www.westlaw.com/Link/Document/FullText?findType=Y&amp;serNum=1984103021&amp;pubNum=0000780&amp;originatingDoc=I19812a96a5b343b991c8f1562eaa1a5a&amp;refType=RP&amp;fi=co_pp_sp_780_434&amp;originationContext=document&amp;vr=3.0&amp;rs=cblt1.0&amp;transitionType=DocumentItem&amp;contextData=(sc.Search)" TargetMode="External"/><Relationship Id="rId62" Type="http://schemas.openxmlformats.org/officeDocument/2006/relationships/hyperlink" Target="https://www.westlaw.com/Link/Document/FullText?findType=L&amp;pubNum=1000546&amp;cite=35USCAS271&amp;originatingDoc=I19812a96a5b343b991c8f1562eaa1a5a&amp;refType=RB&amp;originationContext=document&amp;vr=3.0&amp;rs=cblt1.0&amp;transitionType=DocumentItem&amp;contextData=(sc.Search)" TargetMode="External"/><Relationship Id="rId83" Type="http://schemas.openxmlformats.org/officeDocument/2006/relationships/hyperlink" Target="https://www.westlaw.com/Link/Document/FullText?findType=L&amp;pubNum=1000546&amp;cite=17USCAS512&amp;originatingDoc=I19812a96a5b343b991c8f1562eaa1a5a&amp;refType=RB&amp;originationContext=document&amp;vr=3.0&amp;rs=cblt1.0&amp;transitionType=DocumentItem&amp;contextData=(sc.Search)" TargetMode="External"/><Relationship Id="rId88"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11"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32" Type="http://schemas.openxmlformats.org/officeDocument/2006/relationships/hyperlink" Target="https://www.westlaw.com/Link/Document/FullText?findType=Y&amp;serNum=2074754243&amp;pubNum=0000708&amp;originatingDoc=I19812a96a5b343b991c8f1562eaa1a5a&amp;refType=RP&amp;originationContext=document&amp;vr=3.0&amp;rs=cblt1.0&amp;transitionType=DocumentItem&amp;contextData=(sc.Search)" TargetMode="External"/><Relationship Id="rId153" Type="http://schemas.openxmlformats.org/officeDocument/2006/relationships/hyperlink" Target="https://www.westlaw.com/Link/Document/FullText?findType=Y&amp;serNum=2083911539&amp;pubNum=0000780&amp;originatingDoc=I19812a96a5b343b991c8f1562eaa1a5a&amp;refType=RP&amp;fi=co_pp_sp_780_295&amp;originationContext=document&amp;vr=3.0&amp;rs=cblt1.0&amp;transitionType=DocumentItem&amp;contextData=(sc.Search)" TargetMode="External"/><Relationship Id="rId174" Type="http://schemas.openxmlformats.org/officeDocument/2006/relationships/fontTable" Target="fontTable.xml"/><Relationship Id="rId15" Type="http://schemas.openxmlformats.org/officeDocument/2006/relationships/hyperlink" Target="https://www.westlaw.com/Link/Document/FullText?findType=h&amp;pubNum=176284&amp;cite=0145172701&amp;originatingDoc=I19812a96a5b343b991c8f1562eaa1a5a&amp;refType=RQ&amp;originationContext=document&amp;vr=3.0&amp;rs=cblt1.0&amp;transitionType=DocumentItem&amp;contextData=(sc.Search)" TargetMode="External"/><Relationship Id="rId36" Type="http://schemas.openxmlformats.org/officeDocument/2006/relationships/hyperlink" Target="https://www.westlaw.com/Link/Document/FullText?findType=Y&amp;serNum=2078723699&amp;pubNum=0008173&amp;originatingDoc=I19812a96a5b343b991c8f1562eaa1a5a&amp;refType=RP&amp;fi=co_pp_sp_8173_236&amp;originationContext=document&amp;vr=3.0&amp;rs=cblt1.0&amp;transitionType=DocumentItem&amp;contextData=(sc.Search)" TargetMode="External"/><Relationship Id="rId57" Type="http://schemas.openxmlformats.org/officeDocument/2006/relationships/hyperlink" Target="https://www.westlaw.com/Link/Document/FullText?findType=Y&amp;serNum=1984103021&amp;pubNum=0000708&amp;originatingDoc=I19812a96a5b343b991c8f1562eaa1a5a&amp;refType=RP&amp;originationContext=document&amp;vr=3.0&amp;rs=cblt1.0&amp;transitionType=DocumentItem&amp;contextData=(sc.Search)" TargetMode="External"/><Relationship Id="rId106" Type="http://schemas.openxmlformats.org/officeDocument/2006/relationships/hyperlink" Target="https://www.westlaw.com/Link/Document/FullText?findType=Y&amp;serNum=1984103021&amp;pubNum=0000708&amp;originatingDoc=I19812a96a5b343b991c8f1562eaa1a5a&amp;refType=RP&amp;originationContext=document&amp;vr=3.0&amp;rs=cblt1.0&amp;transitionType=DocumentItem&amp;contextData=(sc.Search)" TargetMode="External"/><Relationship Id="rId127" Type="http://schemas.openxmlformats.org/officeDocument/2006/relationships/hyperlink" Target="https://www.westlaw.com/Link/Document/FullText?findType=Y&amp;serNum=2006858550&amp;pubNum=0000780&amp;originatingDoc=I19812a96a5b343b991c8f1562eaa1a5a&amp;refType=RP&amp;fi=co_pp_sp_780_934&amp;originationContext=document&amp;vr=3.0&amp;rs=cblt1.0&amp;transitionType=DocumentItem&amp;contextData=(sc.Search)" TargetMode="External"/><Relationship Id="rId10" Type="http://schemas.openxmlformats.org/officeDocument/2006/relationships/hyperlink" Target="https://www.westlaw.com/Link/Document/FullText?findType=h&amp;pubNum=176284&amp;cite=0153052401&amp;originatingDoc=I19812a96a5b343b991c8f1562eaa1a5a&amp;refType=RQ&amp;originationContext=document&amp;vr=3.0&amp;rs=cblt1.0&amp;transitionType=DocumentItem&amp;contextData=(sc.Search)" TargetMode="External"/><Relationship Id="rId31" Type="http://schemas.openxmlformats.org/officeDocument/2006/relationships/hyperlink" Target="https://www.westlaw.com/Link/Document/FullText?findType=Y&amp;serNum=2026164638&amp;pubNum=0000506&amp;originatingDoc=I19812a96a5b343b991c8f1562eaa1a5a&amp;refType=RP&amp;fi=co_pp_sp_506_490&amp;originationContext=document&amp;vr=3.0&amp;rs=cblt1.0&amp;transitionType=DocumentItem&amp;contextData=(sc.Search)" TargetMode="External"/><Relationship Id="rId52" Type="http://schemas.openxmlformats.org/officeDocument/2006/relationships/hyperlink" Target="https://www.westlaw.com/Link/Document/FullText?findType=Y&amp;serNum=1917100447&amp;pubNum=0000780&amp;originatingDoc=I19812a96a5b343b991c8f1562eaa1a5a&amp;refType=RP&amp;fi=co_pp_sp_780_518&amp;originationContext=document&amp;vr=3.0&amp;rs=cblt1.0&amp;transitionType=DocumentItem&amp;contextData=(sc.Search)" TargetMode="External"/><Relationship Id="rId73" Type="http://schemas.openxmlformats.org/officeDocument/2006/relationships/hyperlink" Target="https://www.westlaw.com/Link/Document/FullText?findType=Y&amp;serNum=2006858550&amp;pubNum=0000708&amp;originatingDoc=I19812a96a5b343b991c8f1562eaa1a5a&amp;refType=RP&amp;fi=co_pp_sp_708_942&amp;originationContext=document&amp;vr=3.0&amp;rs=cblt1.0&amp;transitionType=DocumentItem&amp;contextData=(sc.Search)" TargetMode="External"/><Relationship Id="rId78" Type="http://schemas.openxmlformats.org/officeDocument/2006/relationships/hyperlink" Target="https://www.westlaw.com/Link/Document/FullText?findType=Y&amp;serNum=2006858550&amp;pubNum=0000780&amp;originatingDoc=I19812a96a5b343b991c8f1562eaa1a5a&amp;refType=RP&amp;originationContext=document&amp;vr=3.0&amp;rs=cblt1.0&amp;transitionType=DocumentItem&amp;contextData=(sc.Search)" TargetMode="External"/><Relationship Id="rId94" Type="http://schemas.openxmlformats.org/officeDocument/2006/relationships/hyperlink" Target="https://www.westlaw.com/Link/Document/FullText?findType=Y&amp;serNum=1984103021&amp;pubNum=0000708&amp;originatingDoc=I19812a96a5b343b991c8f1562eaa1a5a&amp;refType=RP&amp;originationContext=document&amp;vr=3.0&amp;rs=cblt1.0&amp;transitionType=DocumentItem&amp;contextData=(sc.Search)" TargetMode="External"/><Relationship Id="rId99" Type="http://schemas.openxmlformats.org/officeDocument/2006/relationships/hyperlink" Target="https://www.westlaw.com/Link/Document/FullText?findType=Y&amp;serNum=2006858550&amp;pubNum=0000708&amp;originatingDoc=I19812a96a5b343b991c8f1562eaa1a5a&amp;refType=RP&amp;originationContext=document&amp;vr=3.0&amp;rs=cblt1.0&amp;transitionType=DocumentItem&amp;contextData=(sc.Search)" TargetMode="External"/><Relationship Id="rId101" Type="http://schemas.openxmlformats.org/officeDocument/2006/relationships/hyperlink" Target="https://www.westlaw.com/Link/Document/FullText?findType=Y&amp;serNum=2006858550&amp;pubNum=0000780&amp;originatingDoc=I19812a96a5b343b991c8f1562eaa1a5a&amp;refType=RP&amp;originationContext=document&amp;vr=3.0&amp;rs=cblt1.0&amp;transitionType=DocumentItem&amp;contextData=(sc.Search)" TargetMode="External"/><Relationship Id="rId122" Type="http://schemas.openxmlformats.org/officeDocument/2006/relationships/hyperlink" Target="https://www.westlaw.com/Link/Document/FullText?findType=Y&amp;serNum=2036504422&amp;pubNum=0000780&amp;originatingDoc=I19812a96a5b343b991c8f1562eaa1a5a&amp;refType=RP&amp;fi=co_pp_sp_780_456&amp;originationContext=document&amp;vr=3.0&amp;rs=cblt1.0&amp;transitionType=DocumentItem&amp;contextData=(sc.Search)" TargetMode="External"/><Relationship Id="rId143" Type="http://schemas.openxmlformats.org/officeDocument/2006/relationships/hyperlink" Target="https://www.westlaw.com/Link/Document/FullText?findType=Y&amp;serNum=2083911539&amp;pubNum=0000708&amp;originatingDoc=I19812a96a5b343b991c8f1562eaa1a5a&amp;refType=RP&amp;originationContext=document&amp;vr=3.0&amp;rs=cblt1.0&amp;transitionType=DocumentItem&amp;contextData=(sc.Search)" TargetMode="External"/><Relationship Id="rId148" Type="http://schemas.openxmlformats.org/officeDocument/2006/relationships/hyperlink" Target="https://www.westlaw.com/Link/Document/FullText?findType=Y&amp;serNum=2083911539&amp;pubNum=0000780&amp;originatingDoc=I19812a96a5b343b991c8f1562eaa1a5a&amp;refType=RP&amp;fi=co_pp_sp_780_294&amp;originationContext=document&amp;vr=3.0&amp;rs=cblt1.0&amp;transitionType=DocumentItem&amp;contextData=(sc.Search)" TargetMode="External"/><Relationship Id="rId164" Type="http://schemas.openxmlformats.org/officeDocument/2006/relationships/hyperlink" Target="https://www.westlaw.com/Link/Document/FullText?findType=Y&amp;serNum=2083911539&amp;pubNum=0000708&amp;originatingDoc=I19812a96a5b343b991c8f1562eaa1a5a&amp;refType=RP&amp;fi=co_pp_sp_708_295&amp;originationContext=document&amp;vr=3.0&amp;rs=cblt1.0&amp;transitionType=DocumentItem&amp;contextData=(sc.Search)" TargetMode="External"/><Relationship Id="rId16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westlaw.com/Link/Document/FullText?findType=h&amp;pubNum=176284&amp;cite=0258116001&amp;originatingDoc=I19812a96a5b343b991c8f1562eaa1a5a&amp;refType=RQ&amp;originationContext=document&amp;vr=3.0&amp;rs=cblt1.0&amp;transitionType=DocumentItem&amp;contextData=(sc.Search)" TargetMode="External"/><Relationship Id="rId26" Type="http://schemas.openxmlformats.org/officeDocument/2006/relationships/hyperlink" Target="https://www.westlaw.com/Link/Document/FullText?findType=L&amp;pubNum=1000546&amp;cite=35USCAS271&amp;originatingDoc=I19812a96a5b343b991c8f1562eaa1a5a&amp;refType=RB&amp;originationContext=document&amp;vr=3.0&amp;rs=cblt1.0&amp;transitionType=DocumentItem&amp;contextData=(sc.Search)" TargetMode="External"/><Relationship Id="rId47" Type="http://schemas.openxmlformats.org/officeDocument/2006/relationships/hyperlink" Target="https://www.westlaw.com/Link/Document/FullText?findType=Y&amp;serNum=2006858550&amp;pubNum=0000708&amp;originatingDoc=I19812a96a5b343b991c8f1562eaa1a5a&amp;refType=RP&amp;originationContext=document&amp;vr=3.0&amp;rs=cblt1.0&amp;transitionType=DocumentItem&amp;contextData=(sc.Search)" TargetMode="External"/><Relationship Id="rId68" Type="http://schemas.openxmlformats.org/officeDocument/2006/relationships/hyperlink" Target="https://www.westlaw.com/Link/Document/FullText?findType=Y&amp;serNum=1984103021&amp;pubNum=0000780&amp;originatingDoc=I19812a96a5b343b991c8f1562eaa1a5a&amp;refType=RP&amp;fi=co_pp_sp_780_439&amp;originationContext=document&amp;vr=3.0&amp;rs=cblt1.0&amp;transitionType=DocumentItem&amp;contextData=(sc.Search)" TargetMode="External"/><Relationship Id="rId89" Type="http://schemas.openxmlformats.org/officeDocument/2006/relationships/hyperlink" Target="https://www.westlaw.com/Link/Document/FullText?findType=Y&amp;serNum=2006858550&amp;pubNum=0000780&amp;originatingDoc=I19812a96a5b343b991c8f1562eaa1a5a&amp;refType=RP&amp;fi=co_pp_sp_780_930&amp;originationContext=document&amp;vr=3.0&amp;rs=cblt1.0&amp;transitionType=DocumentItem&amp;contextData=(sc.Search)" TargetMode="External"/><Relationship Id="rId112" Type="http://schemas.openxmlformats.org/officeDocument/2006/relationships/hyperlink" Target="https://www.westlaw.com/Link/Document/FullText?findType=Y&amp;serNum=2006858550&amp;pubNum=0000780&amp;originatingDoc=I19812a96a5b343b991c8f1562eaa1a5a&amp;refType=RP&amp;fi=co_pp_sp_780_934&amp;originationContext=document&amp;vr=3.0&amp;rs=cblt1.0&amp;transitionType=DocumentItem&amp;contextData=(sc.Search)" TargetMode="External"/><Relationship Id="rId133" Type="http://schemas.openxmlformats.org/officeDocument/2006/relationships/hyperlink" Target="https://www.westlaw.com/Link/Document/FullText?findType=Y&amp;serNum=1949118144&amp;pubNum=0000780&amp;originatingDoc=I19812a96a5b343b991c8f1562eaa1a5a&amp;refType=RP&amp;fi=co_pp_sp_780_619&amp;originationContext=document&amp;vr=3.0&amp;rs=cblt1.0&amp;transitionType=DocumentItem&amp;contextData=(sc.Search)" TargetMode="External"/><Relationship Id="rId154" Type="http://schemas.openxmlformats.org/officeDocument/2006/relationships/hyperlink" Target="https://www.westlaw.com/Link/Document/FullText?findType=Y&amp;serNum=2083911539&amp;pubNum=0000708&amp;originatingDoc=I19812a96a5b343b991c8f1562eaa1a5a&amp;refType=RP&amp;originationContext=document&amp;vr=3.0&amp;rs=cblt1.0&amp;transitionType=DocumentItem&amp;contextData=(sc.Search)" TargetMode="External"/><Relationship Id="rId175" Type="http://schemas.openxmlformats.org/officeDocument/2006/relationships/theme" Target="theme/theme1.xml"/><Relationship Id="rId16" Type="http://schemas.openxmlformats.org/officeDocument/2006/relationships/hyperlink" Target="https://www.westlaw.com/Link/Document/FullText?findType=h&amp;pubNum=176284&amp;cite=0384965701&amp;originatingDoc=I19812a96a5b343b991c8f1562eaa1a5a&amp;refType=RQ&amp;originationContext=document&amp;vr=3.0&amp;rs=cblt1.0&amp;transitionType=DocumentItem&amp;contextData=(sc.Search)" TargetMode="External"/><Relationship Id="rId37" Type="http://schemas.openxmlformats.org/officeDocument/2006/relationships/hyperlink" Target="https://www.westlaw.com/Link/Document/FullText?findType=Y&amp;serNum=2043718716&amp;pubNum=0000506&amp;originatingDoc=I19812a96a5b343b991c8f1562eaa1a5a&amp;refType=RP&amp;fi=co_pp_sp_506_308&amp;originationContext=document&amp;vr=3.0&amp;rs=cblt1.0&amp;transitionType=DocumentItem&amp;contextData=(sc.Search)" TargetMode="External"/><Relationship Id="rId58" Type="http://schemas.openxmlformats.org/officeDocument/2006/relationships/hyperlink" Target="https://www.westlaw.com/Link/Document/FullText?findType=Y&amp;serNum=2006858550&amp;pubNum=0000780&amp;originatingDoc=I19812a96a5b343b991c8f1562eaa1a5a&amp;refType=RP&amp;originationContext=document&amp;vr=3.0&amp;rs=cblt1.0&amp;transitionType=DocumentItem&amp;contextData=(sc.Search)" TargetMode="External"/><Relationship Id="rId79"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02"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23"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44" Type="http://schemas.openxmlformats.org/officeDocument/2006/relationships/hyperlink" Target="https://www.westlaw.com/Link/Document/FullText?findType=Y&amp;serNum=2083911539&amp;pubNum=0000708&amp;originatingDoc=I19812a96a5b343b991c8f1562eaa1a5a&amp;refType=RP&amp;originationContext=document&amp;vr=3.0&amp;rs=cblt1.0&amp;transitionType=DocumentItem&amp;contextData=(sc.Search)" TargetMode="External"/><Relationship Id="rId90" Type="http://schemas.openxmlformats.org/officeDocument/2006/relationships/hyperlink" Target="https://www.westlaw.com/Link/Document/FullText?findType=Y&amp;serNum=1971110796&amp;pubNum=0000350&amp;originatingDoc=I19812a96a5b343b991c8f1562eaa1a5a&amp;refType=RP&amp;fi=co_pp_sp_350_1162&amp;originationContext=document&amp;vr=3.0&amp;rs=cblt1.0&amp;transitionType=DocumentItem&amp;contextData=(sc.Search)" TargetMode="External"/><Relationship Id="rId165" Type="http://schemas.openxmlformats.org/officeDocument/2006/relationships/hyperlink" Target="https://www.westlaw.com/Link/Document/FullText?findType=Y&amp;serNum=2074754243&amp;pubNum=0000780&amp;originatingDoc=I19812a96a5b343b991c8f1562eaa1a5a&amp;refType=RP&amp;fi=co_pp_sp_780_502&amp;originationContext=document&amp;vr=3.0&amp;rs=cblt1.0&amp;transitionType=DocumentItem&amp;contextData=(sc.Search)" TargetMode="External"/><Relationship Id="rId27" Type="http://schemas.openxmlformats.org/officeDocument/2006/relationships/hyperlink" Target="https://www.westlaw.com/Link/Document/FullText?findType=L&amp;pubNum=1000546&amp;cite=35USCAS271&amp;originatingDoc=I19812a96a5b343b991c8f1562eaa1a5a&amp;refType=RB&amp;originationContext=document&amp;vr=3.0&amp;rs=cblt1.0&amp;transitionType=DocumentItem&amp;contextData=(sc.Search)" TargetMode="External"/><Relationship Id="rId48" Type="http://schemas.openxmlformats.org/officeDocument/2006/relationships/hyperlink" Target="https://www.westlaw.com/Link/Document/FullText?findType=Y&amp;serNum=2006858550&amp;pubNum=0000708&amp;originatingDoc=I19812a96a5b343b991c8f1562eaa1a5a&amp;refType=RP&amp;originationContext=document&amp;vr=3.0&amp;rs=cblt1.0&amp;transitionType=DocumentItem&amp;contextData=(sc.Search)" TargetMode="External"/><Relationship Id="rId69" Type="http://schemas.openxmlformats.org/officeDocument/2006/relationships/hyperlink" Target="https://www.westlaw.com/Link/Document/FullText?findType=Y&amp;serNum=2006858550&amp;pubNum=0000780&amp;originatingDoc=I19812a96a5b343b991c8f1562eaa1a5a&amp;refType=RP&amp;originationContext=document&amp;vr=3.0&amp;rs=cblt1.0&amp;transitionType=DocumentItem&amp;contextData=(sc.Search)" TargetMode="External"/><Relationship Id="rId113" Type="http://schemas.openxmlformats.org/officeDocument/2006/relationships/hyperlink" Target="https://www.westlaw.com/Link/Document/FullText?findType=Y&amp;serNum=1984103021&amp;pubNum=0000780&amp;originatingDoc=I19812a96a5b343b991c8f1562eaa1a5a&amp;refType=RP&amp;originationContext=document&amp;vr=3.0&amp;rs=cblt1.0&amp;transitionType=DocumentItem&amp;contextData=(sc.Search)" TargetMode="External"/><Relationship Id="rId134" Type="http://schemas.openxmlformats.org/officeDocument/2006/relationships/hyperlink" Target="https://www.westlaw.com/Link/Document/FullText?findType=Y&amp;serNum=2074754243&amp;pubNum=0000780&amp;originatingDoc=I19812a96a5b343b991c8f1562eaa1a5a&amp;refType=RP&amp;fi=co_pp_sp_780_490&amp;originationContext=document&amp;vr=3.0&amp;rs=cblt1.0&amp;transitionType=DocumentItem&amp;contextData=(sc.Search)" TargetMode="External"/><Relationship Id="rId80" Type="http://schemas.openxmlformats.org/officeDocument/2006/relationships/hyperlink" Target="https://www.westlaw.com/Link/Document/FullText?findType=Y&amp;serNum=1911103525&amp;pubNum=0000780&amp;originatingDoc=I19812a96a5b343b991c8f1562eaa1a5a&amp;refType=RP&amp;fi=co_pp_sp_780_62&amp;originationContext=document&amp;vr=3.0&amp;rs=cblt1.0&amp;transitionType=DocumentItem&amp;contextData=(sc.Search)" TargetMode="External"/><Relationship Id="rId155" Type="http://schemas.openxmlformats.org/officeDocument/2006/relationships/hyperlink" Target="https://www.westlaw.com/Link/Document/FullText?findType=Y&amp;serNum=2083911539&amp;pubNum=0000708&amp;originatingDoc=I19812a96a5b343b991c8f1562eaa1a5a&amp;refType=RP&amp;originationContext=document&amp;vr=3.0&amp;rs=cblt1.0&amp;transitionType=DocumentItem&amp;contextData=(sc.Search)" TargetMode="External"/><Relationship Id="rId17" Type="http://schemas.openxmlformats.org/officeDocument/2006/relationships/hyperlink" Target="https://www.westlaw.com/Link/Document/FullText?findType=h&amp;pubNum=176284&amp;cite=0216654601&amp;originatingDoc=I19812a96a5b343b991c8f1562eaa1a5a&amp;refType=RQ&amp;originationContext=document&amp;vr=3.0&amp;rs=cblt1.0&amp;transitionType=DocumentItem&amp;contextData=(sc.Search)" TargetMode="External"/><Relationship Id="rId38" Type="http://schemas.openxmlformats.org/officeDocument/2006/relationships/hyperlink" Target="https://www.westlaw.com/Link/Document/FullText?findType=Y&amp;serNum=2078723699&amp;pubNum=0008173&amp;originatingDoc=I19812a96a5b343b991c8f1562eaa1a5a&amp;refType=RP&amp;fi=co_pp_sp_8173_233&amp;originationContext=document&amp;vr=3.0&amp;rs=cblt1.0&amp;transitionType=DocumentItem&amp;contextData=(sc.Search)" TargetMode="External"/><Relationship Id="rId59" Type="http://schemas.openxmlformats.org/officeDocument/2006/relationships/hyperlink" Target="https://www.westlaw.com/Link/Document/FullText?findType=Y&amp;serNum=1984103021&amp;pubNum=0000708&amp;originatingDoc=I19812a96a5b343b991c8f1562eaa1a5a&amp;refType=RP&amp;originationContext=document&amp;vr=3.0&amp;rs=cblt1.0&amp;transitionType=DocumentItem&amp;contextData=(sc.Search)" TargetMode="External"/><Relationship Id="rId103" Type="http://schemas.openxmlformats.org/officeDocument/2006/relationships/hyperlink" Target="https://www.westlaw.com/Link/Document/FullText?findType=Y&amp;serNum=1984103021&amp;pubNum=0000780&amp;originatingDoc=I19812a96a5b343b991c8f1562eaa1a5a&amp;refType=RP&amp;fi=co_pp_sp_780_434&amp;originationContext=document&amp;vr=3.0&amp;rs=cblt1.0&amp;transitionType=DocumentItem&amp;contextData=(sc.Search)" TargetMode="External"/><Relationship Id="rId124" Type="http://schemas.openxmlformats.org/officeDocument/2006/relationships/hyperlink" Target="https://www.westlaw.com/Link/Document/FullText?findType=L&amp;pubNum=1000546&amp;cite=17USCAS512&amp;originatingDoc=I19812a96a5b343b991c8f1562eaa1a5a&amp;refType=RB&amp;originationContext=document&amp;vr=3.0&amp;rs=cblt1.0&amp;transitionType=DocumentItem&amp;contextData=(sc.Search)" TargetMode="External"/><Relationship Id="rId70" Type="http://schemas.openxmlformats.org/officeDocument/2006/relationships/hyperlink" Target="https://www.westlaw.com/Link/Document/FullText?findType=Y&amp;serNum=2006858550&amp;pubNum=0000780&amp;originatingDoc=I19812a96a5b343b991c8f1562eaa1a5a&amp;refType=RP&amp;fi=co_pp_sp_780_939&amp;originationContext=document&amp;vr=3.0&amp;rs=cblt1.0&amp;transitionType=DocumentItem&amp;contextData=(sc.Search)" TargetMode="External"/><Relationship Id="rId91" Type="http://schemas.openxmlformats.org/officeDocument/2006/relationships/hyperlink" Target="https://www.westlaw.com/Link/Document/FullText?findType=Y&amp;serNum=1984103021&amp;pubNum=0000780&amp;originatingDoc=I19812a96a5b343b991c8f1562eaa1a5a&amp;refType=RP&amp;fi=co_pp_sp_780_442&amp;originationContext=document&amp;vr=3.0&amp;rs=cblt1.0&amp;transitionType=DocumentItem&amp;contextData=(sc.Search)" TargetMode="External"/><Relationship Id="rId145" Type="http://schemas.openxmlformats.org/officeDocument/2006/relationships/hyperlink" Target="https://www.westlaw.com/Link/Document/FullText?findType=Y&amp;serNum=2083911539&amp;pubNum=0000708&amp;originatingDoc=I19812a96a5b343b991c8f1562eaa1a5a&amp;refType=RP&amp;originationContext=document&amp;vr=3.0&amp;rs=cblt1.0&amp;transitionType=DocumentItem&amp;contextData=(sc.Search)" TargetMode="External"/><Relationship Id="rId166" Type="http://schemas.openxmlformats.org/officeDocument/2006/relationships/hyperlink" Target="https://www.westlaw.com/Link/Document/FullText?findType=Y&amp;serNum=2074754243&amp;pubNum=0000708&amp;originatingDoc=I19812a96a5b343b991c8f1562eaa1a5a&amp;refType=RP&amp;originationContext=document&amp;vr=3.0&amp;rs=cblt1.0&amp;transitionType=DocumentItem&amp;contextData=(sc.Sear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estlaw.com/Link/Document/FullText?findType=L&amp;pubNum=1000546&amp;cite=17USCAS512&amp;originatingDoc=I19812a96a5b343b991c8f1562eaa1a5a&amp;refType=RB&amp;originationContext=document&amp;vr=3.0&amp;rs=cblt1.0&amp;transitionType=DocumentItem&amp;contextData=(sc.Search)" TargetMode="External"/><Relationship Id="rId2" Type="http://schemas.openxmlformats.org/officeDocument/2006/relationships/hyperlink" Target="https://www.westlaw.com/Link/Document/FullText?findType=Y&amp;serNum=2043718716&amp;pubNum=0000506&amp;originatingDoc=I19812a96a5b343b991c8f1562eaa1a5a&amp;refType=RP&amp;fi=co_pp_sp_506_301&amp;originationContext=document&amp;vr=3.0&amp;rs=cblt1.0&amp;transitionType=DocumentItem&amp;contextData=(sc.Search)" TargetMode="External"/><Relationship Id="rId1" Type="http://schemas.openxmlformats.org/officeDocument/2006/relationships/hyperlink" Target="https://www.westlaw.com/Link/Document/FullText?findType=Y&amp;serNum=2078723699&amp;pubNum=0008173&amp;originatingDoc=I19812a96a5b343b991c8f1562eaa1a5a&amp;refType=RP&amp;fi=co_pp_sp_8173_228&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EBB5-A788-4015-9A42-F7D5AA59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14512</Words>
  <Characters>72709</Characters>
  <Application>Microsoft Office Word</Application>
  <DocSecurity>0</DocSecurity>
  <Lines>1298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3</cp:revision>
  <cp:lastPrinted>2026-04-01T17:07:00Z</cp:lastPrinted>
  <dcterms:created xsi:type="dcterms:W3CDTF">2026-04-01T17:07:00Z</dcterms:created>
  <dcterms:modified xsi:type="dcterms:W3CDTF">2026-04-01T17:10:00Z</dcterms:modified>
</cp:coreProperties>
</file>