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09460" w14:textId="77777777" w:rsidR="00BC24D7" w:rsidRPr="001E4932" w:rsidRDefault="00BC24D7" w:rsidP="00BC24D7">
      <w:pPr>
        <w:pStyle w:val="Normal-Centered"/>
        <w:rPr>
          <w:rFonts w:ascii="Georgia" w:hAnsi="Georgia"/>
        </w:rPr>
      </w:pPr>
      <w:r w:rsidRPr="001E4932">
        <w:rPr>
          <w:rFonts w:ascii="Georgia" w:hAnsi="Georgia"/>
          <w:noProof/>
        </w:rPr>
        <w:drawing>
          <wp:inline distT="0" distB="0" distL="0" distR="0" wp14:anchorId="56A457DD" wp14:editId="0A6E0549">
            <wp:extent cx="4987473" cy="3000375"/>
            <wp:effectExtent l="0" t="0" r="3810" b="0"/>
            <wp:docPr id="76" name="Picture 103"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103" descr="A document with text on i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0932" cy="3008472"/>
                    </a:xfrm>
                    <a:prstGeom prst="rect">
                      <a:avLst/>
                    </a:prstGeom>
                    <a:noFill/>
                    <a:ln>
                      <a:noFill/>
                    </a:ln>
                  </pic:spPr>
                </pic:pic>
              </a:graphicData>
            </a:graphic>
          </wp:inline>
        </w:drawing>
      </w:r>
    </w:p>
    <w:p w14:paraId="1E491300" w14:textId="77777777" w:rsidR="00BC24D7" w:rsidRPr="001E4932" w:rsidRDefault="00BC24D7" w:rsidP="00BC24D7">
      <w:pPr>
        <w:rPr>
          <w:rFonts w:ascii="Georgia" w:hAnsi="Georgia"/>
        </w:rPr>
      </w:pPr>
    </w:p>
    <w:p w14:paraId="746A9E98" w14:textId="77777777" w:rsidR="00BC24D7" w:rsidRPr="001E4932" w:rsidRDefault="00BC24D7" w:rsidP="001E4932">
      <w:pPr>
        <w:pStyle w:val="Heading7"/>
        <w:jc w:val="center"/>
        <w:rPr>
          <w:rFonts w:ascii="Georgia" w:hAnsi="Georgia"/>
          <w:b/>
          <w:bCs/>
          <w:color w:val="000000" w:themeColor="text1"/>
          <w:sz w:val="32"/>
          <w:szCs w:val="32"/>
        </w:rPr>
      </w:pPr>
      <w:bookmarkStart w:id="0" w:name="_Toc171715730"/>
      <w:r w:rsidRPr="001E4932">
        <w:rPr>
          <w:rFonts w:ascii="Georgia" w:hAnsi="Georgia"/>
          <w:b/>
          <w:bCs/>
          <w:color w:val="000000" w:themeColor="text1"/>
          <w:sz w:val="32"/>
          <w:szCs w:val="32"/>
        </w:rPr>
        <w:t xml:space="preserve">Aycock Engineering, Inc. v. </w:t>
      </w:r>
      <w:proofErr w:type="spellStart"/>
      <w:r w:rsidRPr="001E4932">
        <w:rPr>
          <w:rFonts w:ascii="Georgia" w:hAnsi="Georgia"/>
          <w:b/>
          <w:bCs/>
          <w:color w:val="000000" w:themeColor="text1"/>
          <w:sz w:val="32"/>
          <w:szCs w:val="32"/>
        </w:rPr>
        <w:t>Airflite</w:t>
      </w:r>
      <w:proofErr w:type="spellEnd"/>
      <w:r w:rsidRPr="001E4932">
        <w:rPr>
          <w:rFonts w:ascii="Georgia" w:hAnsi="Georgia"/>
          <w:b/>
          <w:bCs/>
          <w:color w:val="000000" w:themeColor="text1"/>
          <w:sz w:val="32"/>
          <w:szCs w:val="32"/>
        </w:rPr>
        <w:t>, Inc.</w:t>
      </w:r>
      <w:bookmarkEnd w:id="0"/>
    </w:p>
    <w:p w14:paraId="395324E1" w14:textId="6D2BA0B2" w:rsidR="00BC24D7" w:rsidRPr="001E4932" w:rsidRDefault="00BC24D7" w:rsidP="001E4932">
      <w:pPr>
        <w:pStyle w:val="OpinionCitation"/>
        <w:jc w:val="center"/>
        <w:rPr>
          <w:rFonts w:ascii="Georgia" w:hAnsi="Georgia"/>
          <w:bCs/>
          <w:color w:val="000000" w:themeColor="text1"/>
        </w:rPr>
      </w:pPr>
      <w:r w:rsidRPr="001E4932">
        <w:rPr>
          <w:rFonts w:ascii="Georgia" w:hAnsi="Georgia"/>
          <w:bCs/>
          <w:color w:val="000000" w:themeColor="text1"/>
        </w:rPr>
        <w:t>560 F.3d 1350 (Fed. Cir. 2009)</w:t>
      </w:r>
    </w:p>
    <w:p w14:paraId="45BAA8B9" w14:textId="77777777" w:rsidR="00BC24D7" w:rsidRPr="001E4932" w:rsidRDefault="00BC24D7" w:rsidP="00BC24D7">
      <w:pPr>
        <w:pStyle w:val="NormalNoIndent"/>
        <w:keepNext/>
        <w:rPr>
          <w:rFonts w:ascii="Georgia" w:hAnsi="Georgia"/>
        </w:rPr>
      </w:pPr>
      <w:r w:rsidRPr="001E4932">
        <w:rPr>
          <w:rFonts w:ascii="Georgia" w:hAnsi="Georgia"/>
        </w:rPr>
        <w:t>O’GRADY, District Judge:</w:t>
      </w:r>
    </w:p>
    <w:p w14:paraId="24E7AB02" w14:textId="684F7569" w:rsidR="00BC24D7" w:rsidRPr="001E4932" w:rsidRDefault="00BC24D7" w:rsidP="00BC24D7">
      <w:pPr>
        <w:rPr>
          <w:rFonts w:ascii="Georgia" w:hAnsi="Georgia"/>
        </w:rPr>
      </w:pPr>
      <w:r w:rsidRPr="001E4932">
        <w:rPr>
          <w:rFonts w:ascii="Georgia" w:hAnsi="Georgia"/>
        </w:rPr>
        <w:t>In 1970, Respondent–Appellant Aycock Engineering, Inc. (“Aycock Engineering”) applied for a service mark, which was registered at the United States Patent and Trademark Office (“USPTO”) in 1974 after examination. In 2007, however, the USPTO Trademark Trial and Appeal Board (“TTAB”) declared the registration void because it failed to meet the “use in commerce” element of the Lanham Act. Aycock Engineering now appeals the TTAB’s ruling. The question presented herein is whether the use in commerce requirement is met when an applicant uses a service mark in the preparatory stages of a service’s development, but never offers the service to the public. We hold that it is not.</w:t>
      </w:r>
    </w:p>
    <w:p w14:paraId="6698317C" w14:textId="77777777" w:rsidR="00BC24D7" w:rsidRPr="001E4932" w:rsidRDefault="00BC24D7" w:rsidP="00BC24D7">
      <w:pPr>
        <w:pStyle w:val="Normal-Centered"/>
        <w:rPr>
          <w:rFonts w:ascii="Georgia" w:hAnsi="Georgia"/>
        </w:rPr>
      </w:pPr>
      <w:r w:rsidRPr="001E4932">
        <w:rPr>
          <w:rFonts w:ascii="Georgia" w:hAnsi="Georgia"/>
        </w:rPr>
        <w:t>I. BACKGROUND</w:t>
      </w:r>
    </w:p>
    <w:p w14:paraId="77AF4001" w14:textId="4B583D7F" w:rsidR="00BC24D7" w:rsidRPr="001E4932" w:rsidRDefault="00BC24D7" w:rsidP="00BC24D7">
      <w:pPr>
        <w:rPr>
          <w:rFonts w:ascii="Georgia" w:hAnsi="Georgia"/>
        </w:rPr>
      </w:pPr>
      <w:r w:rsidRPr="001E4932">
        <w:rPr>
          <w:rFonts w:ascii="Georgia" w:hAnsi="Georgia"/>
        </w:rPr>
        <w:t>In the late 1940s, William Aycock conceived of and began work on a service involving chartering flights in the air taxi industry. At that time, the common practice for air taxi companies was to lease entire airplanes, not individual seats. Consequently, individual passengers not belonging to a larger party faced more difficulty and expense in chartering a flight. Mr. Aycock intended, through his service, to allow solo passengers to arrange flights on chartered aircraft for less cost.</w:t>
      </w:r>
    </w:p>
    <w:p w14:paraId="19375E07" w14:textId="133C10C0" w:rsidR="00BC24D7" w:rsidRPr="001E4932" w:rsidRDefault="00BC24D7" w:rsidP="00BC24D7">
      <w:pPr>
        <w:rPr>
          <w:rFonts w:ascii="Georgia" w:hAnsi="Georgia"/>
        </w:rPr>
      </w:pPr>
      <w:r w:rsidRPr="001E4932">
        <w:rPr>
          <w:rFonts w:ascii="Georgia" w:hAnsi="Georgia"/>
        </w:rPr>
        <w:lastRenderedPageBreak/>
        <w:t xml:space="preserve">Mr. Aycock did not plan on operating the chartered air taxi services himself. Instead, his goal was to develop a system where he would serve his customers by acting as the middleman, or “communication link,” between the customer and one of the air taxi service operators he contracted with to provide flights on an individual seat basis. Mr. Aycock planned to advertise his service, which he called the AIRFLITE service, to the public and to have those interested in using the service call a toll-free phone number to schedule reservations. After learning of customers’ travel plans, Mr. Aycock would then arrange for the air taxi service to fly his customers with similar travel plans to their destinations. Mr. Aycock believed that </w:t>
      </w:r>
      <w:proofErr w:type="gramStart"/>
      <w:r w:rsidRPr="001E4932">
        <w:rPr>
          <w:rFonts w:ascii="Georgia" w:hAnsi="Georgia"/>
        </w:rPr>
        <w:t>in order for</w:t>
      </w:r>
      <w:proofErr w:type="gramEnd"/>
      <w:r w:rsidRPr="001E4932">
        <w:rPr>
          <w:rFonts w:ascii="Georgia" w:hAnsi="Georgia"/>
        </w:rPr>
        <w:t xml:space="preserve"> his service to become operational, he needed at least 300 air taxi operators in the United States to agree to participate in his air-taxi-operator network.</w:t>
      </w:r>
      <w:r w:rsidRPr="001E4932">
        <w:rPr>
          <w:rStyle w:val="FootnoteReference"/>
          <w:rFonts w:ascii="Georgia" w:hAnsi="Georgia"/>
        </w:rPr>
        <w:footnoteReference w:customMarkFollows="1" w:id="1"/>
        <w:t>2</w:t>
      </w:r>
    </w:p>
    <w:p w14:paraId="7C1EE92A" w14:textId="025B408A" w:rsidR="00BC24D7" w:rsidRPr="001E4932" w:rsidRDefault="00BC24D7" w:rsidP="00BC24D7">
      <w:pPr>
        <w:rPr>
          <w:rFonts w:ascii="Georgia" w:hAnsi="Georgia"/>
        </w:rPr>
      </w:pPr>
      <w:r w:rsidRPr="001E4932">
        <w:rPr>
          <w:rFonts w:ascii="Georgia" w:hAnsi="Georgia"/>
        </w:rPr>
        <w:t xml:space="preserve">In the years after conceiving of the idea for his service, Mr. Aycock worked toward offering the service to the public. In the mid–1960s, he formed Aycock Engineering—the corporate entity under which his service would operate. He also sought and obtained two toll-free telephone numbers that the public could use to make reservations. In March of 1970, Mr. Aycock invited virtually all air taxi operators certified by the Federal Aviation Administration (“FAA”) to join his operation by, inter alia, distributing flyers with in-depth information about his AIRFLITE service. He eventually </w:t>
      </w:r>
      <w:proofErr w:type="gramStart"/>
      <w:r w:rsidRPr="001E4932">
        <w:rPr>
          <w:rFonts w:ascii="Georgia" w:hAnsi="Georgia"/>
        </w:rPr>
        <w:t>entered into</w:t>
      </w:r>
      <w:proofErr w:type="gramEnd"/>
      <w:r w:rsidRPr="001E4932">
        <w:rPr>
          <w:rFonts w:ascii="Georgia" w:hAnsi="Georgia"/>
        </w:rPr>
        <w:t xml:space="preserve"> contracts with some of those air taxi service operators.</w:t>
      </w:r>
      <w:r w:rsidRPr="001E4932">
        <w:rPr>
          <w:rStyle w:val="FootnoteReference"/>
          <w:rFonts w:ascii="Georgia" w:hAnsi="Georgia"/>
        </w:rPr>
        <w:footnoteReference w:customMarkFollows="1" w:id="2"/>
        <w:t>3</w:t>
      </w:r>
      <w:r w:rsidRPr="001E4932">
        <w:rPr>
          <w:rFonts w:ascii="Georgia" w:hAnsi="Georgia"/>
        </w:rPr>
        <w:t xml:space="preserve"> Under these contracts, air taxi operators agreed to participate in the AIRFLITE service and even paid modest initiation fees to Mr. Aycock. Furthermore, Mr. Aycock filed a service mark application on August 10, </w:t>
      </w:r>
      <w:proofErr w:type="gramStart"/>
      <w:r w:rsidRPr="001E4932">
        <w:rPr>
          <w:rFonts w:ascii="Georgia" w:hAnsi="Georgia"/>
        </w:rPr>
        <w:t>1970</w:t>
      </w:r>
      <w:proofErr w:type="gramEnd"/>
      <w:r w:rsidRPr="001E4932">
        <w:rPr>
          <w:rFonts w:ascii="Georgia" w:hAnsi="Georgia"/>
        </w:rPr>
        <w:t xml:space="preserve"> for the term AIRFLITE.</w:t>
      </w:r>
    </w:p>
    <w:p w14:paraId="48E3DA0E" w14:textId="01C796C0" w:rsidR="00BC24D7" w:rsidRPr="001E4932" w:rsidRDefault="00BC24D7" w:rsidP="00BC24D7">
      <w:pPr>
        <w:rPr>
          <w:rFonts w:ascii="Georgia" w:hAnsi="Georgia"/>
        </w:rPr>
      </w:pPr>
      <w:r w:rsidRPr="001E4932">
        <w:rPr>
          <w:rFonts w:ascii="Georgia" w:hAnsi="Georgia"/>
        </w:rPr>
        <w:t xml:space="preserve">Despite his efforts, Mr. Aycock’s operation never got off the ground. While he estimated that he needed at least 300 air service operators under contract to make his service operational, Mr. Aycock never had more than twelve (4% of his minimum goal) under contract at any time throughout his company’s history. And while Mr. Aycock advertised to air taxi operators, he never marketed the AIRFLITE service to the </w:t>
      </w:r>
      <w:proofErr w:type="gramStart"/>
      <w:r w:rsidRPr="001E4932">
        <w:rPr>
          <w:rFonts w:ascii="Georgia" w:hAnsi="Georgia"/>
        </w:rPr>
        <w:t>general public</w:t>
      </w:r>
      <w:proofErr w:type="gramEnd"/>
      <w:r w:rsidRPr="001E4932">
        <w:rPr>
          <w:rFonts w:ascii="Georgia" w:hAnsi="Georgia"/>
        </w:rPr>
        <w:t xml:space="preserve">. More specifically, the record does not suggest that Mr. Aycock ever gave the public an opportunity to use the toll-free phone numbers to book reservations, or that he ever spoke with a member of the </w:t>
      </w:r>
      <w:proofErr w:type="gramStart"/>
      <w:r w:rsidRPr="001E4932">
        <w:rPr>
          <w:rFonts w:ascii="Georgia" w:hAnsi="Georgia"/>
        </w:rPr>
        <w:t>general public</w:t>
      </w:r>
      <w:proofErr w:type="gramEnd"/>
      <w:r w:rsidRPr="001E4932">
        <w:rPr>
          <w:rFonts w:ascii="Georgia" w:hAnsi="Georgia"/>
        </w:rPr>
        <w:t xml:space="preserve"> about making a reservation. Finally, and most notably, Mr. Aycock never arranged for a single passenger to fly on a chartered flight.</w:t>
      </w:r>
      <w:r w:rsidRPr="001E4932">
        <w:rPr>
          <w:rStyle w:val="FootnoteReference"/>
          <w:rFonts w:ascii="Georgia" w:hAnsi="Georgia"/>
        </w:rPr>
        <w:footnoteReference w:customMarkFollows="1" w:id="3"/>
        <w:t>4</w:t>
      </w:r>
    </w:p>
    <w:p w14:paraId="68313735" w14:textId="60EEE219" w:rsidR="00BC24D7" w:rsidRPr="001E4932" w:rsidRDefault="00BC24D7" w:rsidP="00BC24D7">
      <w:pPr>
        <w:rPr>
          <w:rFonts w:ascii="Georgia" w:hAnsi="Georgia"/>
        </w:rPr>
      </w:pPr>
      <w:r w:rsidRPr="001E4932">
        <w:rPr>
          <w:rFonts w:ascii="Georgia" w:hAnsi="Georgia"/>
        </w:rPr>
        <w:lastRenderedPageBreak/>
        <w:t>Mr. Aycock’s AIRFLITE mark, which he applied for on August 10, 1970, was registered by the USPTO on April 30, 1974 on the Supplemental Register</w:t>
      </w:r>
      <w:r w:rsidRPr="001E4932">
        <w:rPr>
          <w:rStyle w:val="FootnoteReference"/>
          <w:rFonts w:ascii="Georgia" w:hAnsi="Georgia"/>
        </w:rPr>
        <w:footnoteReference w:customMarkFollows="1" w:id="4"/>
        <w:t>*</w:t>
      </w:r>
      <w:r w:rsidRPr="001E4932">
        <w:rPr>
          <w:rFonts w:ascii="Georgia" w:hAnsi="Georgia"/>
        </w:rPr>
        <w:t xml:space="preserve"> after a prosecution that involved considerable negotiation between Mr. Aycock and the trademark examining attorney </w:t>
      </w:r>
      <w:proofErr w:type="gramStart"/>
      <w:r w:rsidRPr="001E4932">
        <w:rPr>
          <w:rFonts w:ascii="Georgia" w:hAnsi="Georgia"/>
        </w:rPr>
        <w:t>. . . .</w:t>
      </w:r>
      <w:proofErr w:type="gramEnd"/>
      <w:r w:rsidRPr="001E4932">
        <w:rPr>
          <w:rFonts w:ascii="Georgia" w:hAnsi="Georgia"/>
        </w:rPr>
        <w:t xml:space="preserve"> The recitation of services for the AIRFLITE service mark eventually agreed upon by the USPTO and Mr. Aycock was “[a]</w:t>
      </w:r>
      <w:proofErr w:type="spellStart"/>
      <w:r w:rsidRPr="001E4932">
        <w:rPr>
          <w:rFonts w:ascii="Georgia" w:hAnsi="Georgia"/>
        </w:rPr>
        <w:t>rranging</w:t>
      </w:r>
      <w:proofErr w:type="spellEnd"/>
      <w:r w:rsidRPr="001E4932">
        <w:rPr>
          <w:rFonts w:ascii="Georgia" w:hAnsi="Georgia"/>
        </w:rPr>
        <w:t xml:space="preserve"> for individual reservations for flights on airplanes.” </w:t>
      </w:r>
      <w:r w:rsidRPr="001E4932">
        <w:rPr>
          <w:rFonts w:ascii="Georgia" w:hAnsi="Georgia"/>
          <w:i/>
          <w:iCs/>
        </w:rPr>
        <w:t>Id.</w:t>
      </w:r>
      <w:r w:rsidRPr="001E4932">
        <w:rPr>
          <w:rFonts w:ascii="Georgia" w:hAnsi="Georgia"/>
        </w:rPr>
        <w:t xml:space="preserve"> at 729. Mr. Aycock’s application to renew his AIRFLITE service mark was granted by the USPTO on April 27, 1994.</w:t>
      </w:r>
    </w:p>
    <w:p w14:paraId="431FCA37" w14:textId="4764B936" w:rsidR="00BC24D7" w:rsidRPr="001E4932" w:rsidRDefault="00BC24D7" w:rsidP="00BC24D7">
      <w:pPr>
        <w:rPr>
          <w:rFonts w:ascii="Georgia" w:hAnsi="Georgia"/>
        </w:rPr>
      </w:pPr>
      <w:r w:rsidRPr="001E4932">
        <w:rPr>
          <w:rFonts w:ascii="Georgia" w:hAnsi="Georgia"/>
        </w:rPr>
        <w:t xml:space="preserve">In 2001, </w:t>
      </w:r>
      <w:proofErr w:type="spellStart"/>
      <w:r w:rsidRPr="001E4932">
        <w:rPr>
          <w:rFonts w:ascii="Georgia" w:hAnsi="Georgia"/>
        </w:rPr>
        <w:t>Airflite</w:t>
      </w:r>
      <w:proofErr w:type="spellEnd"/>
      <w:r w:rsidRPr="001E4932">
        <w:rPr>
          <w:rFonts w:ascii="Georgia" w:hAnsi="Georgia"/>
        </w:rPr>
        <w:t xml:space="preserve">, Inc., the Petitioner–Appellee, filed a petition for cancellation alleging, inter alia, that Aycock Engineering did not use its AIRFLITE mark prior to registration in connection with the services identified in its registration. In that proceeding, the TTAB agreed with </w:t>
      </w:r>
      <w:proofErr w:type="spellStart"/>
      <w:r w:rsidRPr="001E4932">
        <w:rPr>
          <w:rFonts w:ascii="Georgia" w:hAnsi="Georgia"/>
        </w:rPr>
        <w:t>Airflite</w:t>
      </w:r>
      <w:proofErr w:type="spellEnd"/>
      <w:r w:rsidRPr="001E4932">
        <w:rPr>
          <w:rFonts w:ascii="Georgia" w:hAnsi="Georgia"/>
        </w:rPr>
        <w:t xml:space="preserve">, Inc. and cancelled the AIRFLITE registration, finding that Mr. Aycock failed to render the service described in its registration in commerce. </w:t>
      </w:r>
      <w:proofErr w:type="spellStart"/>
      <w:r w:rsidRPr="001E4932">
        <w:rPr>
          <w:rFonts w:ascii="Georgia" w:hAnsi="Georgia"/>
          <w:i/>
          <w:iCs/>
        </w:rPr>
        <w:t>Airflite</w:t>
      </w:r>
      <w:proofErr w:type="spellEnd"/>
      <w:r w:rsidRPr="001E4932">
        <w:rPr>
          <w:rFonts w:ascii="Georgia" w:hAnsi="Georgia"/>
          <w:i/>
          <w:iCs/>
        </w:rPr>
        <w:t>, Inc. v. Aycock Eng’g, Inc.,</w:t>
      </w:r>
      <w:r w:rsidRPr="001E4932">
        <w:rPr>
          <w:rFonts w:ascii="Georgia" w:hAnsi="Georgia"/>
        </w:rPr>
        <w:t xml:space="preserve"> Cancellation 92032520, 2007 WL 2972237, at *7 (TTAB Oct. 4, 2007) (“</w:t>
      </w:r>
      <w:r w:rsidRPr="001E4932">
        <w:rPr>
          <w:rFonts w:ascii="Georgia" w:hAnsi="Georgia"/>
          <w:i/>
          <w:iCs/>
        </w:rPr>
        <w:t>TTAB Decision</w:t>
      </w:r>
      <w:r w:rsidRPr="001E4932">
        <w:rPr>
          <w:rFonts w:ascii="Georgia" w:hAnsi="Georgia"/>
        </w:rPr>
        <w:t xml:space="preserve"> “).</w:t>
      </w:r>
    </w:p>
    <w:p w14:paraId="359D7147" w14:textId="77777777" w:rsidR="00BC24D7" w:rsidRPr="001E4932" w:rsidRDefault="00BC24D7" w:rsidP="00BC24D7">
      <w:pPr>
        <w:rPr>
          <w:rFonts w:ascii="Georgia" w:hAnsi="Georgia"/>
        </w:rPr>
      </w:pPr>
      <w:r w:rsidRPr="001E4932">
        <w:rPr>
          <w:rFonts w:ascii="Georgia" w:hAnsi="Georgia"/>
        </w:rPr>
        <w:t>. . . .</w:t>
      </w:r>
    </w:p>
    <w:p w14:paraId="740F8DB4" w14:textId="77777777" w:rsidR="00BC24D7" w:rsidRPr="001E4932" w:rsidRDefault="00BC24D7" w:rsidP="00BC24D7">
      <w:pPr>
        <w:pStyle w:val="Normal-Centered"/>
        <w:keepNext/>
        <w:rPr>
          <w:rFonts w:ascii="Georgia" w:hAnsi="Georgia"/>
        </w:rPr>
      </w:pPr>
      <w:r w:rsidRPr="001E4932">
        <w:rPr>
          <w:rFonts w:ascii="Georgia" w:hAnsi="Georgia"/>
        </w:rPr>
        <w:t>D. Use Requirement</w:t>
      </w:r>
    </w:p>
    <w:p w14:paraId="13BC1539" w14:textId="7E222089" w:rsidR="00BC24D7" w:rsidRPr="001E4932" w:rsidRDefault="00BC24D7" w:rsidP="00BC24D7">
      <w:pPr>
        <w:rPr>
          <w:rFonts w:ascii="Georgia" w:hAnsi="Georgia"/>
        </w:rPr>
      </w:pPr>
      <w:r w:rsidRPr="001E4932">
        <w:rPr>
          <w:rFonts w:ascii="Georgia" w:hAnsi="Georgia"/>
        </w:rPr>
        <w:t xml:space="preserve">Under § 45 of the Lanham Act, a service mark is any “word, name, symbol or device, or any combination thereof used by a person, or which a person has a bona fide intention to use in commerce . . . to identify and distinguish the services of one person . . . from the services of others.” 15 U.S.C. § 1127 (2006). The definition of “service mark” is virtually identical to the definition of “trademark.” But while service marks apply to intangible services, trademarks are used to distinguish tangible goods. </w:t>
      </w:r>
      <w:r w:rsidRPr="001E4932">
        <w:rPr>
          <w:rFonts w:ascii="Georgia" w:hAnsi="Georgia"/>
          <w:i/>
          <w:iCs/>
        </w:rPr>
        <w:t>See Chance v. Pac–Tel Teletrac Inc.,</w:t>
      </w:r>
      <w:r w:rsidRPr="001E4932">
        <w:rPr>
          <w:rFonts w:ascii="Georgia" w:hAnsi="Georgia"/>
        </w:rPr>
        <w:t xml:space="preserve"> 242 F.3d 1151, 1156 (9</w:t>
      </w:r>
      <w:proofErr w:type="gramStart"/>
      <w:r w:rsidRPr="001E4932">
        <w:rPr>
          <w:rFonts w:ascii="Georgia" w:hAnsi="Georgia"/>
        </w:rPr>
        <w:t>th  Cir.</w:t>
      </w:r>
      <w:proofErr w:type="gramEnd"/>
      <w:r w:rsidRPr="001E4932">
        <w:rPr>
          <w:rFonts w:ascii="Georgia" w:hAnsi="Georgia"/>
        </w:rPr>
        <w:t xml:space="preserve"> 2001).</w:t>
      </w:r>
    </w:p>
    <w:p w14:paraId="3186F5AA" w14:textId="7E471264" w:rsidR="00BC24D7" w:rsidRPr="001E4932" w:rsidRDefault="00BC24D7" w:rsidP="00BC24D7">
      <w:pPr>
        <w:rPr>
          <w:rFonts w:ascii="Georgia" w:hAnsi="Georgia"/>
        </w:rPr>
      </w:pPr>
      <w:r w:rsidRPr="001E4932">
        <w:rPr>
          <w:rFonts w:ascii="Georgia" w:hAnsi="Georgia"/>
        </w:rPr>
        <w:t xml:space="preserve"> “It is clear from the wording of the Lanham Act that applications for service mark registrations are subject to the same statutory criteria as are trademarks.” 3 J. Thomas McCarthy, </w:t>
      </w:r>
      <w:r w:rsidRPr="001E4932">
        <w:rPr>
          <w:rFonts w:ascii="Georgia" w:hAnsi="Georgia"/>
          <w:i/>
          <w:iCs/>
        </w:rPr>
        <w:t>McCarthy on Trademarks and Unfair Competition</w:t>
      </w:r>
      <w:r w:rsidRPr="001E4932">
        <w:rPr>
          <w:rFonts w:ascii="Georgia" w:hAnsi="Georgia"/>
        </w:rPr>
        <w:t xml:space="preserve"> § 19:82 (4th ed. 2008) [hereinafter McCarthy]; see 15 U.S.C. § 1053 (2006). One such statutory criterion that applies to both trademarks and service marks is the “use in commerce” requirement</w:t>
      </w:r>
      <w:proofErr w:type="gramStart"/>
      <w:r w:rsidRPr="001E4932">
        <w:rPr>
          <w:rFonts w:ascii="Georgia" w:hAnsi="Georgia"/>
        </w:rPr>
        <w:t>. . . .</w:t>
      </w:r>
      <w:proofErr w:type="gramEnd"/>
      <w:r w:rsidRPr="001E4932">
        <w:rPr>
          <w:rFonts w:ascii="Georgia" w:hAnsi="Georgia"/>
        </w:rPr>
        <w:t xml:space="preserve"> The registration of a mark that does not meet the use requirement is void ab initio. </w:t>
      </w:r>
      <w:r w:rsidRPr="001E4932">
        <w:rPr>
          <w:rFonts w:ascii="Georgia" w:hAnsi="Georgia"/>
          <w:i/>
        </w:rPr>
        <w:t>See</w:t>
      </w:r>
      <w:r w:rsidRPr="001E4932">
        <w:rPr>
          <w:rFonts w:ascii="Georgia" w:hAnsi="Georgia"/>
        </w:rPr>
        <w:t xml:space="preserve"> </w:t>
      </w:r>
      <w:r w:rsidRPr="001E4932">
        <w:rPr>
          <w:rFonts w:ascii="Georgia" w:hAnsi="Georgia"/>
          <w:i/>
          <w:iCs/>
        </w:rPr>
        <w:t>Gay Toys, Inc. v. McDonald’s Corp.,</w:t>
      </w:r>
      <w:r w:rsidRPr="001E4932">
        <w:rPr>
          <w:rFonts w:ascii="Georgia" w:hAnsi="Georgia"/>
        </w:rPr>
        <w:t xml:space="preserve"> 585 F.2d 1067, 1068 (CCPA 1978); 3 McCarthy § 19:112.</w:t>
      </w:r>
    </w:p>
    <w:p w14:paraId="218B38F3" w14:textId="07997274" w:rsidR="00BC24D7" w:rsidRPr="001E4932" w:rsidRDefault="00BC24D7" w:rsidP="00BC24D7">
      <w:pPr>
        <w:rPr>
          <w:rFonts w:ascii="Georgia" w:hAnsi="Georgia"/>
        </w:rPr>
      </w:pPr>
      <w:r w:rsidRPr="001E4932">
        <w:rPr>
          <w:rFonts w:ascii="Georgia" w:hAnsi="Georgia"/>
        </w:rPr>
        <w:lastRenderedPageBreak/>
        <w:t xml:space="preserve">Despite the seeming harmony and simplicity in the application of the use requirement to trademarks and service marks, opportunity exists for confusion in this area of the law. Different statutory requirements apply to applications filed before November 16, 1989, as compared to those filed after. This is because in 1988, Congress passed the Trademark Law Revision Act (“TLRA”). The TLRA altered the burden that applicants must meet before satisfying the use element by requiring an applicant to make a “bona fide use of [the] mark in the ordinary course of trade.” Trademark Law Revision Act of 1988, </w:t>
      </w:r>
      <w:proofErr w:type="spellStart"/>
      <w:r w:rsidRPr="001E4932">
        <w:rPr>
          <w:rFonts w:ascii="Georgia" w:hAnsi="Georgia"/>
        </w:rPr>
        <w:t>Pub.L</w:t>
      </w:r>
      <w:proofErr w:type="spellEnd"/>
      <w:r w:rsidRPr="001E4932">
        <w:rPr>
          <w:rFonts w:ascii="Georgia" w:hAnsi="Georgia"/>
        </w:rPr>
        <w:t>. No. 100–667, 102 Stat. 3935 (effective November 16, 1989) (codified at 15 U.S.C. § 1127 (2006)).</w:t>
      </w:r>
    </w:p>
    <w:p w14:paraId="751492F9" w14:textId="24C883D0" w:rsidR="00BC24D7" w:rsidRPr="001E4932" w:rsidRDefault="00BC24D7" w:rsidP="00BC24D7">
      <w:pPr>
        <w:rPr>
          <w:rFonts w:ascii="Georgia" w:hAnsi="Georgia"/>
        </w:rPr>
      </w:pPr>
      <w:r w:rsidRPr="001E4932">
        <w:rPr>
          <w:rFonts w:ascii="Georgia" w:hAnsi="Georgia"/>
        </w:rPr>
        <w:t xml:space="preserve">This “bona fide use” language was intended to eliminate “token uses,” which occurred when applicants used marks in conjunction with selling goods or offering services for the sole purpose of obtaining registration, and with no intention of legitimately using the mark in commerce until a later date. See </w:t>
      </w:r>
      <w:r w:rsidRPr="001E4932">
        <w:rPr>
          <w:rFonts w:ascii="Georgia" w:hAnsi="Georgia"/>
          <w:i/>
          <w:iCs/>
        </w:rPr>
        <w:t>Blue Bell, Inc. v. Jaymar–Ruby, Inc.,</w:t>
      </w:r>
      <w:r w:rsidRPr="001E4932">
        <w:rPr>
          <w:rFonts w:ascii="Georgia" w:hAnsi="Georgia"/>
        </w:rPr>
        <w:t xml:space="preserve"> 497 F.2d 433, 437 (2d Cir. 1974). Before 1989, a “token use” was sufficient to satisfy the use requirement and qualify a mark for registration. </w:t>
      </w:r>
      <w:r w:rsidRPr="001E4932">
        <w:rPr>
          <w:rFonts w:ascii="Georgia" w:hAnsi="Georgia"/>
          <w:i/>
          <w:iCs/>
        </w:rPr>
        <w:t>See Id.</w:t>
      </w:r>
    </w:p>
    <w:p w14:paraId="31574C59" w14:textId="3B759AD4" w:rsidR="00BC24D7" w:rsidRPr="001E4932" w:rsidRDefault="00BC24D7" w:rsidP="00BC24D7">
      <w:pPr>
        <w:rPr>
          <w:rFonts w:ascii="Georgia" w:hAnsi="Georgia"/>
        </w:rPr>
      </w:pPr>
      <w:r w:rsidRPr="001E4932">
        <w:rPr>
          <w:rFonts w:ascii="Georgia" w:hAnsi="Georgia"/>
        </w:rPr>
        <w:t xml:space="preserve">In addition to eliminating token uses, the 1988 TLRA made other changes to the use requirement. Before 1989, an applicant only qualified for registration if he was using his mark in commerce at the time he filed his application at the USPTO. </w:t>
      </w:r>
      <w:proofErr w:type="spellStart"/>
      <w:r w:rsidRPr="001E4932">
        <w:rPr>
          <w:rFonts w:ascii="Georgia" w:hAnsi="Georgia"/>
          <w:i/>
          <w:iCs/>
        </w:rPr>
        <w:t>WarnerVision</w:t>
      </w:r>
      <w:proofErr w:type="spellEnd"/>
      <w:r w:rsidRPr="001E4932">
        <w:rPr>
          <w:rFonts w:ascii="Georgia" w:hAnsi="Georgia"/>
          <w:i/>
          <w:iCs/>
        </w:rPr>
        <w:t xml:space="preserve"> Entm’t Inc. v. Empire of Carolina, Inc.,</w:t>
      </w:r>
      <w:r w:rsidRPr="001E4932">
        <w:rPr>
          <w:rFonts w:ascii="Georgia" w:hAnsi="Georgia"/>
        </w:rPr>
        <w:t xml:space="preserve"> 101 F.3d 259, 260 (2d Cir. 1996). But after 1989, an applicant could begin the registration process even when his mark was not in use in commerce at the time of the filing, so long as he had a “bona fide intention to use the mark in commerce” </w:t>
      </w:r>
      <w:proofErr w:type="gramStart"/>
      <w:r w:rsidRPr="001E4932">
        <w:rPr>
          <w:rFonts w:ascii="Georgia" w:hAnsi="Georgia"/>
        </w:rPr>
        <w:t>at a later date</w:t>
      </w:r>
      <w:proofErr w:type="gramEnd"/>
      <w:r w:rsidRPr="001E4932">
        <w:rPr>
          <w:rFonts w:ascii="Georgia" w:hAnsi="Georgia"/>
        </w:rPr>
        <w:t xml:space="preserve">. 15 U.S.C. § 1051(b) (2006). Applicants filing these “intent to use” applications are only granted registration, however, if they file a verified statement of commercial use proving eventual use of the mark in commerce. </w:t>
      </w:r>
      <w:r w:rsidRPr="001E4932">
        <w:rPr>
          <w:rFonts w:ascii="Georgia" w:hAnsi="Georgia"/>
          <w:i/>
          <w:iCs/>
        </w:rPr>
        <w:t>Id.</w:t>
      </w:r>
      <w:r w:rsidRPr="001E4932">
        <w:rPr>
          <w:rFonts w:ascii="Georgia" w:hAnsi="Georgia"/>
        </w:rPr>
        <w:t xml:space="preserve"> § 1051(d).</w:t>
      </w:r>
    </w:p>
    <w:p w14:paraId="7D18CFC4" w14:textId="29C18FCF" w:rsidR="00BC24D7" w:rsidRPr="001E4932" w:rsidRDefault="00BC24D7" w:rsidP="00BC24D7">
      <w:pPr>
        <w:rPr>
          <w:rFonts w:ascii="Georgia" w:hAnsi="Georgia"/>
        </w:rPr>
      </w:pPr>
      <w:r w:rsidRPr="001E4932">
        <w:rPr>
          <w:rFonts w:ascii="Georgia" w:hAnsi="Georgia"/>
        </w:rPr>
        <w:t xml:space="preserve">Because the mark at issue here is a service mark, the use requirement relating to service mark applications, as opposed to trademark applications, guides our analysis. Furthermore, the application at issue in this case was filed in 1970. Therefore, this case must be decided according to the service mark use requirement that appeared in the Lanham Act in 1970 (i.e., the pre–1989 version). </w:t>
      </w:r>
      <w:r w:rsidRPr="001E4932">
        <w:rPr>
          <w:rFonts w:ascii="Georgia" w:hAnsi="Georgia"/>
          <w:i/>
          <w:iCs/>
        </w:rPr>
        <w:t>See</w:t>
      </w:r>
      <w:r w:rsidRPr="001E4932">
        <w:rPr>
          <w:rFonts w:ascii="Georgia" w:hAnsi="Georgia"/>
        </w:rPr>
        <w:t xml:space="preserve"> 3 McCarthy § 19:112. However, for the reasons stated below, our holding in this case also applies to the current (and post–1989) service mark use requirement.</w:t>
      </w:r>
    </w:p>
    <w:p w14:paraId="3BE77F73" w14:textId="77777777" w:rsidR="00BC24D7" w:rsidRPr="001E4932" w:rsidRDefault="00BC24D7" w:rsidP="00BC24D7">
      <w:pPr>
        <w:pStyle w:val="Normal-Centered"/>
        <w:keepNext/>
        <w:rPr>
          <w:rFonts w:ascii="Georgia" w:hAnsi="Georgia"/>
        </w:rPr>
      </w:pPr>
      <w:r w:rsidRPr="001E4932">
        <w:rPr>
          <w:rFonts w:ascii="Georgia" w:hAnsi="Georgia"/>
        </w:rPr>
        <w:t>E. Use Requirement for Service Marks</w:t>
      </w:r>
    </w:p>
    <w:p w14:paraId="3B113253" w14:textId="01B6B50C" w:rsidR="00BC24D7" w:rsidRPr="001E4932" w:rsidRDefault="00BC24D7" w:rsidP="00BC24D7">
      <w:pPr>
        <w:rPr>
          <w:rFonts w:ascii="Georgia" w:hAnsi="Georgia"/>
        </w:rPr>
      </w:pPr>
      <w:proofErr w:type="gramStart"/>
      <w:r w:rsidRPr="001E4932">
        <w:rPr>
          <w:rFonts w:ascii="Georgia" w:hAnsi="Georgia"/>
        </w:rPr>
        <w:t>With the exception of</w:t>
      </w:r>
      <w:proofErr w:type="gramEnd"/>
      <w:r w:rsidRPr="001E4932">
        <w:rPr>
          <w:rFonts w:ascii="Georgia" w:hAnsi="Georgia"/>
        </w:rPr>
        <w:t xml:space="preserve"> the 1988 TLRA statutory language eliminating token uses and permitting intent-to-use applications, the service mark use requirement as it appeared in 1970 is materially identical to the post–1989 version. The use provision of the Lanham Act in force in 1970 stated that a service mark was in use in commerce “when it is used or displayed in the sale or advertising of services, and the services are rendered in commerce, or the services are rendered in more than </w:t>
      </w:r>
      <w:r w:rsidRPr="001E4932">
        <w:rPr>
          <w:rFonts w:ascii="Georgia" w:hAnsi="Georgia"/>
        </w:rPr>
        <w:lastRenderedPageBreak/>
        <w:t xml:space="preserve">one State or in this and a foreign country and the person rendering the services is engaged in commerce in connection therewith.” </w:t>
      </w:r>
      <w:proofErr w:type="spellStart"/>
      <w:r w:rsidRPr="001E4932">
        <w:rPr>
          <w:rFonts w:ascii="Georgia" w:hAnsi="Georgia"/>
        </w:rPr>
        <w:t>Pub.L</w:t>
      </w:r>
      <w:proofErr w:type="spellEnd"/>
      <w:r w:rsidRPr="001E4932">
        <w:rPr>
          <w:rFonts w:ascii="Georgia" w:hAnsi="Georgia"/>
        </w:rPr>
        <w:t>. No. 87–772, 76 Stat. 769 (1962). Therefore, like the current use requirement, a service mark applicant seeking to meet the pre–1989 version had to (1) use the mark in the sale or advertising of a service and (2) show that the service was either rendered in interstate commerce or rendered in more than one state or in this and a foreign country by a person engaged in commerce.</w:t>
      </w:r>
    </w:p>
    <w:p w14:paraId="1DC461F0" w14:textId="594C2D5A" w:rsidR="00BC24D7" w:rsidRPr="001E4932" w:rsidRDefault="00BC24D7" w:rsidP="00BC24D7">
      <w:pPr>
        <w:rPr>
          <w:rFonts w:ascii="Georgia" w:hAnsi="Georgia"/>
        </w:rPr>
      </w:pPr>
      <w:r w:rsidRPr="001E4932">
        <w:rPr>
          <w:rFonts w:ascii="Georgia" w:hAnsi="Georgia"/>
        </w:rPr>
        <w:t xml:space="preserve">Courts, as well as the TTAB, have interpreted the pre–1989 statutory language in analogous cases. Without question, advertising or publicizing a service that the applicant intends to perform in the future will not support registration. </w:t>
      </w:r>
      <w:r w:rsidRPr="001E4932">
        <w:rPr>
          <w:rFonts w:ascii="Georgia" w:hAnsi="Georgia"/>
          <w:i/>
          <w:iCs/>
        </w:rPr>
        <w:t xml:space="preserve">In </w:t>
      </w:r>
      <w:proofErr w:type="spellStart"/>
      <w:r w:rsidRPr="001E4932">
        <w:rPr>
          <w:rFonts w:ascii="Georgia" w:hAnsi="Georgia"/>
          <w:i/>
          <w:iCs/>
        </w:rPr>
        <w:t>re</w:t>
      </w:r>
      <w:proofErr w:type="spellEnd"/>
      <w:r w:rsidRPr="001E4932">
        <w:rPr>
          <w:rFonts w:ascii="Georgia" w:hAnsi="Georgia"/>
          <w:i/>
          <w:iCs/>
        </w:rPr>
        <w:t xml:space="preserve"> Cedar Point, Inc.,</w:t>
      </w:r>
      <w:r w:rsidRPr="001E4932">
        <w:rPr>
          <w:rFonts w:ascii="Georgia" w:hAnsi="Georgia"/>
        </w:rPr>
        <w:t xml:space="preserve"> 220 USPQ 533, 536 (TTAB 1983) (quoting </w:t>
      </w:r>
      <w:proofErr w:type="spellStart"/>
      <w:r w:rsidRPr="001E4932">
        <w:rPr>
          <w:rFonts w:ascii="Georgia" w:hAnsi="Georgia"/>
          <w:i/>
          <w:iCs/>
        </w:rPr>
        <w:t>Intermed</w:t>
      </w:r>
      <w:proofErr w:type="spellEnd"/>
      <w:r w:rsidRPr="001E4932">
        <w:rPr>
          <w:rFonts w:ascii="Georgia" w:hAnsi="Georgia"/>
          <w:i/>
          <w:iCs/>
        </w:rPr>
        <w:t xml:space="preserve"> Commc’ns, Inc. v. Chaney,</w:t>
      </w:r>
      <w:r w:rsidRPr="001E4932">
        <w:rPr>
          <w:rFonts w:ascii="Georgia" w:hAnsi="Georgia"/>
        </w:rPr>
        <w:t xml:space="preserve"> 197 USPQ 501, 507–08 (TTAB 1977)); </w:t>
      </w:r>
      <w:r w:rsidRPr="001E4932">
        <w:rPr>
          <w:rFonts w:ascii="Georgia" w:hAnsi="Georgia"/>
          <w:i/>
          <w:iCs/>
        </w:rPr>
        <w:t xml:space="preserve">Greyhound Corp. v. </w:t>
      </w:r>
      <w:proofErr w:type="spellStart"/>
      <w:r w:rsidRPr="001E4932">
        <w:rPr>
          <w:rFonts w:ascii="Georgia" w:hAnsi="Georgia"/>
          <w:i/>
          <w:iCs/>
        </w:rPr>
        <w:t>Armour</w:t>
      </w:r>
      <w:proofErr w:type="spellEnd"/>
      <w:r w:rsidRPr="001E4932">
        <w:rPr>
          <w:rFonts w:ascii="Georgia" w:hAnsi="Georgia"/>
          <w:i/>
          <w:iCs/>
        </w:rPr>
        <w:t xml:space="preserve"> Life Ins. Co.,</w:t>
      </w:r>
      <w:r w:rsidRPr="001E4932">
        <w:rPr>
          <w:rFonts w:ascii="Georgia" w:hAnsi="Georgia"/>
        </w:rPr>
        <w:t xml:space="preserve"> 214 USPQ 473, 474 (TTAB 1982). Instead, the advertising or publicizing must relate to “an existing service which has already been offered to the public.” </w:t>
      </w:r>
      <w:r w:rsidRPr="001E4932">
        <w:rPr>
          <w:rFonts w:ascii="Georgia" w:hAnsi="Georgia"/>
          <w:i/>
          <w:iCs/>
        </w:rPr>
        <w:t>Greyhound,</w:t>
      </w:r>
      <w:r w:rsidRPr="001E4932">
        <w:rPr>
          <w:rFonts w:ascii="Georgia" w:hAnsi="Georgia"/>
        </w:rPr>
        <w:t xml:space="preserve"> 214 USPQ at 474. Furthermore, “[m]ere adoption (selection) of a mark accompanied by preparations to begin its use are insufficient . . . for claiming ownership of and applying to register the mark.” </w:t>
      </w:r>
      <w:proofErr w:type="spellStart"/>
      <w:r w:rsidRPr="001E4932">
        <w:rPr>
          <w:rFonts w:ascii="Georgia" w:hAnsi="Georgia"/>
          <w:i/>
          <w:iCs/>
        </w:rPr>
        <w:t>Intermed</w:t>
      </w:r>
      <w:proofErr w:type="spellEnd"/>
      <w:r w:rsidRPr="001E4932">
        <w:rPr>
          <w:rFonts w:ascii="Georgia" w:hAnsi="Georgia"/>
          <w:i/>
          <w:iCs/>
        </w:rPr>
        <w:t>,</w:t>
      </w:r>
      <w:r w:rsidRPr="001E4932">
        <w:rPr>
          <w:rFonts w:ascii="Georgia" w:hAnsi="Georgia"/>
        </w:rPr>
        <w:t xml:space="preserve"> 197 USPQ at 507; </w:t>
      </w:r>
      <w:r w:rsidRPr="001E4932">
        <w:rPr>
          <w:rFonts w:ascii="Georgia" w:hAnsi="Georgia"/>
          <w:i/>
          <w:iCs/>
        </w:rPr>
        <w:t>see Blue Bell,</w:t>
      </w:r>
      <w:r w:rsidRPr="001E4932">
        <w:rPr>
          <w:rFonts w:ascii="Georgia" w:hAnsi="Georgia"/>
        </w:rPr>
        <w:t xml:space="preserve"> 497 F.2d at 437. “At the very least,” </w:t>
      </w:r>
      <w:proofErr w:type="gramStart"/>
      <w:r w:rsidRPr="001E4932">
        <w:rPr>
          <w:rFonts w:ascii="Georgia" w:hAnsi="Georgia"/>
        </w:rPr>
        <w:t>in order for</w:t>
      </w:r>
      <w:proofErr w:type="gramEnd"/>
      <w:r w:rsidRPr="001E4932">
        <w:rPr>
          <w:rFonts w:ascii="Georgia" w:hAnsi="Georgia"/>
        </w:rPr>
        <w:t xml:space="preserve"> an applicant to meet the use requirement, “there must be an open and notorious public offering of the services to those for whom the services are intended.” </w:t>
      </w:r>
      <w:proofErr w:type="spellStart"/>
      <w:r w:rsidRPr="001E4932">
        <w:rPr>
          <w:rFonts w:ascii="Georgia" w:hAnsi="Georgia"/>
          <w:i/>
          <w:iCs/>
        </w:rPr>
        <w:t>Intermed</w:t>
      </w:r>
      <w:proofErr w:type="spellEnd"/>
      <w:r w:rsidRPr="001E4932">
        <w:rPr>
          <w:rFonts w:ascii="Georgia" w:hAnsi="Georgia"/>
          <w:i/>
          <w:iCs/>
        </w:rPr>
        <w:t>,</w:t>
      </w:r>
      <w:r w:rsidRPr="001E4932">
        <w:rPr>
          <w:rFonts w:ascii="Georgia" w:hAnsi="Georgia"/>
        </w:rPr>
        <w:t xml:space="preserve"> 197 USPQ at 507.</w:t>
      </w:r>
    </w:p>
    <w:p w14:paraId="11EDE81E" w14:textId="5A74C50A" w:rsidR="00BC24D7" w:rsidRPr="001E4932" w:rsidRDefault="00BC24D7" w:rsidP="00BC24D7">
      <w:pPr>
        <w:rPr>
          <w:rFonts w:ascii="Georgia" w:hAnsi="Georgia"/>
        </w:rPr>
      </w:pPr>
      <w:r w:rsidRPr="001E4932">
        <w:rPr>
          <w:rFonts w:ascii="Georgia" w:hAnsi="Georgia"/>
        </w:rPr>
        <w:t xml:space="preserve">In </w:t>
      </w:r>
      <w:proofErr w:type="spellStart"/>
      <w:r w:rsidRPr="001E4932">
        <w:rPr>
          <w:rFonts w:ascii="Georgia" w:hAnsi="Georgia"/>
          <w:i/>
          <w:iCs/>
        </w:rPr>
        <w:t>Intermed</w:t>
      </w:r>
      <w:proofErr w:type="spellEnd"/>
      <w:r w:rsidRPr="001E4932">
        <w:rPr>
          <w:rFonts w:ascii="Georgia" w:hAnsi="Georgia"/>
          <w:i/>
          <w:iCs/>
        </w:rPr>
        <w:t>,</w:t>
      </w:r>
      <w:r w:rsidRPr="001E4932">
        <w:rPr>
          <w:rFonts w:ascii="Georgia" w:hAnsi="Georgia"/>
        </w:rPr>
        <w:t xml:space="preserve"> the TTAB rejected a service mark application for failing to meet the use in commerce requirement even where the applicant had performed many pre-</w:t>
      </w:r>
      <w:proofErr w:type="gramStart"/>
      <w:r w:rsidRPr="001E4932">
        <w:rPr>
          <w:rFonts w:ascii="Georgia" w:hAnsi="Georgia"/>
        </w:rPr>
        <w:t>application</w:t>
      </w:r>
      <w:proofErr w:type="gramEnd"/>
      <w:r w:rsidRPr="001E4932">
        <w:rPr>
          <w:rFonts w:ascii="Georgia" w:hAnsi="Georgia"/>
        </w:rPr>
        <w:t xml:space="preserve"> service-oriented activities involving the public. </w:t>
      </w:r>
      <w:r w:rsidRPr="001E4932">
        <w:rPr>
          <w:rFonts w:ascii="Georgia" w:hAnsi="Georgia"/>
          <w:i/>
          <w:iCs/>
        </w:rPr>
        <w:t>Id.</w:t>
      </w:r>
      <w:r w:rsidRPr="001E4932">
        <w:rPr>
          <w:rFonts w:ascii="Georgia" w:hAnsi="Georgia"/>
        </w:rPr>
        <w:t xml:space="preserve"> at 508–09. The applicant in that case sought to register a mark intended to identify an international medical services operation. </w:t>
      </w:r>
      <w:r w:rsidRPr="001E4932">
        <w:rPr>
          <w:rFonts w:ascii="Georgia" w:hAnsi="Georgia"/>
          <w:i/>
          <w:iCs/>
        </w:rPr>
        <w:t>Id.</w:t>
      </w:r>
      <w:r w:rsidRPr="001E4932">
        <w:rPr>
          <w:rFonts w:ascii="Georgia" w:hAnsi="Georgia"/>
        </w:rPr>
        <w:t xml:space="preserve"> at 502. The applicant’s plan was to build the international service from an already operating United States-based medical service. </w:t>
      </w:r>
      <w:r w:rsidRPr="001E4932">
        <w:rPr>
          <w:rFonts w:ascii="Georgia" w:hAnsi="Georgia"/>
          <w:i/>
          <w:iCs/>
        </w:rPr>
        <w:t>Id.</w:t>
      </w:r>
      <w:r w:rsidRPr="001E4932">
        <w:rPr>
          <w:rFonts w:ascii="Georgia" w:hAnsi="Georgia"/>
        </w:rPr>
        <w:t xml:space="preserve"> at 503. The applicant intended </w:t>
      </w:r>
      <w:proofErr w:type="gramStart"/>
      <w:r w:rsidRPr="001E4932">
        <w:rPr>
          <w:rFonts w:ascii="Georgia" w:hAnsi="Georgia"/>
        </w:rPr>
        <w:t>to, and</w:t>
      </w:r>
      <w:proofErr w:type="gramEnd"/>
      <w:r w:rsidRPr="001E4932">
        <w:rPr>
          <w:rFonts w:ascii="Georgia" w:hAnsi="Georgia"/>
        </w:rPr>
        <w:t xml:space="preserve"> did use the United States-based operation as a fundraising affiliate of the new international operation. </w:t>
      </w:r>
      <w:r w:rsidRPr="001E4932">
        <w:rPr>
          <w:rFonts w:ascii="Georgia" w:hAnsi="Georgia"/>
          <w:i/>
          <w:iCs/>
        </w:rPr>
        <w:t>Id.</w:t>
      </w:r>
      <w:r w:rsidRPr="001E4932">
        <w:rPr>
          <w:rFonts w:ascii="Georgia" w:hAnsi="Georgia"/>
        </w:rPr>
        <w:t xml:space="preserve"> at 504. Additionally, the applicant communicated with and solicited the support of the Iranian government regarding the service before the application was filed. </w:t>
      </w:r>
      <w:r w:rsidRPr="001E4932">
        <w:rPr>
          <w:rFonts w:ascii="Georgia" w:hAnsi="Georgia"/>
          <w:i/>
          <w:iCs/>
        </w:rPr>
        <w:t>Id.</w:t>
      </w:r>
      <w:r w:rsidRPr="001E4932">
        <w:rPr>
          <w:rFonts w:ascii="Georgia" w:hAnsi="Georgia"/>
        </w:rPr>
        <w:t xml:space="preserve"> The applicant also issued a detailed announcement using the service mark term before the filing date designed to inform and update individuals about the service’s status. </w:t>
      </w:r>
      <w:r w:rsidRPr="001E4932">
        <w:rPr>
          <w:rFonts w:ascii="Georgia" w:hAnsi="Georgia"/>
          <w:i/>
          <w:iCs/>
        </w:rPr>
        <w:t>Id.</w:t>
      </w:r>
      <w:r w:rsidRPr="001E4932">
        <w:rPr>
          <w:rFonts w:ascii="Georgia" w:hAnsi="Georgia"/>
        </w:rPr>
        <w:t xml:space="preserve"> Finally, </w:t>
      </w:r>
      <w:proofErr w:type="gramStart"/>
      <w:r w:rsidRPr="001E4932">
        <w:rPr>
          <w:rFonts w:ascii="Georgia" w:hAnsi="Georgia"/>
        </w:rPr>
        <w:t>and also</w:t>
      </w:r>
      <w:proofErr w:type="gramEnd"/>
      <w:r w:rsidRPr="001E4932">
        <w:rPr>
          <w:rFonts w:ascii="Georgia" w:hAnsi="Georgia"/>
        </w:rPr>
        <w:t xml:space="preserve"> before the date of application, the applicant hired a fundraising firm to raise money for the service. </w:t>
      </w:r>
      <w:r w:rsidRPr="001E4932">
        <w:rPr>
          <w:rFonts w:ascii="Georgia" w:hAnsi="Georgia"/>
          <w:i/>
          <w:iCs/>
        </w:rPr>
        <w:t>Id.</w:t>
      </w:r>
      <w:r w:rsidRPr="001E4932">
        <w:rPr>
          <w:rFonts w:ascii="Georgia" w:hAnsi="Georgia"/>
        </w:rPr>
        <w:t xml:space="preserve"> at 508.</w:t>
      </w:r>
    </w:p>
    <w:p w14:paraId="6EEE75A7" w14:textId="4CB7FE54" w:rsidR="00BC24D7" w:rsidRPr="001E4932" w:rsidRDefault="00BC24D7" w:rsidP="00BC24D7">
      <w:pPr>
        <w:rPr>
          <w:rFonts w:ascii="Georgia" w:hAnsi="Georgia"/>
        </w:rPr>
      </w:pPr>
      <w:r w:rsidRPr="001E4932">
        <w:rPr>
          <w:rFonts w:ascii="Georgia" w:hAnsi="Georgia"/>
        </w:rPr>
        <w:t xml:space="preserve">Despite these activities, the TTAB held that the applicant failed to meet the use requirement because the services described in the application were not “offered, promoted, advertised or rendered . . . in commerce.” </w:t>
      </w:r>
      <w:proofErr w:type="spellStart"/>
      <w:r w:rsidRPr="001E4932">
        <w:rPr>
          <w:rFonts w:ascii="Georgia" w:hAnsi="Georgia"/>
          <w:i/>
          <w:iCs/>
        </w:rPr>
        <w:t>Intermed</w:t>
      </w:r>
      <w:proofErr w:type="spellEnd"/>
      <w:r w:rsidRPr="001E4932">
        <w:rPr>
          <w:rFonts w:ascii="Georgia" w:hAnsi="Georgia"/>
          <w:i/>
          <w:iCs/>
        </w:rPr>
        <w:t>,</w:t>
      </w:r>
      <w:r w:rsidRPr="001E4932">
        <w:rPr>
          <w:rFonts w:ascii="Georgia" w:hAnsi="Georgia"/>
        </w:rPr>
        <w:t xml:space="preserve"> 197 USPQ at 504. The TTAB stated that “[t]he statute requires not only the display of the mark in the sale or advertising of services but also the rendition of those services in order to constitute use of the service mark in commerce.” </w:t>
      </w:r>
      <w:r w:rsidRPr="001E4932">
        <w:rPr>
          <w:rFonts w:ascii="Georgia" w:hAnsi="Georgia"/>
          <w:i/>
          <w:iCs/>
        </w:rPr>
        <w:t>Id.</w:t>
      </w:r>
      <w:r w:rsidRPr="001E4932">
        <w:rPr>
          <w:rFonts w:ascii="Georgia" w:hAnsi="Georgia"/>
        </w:rPr>
        <w:t xml:space="preserve"> At 507–08. The TTAB further explained that adopting a mark accompanied by mere “preparations </w:t>
      </w:r>
      <w:r w:rsidRPr="001E4932">
        <w:rPr>
          <w:rFonts w:ascii="Georgia" w:hAnsi="Georgia"/>
        </w:rPr>
        <w:lastRenderedPageBreak/>
        <w:t xml:space="preserve">to begin its use” is insufficient for service mark registration, and that </w:t>
      </w:r>
      <w:proofErr w:type="gramStart"/>
      <w:r w:rsidRPr="001E4932">
        <w:rPr>
          <w:rFonts w:ascii="Georgia" w:hAnsi="Georgia"/>
        </w:rPr>
        <w:t>in order for</w:t>
      </w:r>
      <w:proofErr w:type="gramEnd"/>
      <w:r w:rsidRPr="001E4932">
        <w:rPr>
          <w:rFonts w:ascii="Georgia" w:hAnsi="Georgia"/>
        </w:rPr>
        <w:t xml:space="preserve"> the use requirement to be met, there must be “an open and notorious public offering of the services to those for whom the services are intended.” </w:t>
      </w:r>
      <w:r w:rsidRPr="001E4932">
        <w:rPr>
          <w:rFonts w:ascii="Georgia" w:hAnsi="Georgia"/>
          <w:i/>
          <w:iCs/>
        </w:rPr>
        <w:t>Id.</w:t>
      </w:r>
      <w:r w:rsidRPr="001E4932">
        <w:rPr>
          <w:rFonts w:ascii="Georgia" w:hAnsi="Georgia"/>
        </w:rPr>
        <w:t xml:space="preserve"> at 507.</w:t>
      </w:r>
    </w:p>
    <w:p w14:paraId="4D246EB2" w14:textId="49A4B35B" w:rsidR="00BC24D7" w:rsidRPr="001E4932" w:rsidRDefault="00BC24D7" w:rsidP="00BC24D7">
      <w:pPr>
        <w:rPr>
          <w:rFonts w:ascii="Georgia" w:hAnsi="Georgia"/>
        </w:rPr>
      </w:pPr>
      <w:r w:rsidRPr="001E4932">
        <w:rPr>
          <w:rFonts w:ascii="Georgia" w:hAnsi="Georgia"/>
        </w:rPr>
        <w:t xml:space="preserve">In 1983, the TTAB again rejected a service mark application because it failed to meet the use requirement. </w:t>
      </w:r>
      <w:r w:rsidRPr="001E4932">
        <w:rPr>
          <w:rFonts w:ascii="Georgia" w:hAnsi="Georgia"/>
          <w:i/>
          <w:iCs/>
        </w:rPr>
        <w:t>Cedar Point,</w:t>
      </w:r>
      <w:r w:rsidRPr="001E4932">
        <w:rPr>
          <w:rFonts w:ascii="Georgia" w:hAnsi="Georgia"/>
        </w:rPr>
        <w:t xml:space="preserve"> 220 USPQ at 533. In </w:t>
      </w:r>
      <w:r w:rsidRPr="001E4932">
        <w:rPr>
          <w:rFonts w:ascii="Georgia" w:hAnsi="Georgia"/>
          <w:i/>
          <w:iCs/>
        </w:rPr>
        <w:t>Cedar Point,</w:t>
      </w:r>
      <w:r w:rsidRPr="001E4932">
        <w:rPr>
          <w:rFonts w:ascii="Georgia" w:hAnsi="Georgia"/>
        </w:rPr>
        <w:t xml:space="preserve"> the Cedar Point amusement park, which had been in business for decades, was preparing to open a new water park addition in mid-May of 1980. </w:t>
      </w:r>
      <w:r w:rsidRPr="001E4932">
        <w:rPr>
          <w:rFonts w:ascii="Georgia" w:hAnsi="Georgia"/>
          <w:i/>
          <w:iCs/>
        </w:rPr>
        <w:t>Id.</w:t>
      </w:r>
      <w:r w:rsidRPr="001E4932">
        <w:rPr>
          <w:rFonts w:ascii="Georgia" w:hAnsi="Georgia"/>
        </w:rPr>
        <w:t xml:space="preserve"> at 535. One preparatory step taken by Cedar Point before opening day was the filing of a service mark application to register the mark “OCEANA” for its new water park service. </w:t>
      </w:r>
      <w:r w:rsidRPr="001E4932">
        <w:rPr>
          <w:rFonts w:ascii="Georgia" w:hAnsi="Georgia"/>
          <w:i/>
          <w:iCs/>
        </w:rPr>
        <w:t>Id.</w:t>
      </w:r>
      <w:r w:rsidRPr="001E4932">
        <w:rPr>
          <w:rFonts w:ascii="Georgia" w:hAnsi="Georgia"/>
        </w:rPr>
        <w:t xml:space="preserve"> Cedar Point also distributed nearly 700,000 water park advertisement brochures containing the OCEANA mark during the months preceding the grand opening. </w:t>
      </w:r>
      <w:r w:rsidRPr="001E4932">
        <w:rPr>
          <w:rFonts w:ascii="Georgia" w:hAnsi="Georgia"/>
          <w:i/>
          <w:iCs/>
        </w:rPr>
        <w:t>Id.</w:t>
      </w:r>
    </w:p>
    <w:p w14:paraId="09B77337" w14:textId="4E8197E7" w:rsidR="00BC24D7" w:rsidRPr="001E4932" w:rsidRDefault="00BC24D7" w:rsidP="00BC24D7">
      <w:pPr>
        <w:rPr>
          <w:rFonts w:ascii="Georgia" w:hAnsi="Georgia"/>
        </w:rPr>
      </w:pPr>
      <w:r w:rsidRPr="001E4932">
        <w:rPr>
          <w:rFonts w:ascii="Georgia" w:hAnsi="Georgia"/>
        </w:rPr>
        <w:t xml:space="preserve">The TTAB emphasized the fact that Cedar Point filed its service mark application with the USPTO before it opened the water park’s doors and offered those services to the public. </w:t>
      </w:r>
      <w:r w:rsidRPr="001E4932">
        <w:rPr>
          <w:rFonts w:ascii="Georgia" w:hAnsi="Georgia"/>
          <w:i/>
          <w:iCs/>
        </w:rPr>
        <w:t>Id.</w:t>
      </w:r>
      <w:r w:rsidRPr="001E4932">
        <w:rPr>
          <w:rFonts w:ascii="Georgia" w:hAnsi="Georgia"/>
        </w:rPr>
        <w:t xml:space="preserve"> at 535–36. The TTAB then explained that the use of a mark in connection with the advertising of services intended to be “available at some time in the future, but not yet available at the time of filing” does not qualify the mark for registration. </w:t>
      </w:r>
      <w:r w:rsidRPr="001E4932">
        <w:rPr>
          <w:rFonts w:ascii="Georgia" w:hAnsi="Georgia"/>
          <w:i/>
          <w:iCs/>
        </w:rPr>
        <w:t>Id.</w:t>
      </w:r>
      <w:r w:rsidRPr="001E4932">
        <w:rPr>
          <w:rFonts w:ascii="Georgia" w:hAnsi="Georgia"/>
        </w:rPr>
        <w:t xml:space="preserve"> at 535. Therefore, Cedar Point’s water park advertising campaign, which was ongoing at the time the application was filed, was insufficient on its own to support registration. </w:t>
      </w:r>
      <w:r w:rsidRPr="001E4932">
        <w:rPr>
          <w:rFonts w:ascii="Georgia" w:hAnsi="Georgia"/>
          <w:i/>
          <w:iCs/>
        </w:rPr>
        <w:t>Id.</w:t>
      </w:r>
      <w:r w:rsidRPr="001E4932">
        <w:rPr>
          <w:rFonts w:ascii="Georgia" w:hAnsi="Georgia"/>
        </w:rPr>
        <w:t xml:space="preserve"> As a result, the TTAB held that the “applicant’s mark ‘OCEANA’ was not in ‘use in commerce’ . . . at the time of the filing of [the] application” and that the application was thus void ab initio. </w:t>
      </w:r>
      <w:r w:rsidRPr="001E4932">
        <w:rPr>
          <w:rFonts w:ascii="Georgia" w:hAnsi="Georgia"/>
          <w:i/>
          <w:iCs/>
        </w:rPr>
        <w:t>Id.</w:t>
      </w:r>
      <w:r w:rsidRPr="001E4932">
        <w:rPr>
          <w:rFonts w:ascii="Georgia" w:hAnsi="Georgia"/>
        </w:rPr>
        <w:t xml:space="preserve"> at 537.</w:t>
      </w:r>
    </w:p>
    <w:p w14:paraId="5DCBC292" w14:textId="5CAD5DB2" w:rsidR="00BC24D7" w:rsidRPr="001E4932" w:rsidRDefault="00BC24D7" w:rsidP="00BC24D7">
      <w:pPr>
        <w:rPr>
          <w:rFonts w:ascii="Georgia" w:hAnsi="Georgia"/>
        </w:rPr>
      </w:pPr>
      <w:r w:rsidRPr="001E4932">
        <w:rPr>
          <w:rFonts w:ascii="Georgia" w:hAnsi="Georgia"/>
        </w:rPr>
        <w:t xml:space="preserve">Interestingly, Cedar Point filed for its service mark roughly one month before the scheduled opening of the new water park. </w:t>
      </w:r>
      <w:r w:rsidRPr="001E4932">
        <w:rPr>
          <w:rFonts w:ascii="Georgia" w:hAnsi="Georgia"/>
          <w:i/>
          <w:iCs/>
        </w:rPr>
        <w:t>Id.</w:t>
      </w:r>
      <w:r w:rsidRPr="001E4932">
        <w:rPr>
          <w:rFonts w:ascii="Georgia" w:hAnsi="Georgia"/>
        </w:rPr>
        <w:t xml:space="preserve"> at 535. With the application date being so close to the opening date, it is indisputable that Cedar Point had taken numerous steps toward constructing the water park by the time the application was filed. Nevertheless, the TTAB found none of these preparatory steps sufficient to satisfy the use in commerce requirement.</w:t>
      </w:r>
    </w:p>
    <w:p w14:paraId="6CF440B7" w14:textId="77777777" w:rsidR="00BC24D7" w:rsidRPr="001E4932" w:rsidRDefault="00BC24D7" w:rsidP="00BC24D7">
      <w:pPr>
        <w:rPr>
          <w:rFonts w:ascii="Georgia" w:hAnsi="Georgia"/>
        </w:rPr>
      </w:pPr>
      <w:r w:rsidRPr="001E4932">
        <w:rPr>
          <w:rFonts w:ascii="Georgia" w:hAnsi="Georgia"/>
        </w:rPr>
        <w:t>. . . .</w:t>
      </w:r>
    </w:p>
    <w:p w14:paraId="716398F9" w14:textId="01F05B45" w:rsidR="00BC24D7" w:rsidRPr="001E4932" w:rsidRDefault="00BC24D7" w:rsidP="00BC24D7">
      <w:pPr>
        <w:rPr>
          <w:rFonts w:ascii="Georgia" w:hAnsi="Georgia"/>
        </w:rPr>
      </w:pPr>
      <w:r w:rsidRPr="001E4932">
        <w:rPr>
          <w:rFonts w:ascii="Georgia" w:hAnsi="Georgia"/>
        </w:rPr>
        <w:t xml:space="preserve">We find the reasoning of these cases persuasive. The language of the statute, by requiring that the mark be “used or displayed in the sale or advertising of services, and the services are rendered in commerce,” makes plain that advertisement and actual use of the mark in commerce are required; mere preparations to use that mark sometime in the future will not do. Thus, we hold that an applicant’s preparations to use a mark in commerce are insufficient to constitute use in commerce. Rather, the mark must be </w:t>
      </w:r>
      <w:proofErr w:type="gramStart"/>
      <w:r w:rsidRPr="001E4932">
        <w:rPr>
          <w:rFonts w:ascii="Georgia" w:hAnsi="Georgia"/>
        </w:rPr>
        <w:t>actually used</w:t>
      </w:r>
      <w:proofErr w:type="gramEnd"/>
      <w:r w:rsidRPr="001E4932">
        <w:rPr>
          <w:rFonts w:ascii="Georgia" w:hAnsi="Georgia"/>
        </w:rPr>
        <w:t xml:space="preserve"> in conjunction with the services described in the application for the mark.</w:t>
      </w:r>
    </w:p>
    <w:p w14:paraId="14F08943" w14:textId="77777777" w:rsidR="00BC24D7" w:rsidRPr="001E4932" w:rsidRDefault="00BC24D7" w:rsidP="00BC24D7">
      <w:pPr>
        <w:pStyle w:val="Normal-Centered"/>
        <w:rPr>
          <w:rFonts w:ascii="Georgia" w:hAnsi="Georgia"/>
        </w:rPr>
      </w:pPr>
      <w:r w:rsidRPr="001E4932">
        <w:rPr>
          <w:rFonts w:ascii="Georgia" w:hAnsi="Georgia"/>
        </w:rPr>
        <w:t>F. Analysis</w:t>
      </w:r>
    </w:p>
    <w:p w14:paraId="6ACE8C1B" w14:textId="77777777" w:rsidR="00BC24D7" w:rsidRPr="001E4932" w:rsidRDefault="00BC24D7" w:rsidP="00BC24D7">
      <w:pPr>
        <w:rPr>
          <w:rFonts w:ascii="Georgia" w:hAnsi="Georgia"/>
        </w:rPr>
      </w:pPr>
      <w:r w:rsidRPr="001E4932">
        <w:rPr>
          <w:rFonts w:ascii="Georgia" w:hAnsi="Georgia"/>
        </w:rPr>
        <w:t>. . . .</w:t>
      </w:r>
    </w:p>
    <w:p w14:paraId="10E1CD90" w14:textId="7CEA253A" w:rsidR="00BC24D7" w:rsidRPr="001E4932" w:rsidRDefault="00BC24D7" w:rsidP="00BC24D7">
      <w:pPr>
        <w:rPr>
          <w:rFonts w:ascii="Georgia" w:hAnsi="Georgia"/>
        </w:rPr>
      </w:pPr>
      <w:r w:rsidRPr="001E4932">
        <w:rPr>
          <w:rFonts w:ascii="Georgia" w:hAnsi="Georgia"/>
        </w:rPr>
        <w:lastRenderedPageBreak/>
        <w:t xml:space="preserve"> [Aycock’s] activities, even taken together, do not constitute a service that falls within the scope of our definition of the recitation of services. As mentioned earlier, it is our view that the service described in Mr. Aycock’s service mark application covers only the arranging of flights between an air taxi operator and a passenger, and not preparatory efforts to arrange a network of air taxi operators. The activities described above, however, were merely preparatory steps that Mr. Aycock took toward his goal of one day, as he described, operating a “communication service between persons desiring to charter aircraft” that “</w:t>
      </w:r>
      <w:proofErr w:type="gramStart"/>
      <w:r w:rsidRPr="001E4932">
        <w:rPr>
          <w:rFonts w:ascii="Georgia" w:hAnsi="Georgia"/>
        </w:rPr>
        <w:t>put[</w:t>
      </w:r>
      <w:proofErr w:type="gramEnd"/>
      <w:r w:rsidRPr="001E4932">
        <w:rPr>
          <w:rFonts w:ascii="Georgia" w:hAnsi="Georgia"/>
        </w:rPr>
        <w:t xml:space="preserve"> ] individuals desiring air transportation in contact with people rendering that service.” J.A. 736, 749.</w:t>
      </w:r>
    </w:p>
    <w:p w14:paraId="4197DA90" w14:textId="3DA326FF" w:rsidR="00BC24D7" w:rsidRPr="001E4932" w:rsidRDefault="00BC24D7" w:rsidP="00BC24D7">
      <w:pPr>
        <w:rPr>
          <w:rFonts w:ascii="Georgia" w:hAnsi="Georgia"/>
        </w:rPr>
      </w:pPr>
      <w:proofErr w:type="gramStart"/>
      <w:r w:rsidRPr="001E4932">
        <w:rPr>
          <w:rFonts w:ascii="Georgia" w:hAnsi="Georgia"/>
        </w:rPr>
        <w:t>In order for</w:t>
      </w:r>
      <w:proofErr w:type="gramEnd"/>
      <w:r w:rsidRPr="001E4932">
        <w:rPr>
          <w:rFonts w:ascii="Georgia" w:hAnsi="Georgia"/>
        </w:rPr>
        <w:t xml:space="preserve"> Mr. Aycock to satisfy the use requirement, more was required. Mr. Aycock had to develop his company to the point where he made an open and notorious public offering of his AIRFLITE service to intended customers. </w:t>
      </w:r>
      <w:r w:rsidRPr="001E4932">
        <w:rPr>
          <w:rFonts w:ascii="Georgia" w:hAnsi="Georgia"/>
          <w:i/>
          <w:iCs/>
        </w:rPr>
        <w:t xml:space="preserve">See </w:t>
      </w:r>
      <w:proofErr w:type="spellStart"/>
      <w:r w:rsidRPr="001E4932">
        <w:rPr>
          <w:rFonts w:ascii="Georgia" w:hAnsi="Georgia"/>
          <w:i/>
          <w:iCs/>
        </w:rPr>
        <w:t>Intermed</w:t>
      </w:r>
      <w:proofErr w:type="spellEnd"/>
      <w:r w:rsidRPr="001E4932">
        <w:rPr>
          <w:rFonts w:ascii="Georgia" w:hAnsi="Georgia"/>
          <w:i/>
          <w:iCs/>
        </w:rPr>
        <w:t>,</w:t>
      </w:r>
      <w:r w:rsidRPr="001E4932">
        <w:rPr>
          <w:rFonts w:ascii="Georgia" w:hAnsi="Georgia"/>
        </w:rPr>
        <w:t xml:space="preserve"> 197 USPQ at 507. However, at no point in time did Mr. Aycock give a potential customer the chance to use his AIRFLITE service. He never arranged for a single flight between a customer and an air taxi operator. This is because Mr. Aycock, as stated in his deposition, believed he needed at least 300 air taxi operators under contract before his service could become operational. Reasonably, because he never had more than twelve air taxi operators under contract at any one time, Mr. Aycock chose not to open his doors to the public.</w:t>
      </w:r>
    </w:p>
    <w:p w14:paraId="5FFF114C" w14:textId="79A8AA90" w:rsidR="00EB3DF5" w:rsidRPr="001E4932" w:rsidRDefault="00BC24D7" w:rsidP="00BC24D7">
      <w:pPr>
        <w:rPr>
          <w:rFonts w:ascii="Georgia" w:hAnsi="Georgia"/>
        </w:rPr>
      </w:pPr>
      <w:r w:rsidRPr="001E4932">
        <w:rPr>
          <w:rFonts w:ascii="Georgia" w:hAnsi="Georgia"/>
        </w:rPr>
        <w:t>{The court affirmed the TTAB’s cancellation of Aycock’s mark. Judge Newman dissented on the ground that, notwithstanding the description of services listed in the registration that was finally agreed to by Aycock, “it is inappropriate now to construe the registration so as to exclude the actual use of the mark as was explained in the examination, shown in the specimens, and fully explored in the public record of the prosecution.”  Aycock Eng’g, 560 F.3d at 1365 (Newman, J., dissenting).}</w:t>
      </w:r>
    </w:p>
    <w:sectPr w:rsidR="00EB3DF5" w:rsidRPr="001E4932" w:rsidSect="001E4932">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6B897" w14:textId="77777777" w:rsidR="00CF381B" w:rsidRDefault="00CF381B" w:rsidP="00BC24D7">
      <w:pPr>
        <w:spacing w:after="0" w:line="240" w:lineRule="auto"/>
      </w:pPr>
      <w:r>
        <w:separator/>
      </w:r>
    </w:p>
  </w:endnote>
  <w:endnote w:type="continuationSeparator" w:id="0">
    <w:p w14:paraId="671BD112" w14:textId="77777777" w:rsidR="00CF381B" w:rsidRDefault="00CF381B" w:rsidP="00BC2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B9542" w14:textId="43C0D3FB" w:rsidR="001E4932" w:rsidRPr="001E4932" w:rsidRDefault="001E4932" w:rsidP="001E4932">
    <w:pPr>
      <w:pStyle w:val="Footer"/>
      <w:ind w:firstLine="0"/>
      <w:jc w:val="center"/>
      <w:rPr>
        <w:rFonts w:ascii="Georgia" w:hAnsi="Georgia"/>
      </w:rPr>
    </w:pPr>
    <w:r w:rsidRPr="001E4932">
      <w:rPr>
        <w:rFonts w:ascii="Georgia" w:hAnsi="Georgia"/>
      </w:rPr>
      <w:t xml:space="preserve">Page </w:t>
    </w:r>
    <w:r w:rsidRPr="001E4932">
      <w:rPr>
        <w:rFonts w:ascii="Georgia" w:hAnsi="Georgia"/>
      </w:rPr>
      <w:fldChar w:fldCharType="begin"/>
    </w:r>
    <w:r w:rsidRPr="001E4932">
      <w:rPr>
        <w:rFonts w:ascii="Georgia" w:hAnsi="Georgia"/>
      </w:rPr>
      <w:instrText xml:space="preserve"> PAGE  \* Arabic  \* MERGEFORMAT </w:instrText>
    </w:r>
    <w:r w:rsidRPr="001E4932">
      <w:rPr>
        <w:rFonts w:ascii="Georgia" w:hAnsi="Georgia"/>
      </w:rPr>
      <w:fldChar w:fldCharType="separate"/>
    </w:r>
    <w:r w:rsidRPr="001E4932">
      <w:rPr>
        <w:rFonts w:ascii="Georgia" w:hAnsi="Georgia"/>
        <w:noProof/>
      </w:rPr>
      <w:t>1</w:t>
    </w:r>
    <w:r w:rsidRPr="001E4932">
      <w:rPr>
        <w:rFonts w:ascii="Georgia" w:hAnsi="Georgia"/>
      </w:rPr>
      <w:fldChar w:fldCharType="end"/>
    </w:r>
    <w:r w:rsidRPr="001E4932">
      <w:rPr>
        <w:rFonts w:ascii="Georgia" w:hAnsi="Georgia"/>
      </w:rPr>
      <w:t xml:space="preserve"> of </w:t>
    </w:r>
    <w:r w:rsidRPr="001E4932">
      <w:rPr>
        <w:rFonts w:ascii="Georgia" w:hAnsi="Georgia"/>
      </w:rPr>
      <w:fldChar w:fldCharType="begin"/>
    </w:r>
    <w:r w:rsidRPr="001E4932">
      <w:rPr>
        <w:rFonts w:ascii="Georgia" w:hAnsi="Georgia"/>
      </w:rPr>
      <w:instrText xml:space="preserve"> NUMPAGES  \* Arabic  \* MERGEFORMAT </w:instrText>
    </w:r>
    <w:r w:rsidRPr="001E4932">
      <w:rPr>
        <w:rFonts w:ascii="Georgia" w:hAnsi="Georgia"/>
      </w:rPr>
      <w:fldChar w:fldCharType="separate"/>
    </w:r>
    <w:r w:rsidRPr="001E4932">
      <w:rPr>
        <w:rFonts w:ascii="Georgia" w:hAnsi="Georgia"/>
        <w:noProof/>
      </w:rPr>
      <w:t>2</w:t>
    </w:r>
    <w:r w:rsidRPr="001E4932">
      <w:rPr>
        <w:rFonts w:ascii="Georgia" w:hAnsi="Georg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19107" w14:textId="77777777" w:rsidR="00CF381B" w:rsidRDefault="00CF381B" w:rsidP="00BC24D7">
      <w:pPr>
        <w:spacing w:after="0" w:line="240" w:lineRule="auto"/>
      </w:pPr>
      <w:r>
        <w:separator/>
      </w:r>
    </w:p>
  </w:footnote>
  <w:footnote w:type="continuationSeparator" w:id="0">
    <w:p w14:paraId="43C0F399" w14:textId="77777777" w:rsidR="00CF381B" w:rsidRDefault="00CF381B" w:rsidP="00BC24D7">
      <w:pPr>
        <w:spacing w:after="0" w:line="240" w:lineRule="auto"/>
      </w:pPr>
      <w:r>
        <w:continuationSeparator/>
      </w:r>
    </w:p>
  </w:footnote>
  <w:footnote w:id="1">
    <w:p w14:paraId="122E406C" w14:textId="77777777" w:rsidR="00BC24D7" w:rsidRPr="00EC2AA7" w:rsidRDefault="00BC24D7" w:rsidP="00BC24D7">
      <w:pPr>
        <w:pStyle w:val="FootnoteText"/>
      </w:pPr>
      <w:r w:rsidRPr="00EC2AA7">
        <w:rPr>
          <w:rStyle w:val="FootnoteReference"/>
        </w:rPr>
        <w:t>2</w:t>
      </w:r>
      <w:r w:rsidRPr="00EC2AA7">
        <w:t xml:space="preserve"> Mr. Aycock stated in his deposition, “We start this when 300 air taxi operators in the United States have signed on to provide the transportation.” J.A. 1942.</w:t>
      </w:r>
    </w:p>
  </w:footnote>
  <w:footnote w:id="2">
    <w:p w14:paraId="136A19B9" w14:textId="77777777" w:rsidR="00BC24D7" w:rsidRPr="00EC2AA7" w:rsidRDefault="00BC24D7" w:rsidP="00BC24D7">
      <w:pPr>
        <w:pStyle w:val="FootnoteText"/>
      </w:pPr>
      <w:r w:rsidRPr="00EC2AA7">
        <w:rPr>
          <w:rStyle w:val="FootnoteReference"/>
        </w:rPr>
        <w:t>3</w:t>
      </w:r>
      <w:r w:rsidRPr="00EC2AA7">
        <w:t xml:space="preserve"> Some of the contracts originated in the 1970s, and some came as late as 2001.</w:t>
      </w:r>
    </w:p>
  </w:footnote>
  <w:footnote w:id="3">
    <w:p w14:paraId="6869814E" w14:textId="77777777" w:rsidR="00BC24D7" w:rsidRPr="00EC2AA7" w:rsidRDefault="00BC24D7" w:rsidP="00BC24D7">
      <w:pPr>
        <w:pStyle w:val="FootnoteText"/>
      </w:pPr>
      <w:r w:rsidRPr="00EC2AA7">
        <w:rPr>
          <w:rStyle w:val="FootnoteReference"/>
        </w:rPr>
        <w:t>4</w:t>
      </w:r>
      <w:r w:rsidRPr="00EC2AA7">
        <w:t xml:space="preserve"> When asked at his deposition whether he had ever arranged for an individual to fly on an airplane, Mr. Aycock stated, “I had never made a—any arrangement . . . I had never had a talk with the customer then talked with the air taxi operator and reached any agreement on them carrying the customer.”</w:t>
      </w:r>
    </w:p>
  </w:footnote>
  <w:footnote w:id="4">
    <w:p w14:paraId="329288E5" w14:textId="77777777" w:rsidR="00BC24D7" w:rsidRPr="00EC2AA7" w:rsidRDefault="00BC24D7" w:rsidP="00BC24D7">
      <w:pPr>
        <w:pStyle w:val="FootnoteText"/>
      </w:pPr>
      <w:r w:rsidRPr="00EC2AA7">
        <w:rPr>
          <w:rStyle w:val="FootnoteReference"/>
        </w:rPr>
        <w:t>*</w:t>
      </w:r>
      <w:r w:rsidRPr="00EC2AA7">
        <w:t xml:space="preserve"> {The Supplemental Register is reserved for marks that are capable of, but have not yet developed, source distinctiveness—i.e., marks that are descriptive and do not yet possess acquired distinctiveness. </w:t>
      </w:r>
      <w:r w:rsidRPr="00EC2AA7">
        <w:rPr>
          <w:i/>
        </w:rPr>
        <w:t>See</w:t>
      </w:r>
      <w:r w:rsidRPr="00EC2AA7">
        <w:t xml:space="preserve"> Lanham Act § 23, 15 U.S.C. § 1091.}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D7"/>
    <w:rsid w:val="000A4AD4"/>
    <w:rsid w:val="000C53B3"/>
    <w:rsid w:val="001E4932"/>
    <w:rsid w:val="009B5BE6"/>
    <w:rsid w:val="00BC24D7"/>
    <w:rsid w:val="00CF381B"/>
    <w:rsid w:val="00EB3DF5"/>
    <w:rsid w:val="00F30DF5"/>
    <w:rsid w:val="00FA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BA29"/>
  <w15:chartTrackingRefBased/>
  <w15:docId w15:val="{B5A83E69-03D6-4090-AA49-372236F4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4D7"/>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BC24D7"/>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24D7"/>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24D7"/>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24D7"/>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C24D7"/>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C24D7"/>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BC24D7"/>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C24D7"/>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C24D7"/>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4D7"/>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BC2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4D7"/>
    <w:rPr>
      <w:rFonts w:eastAsiaTheme="majorEastAsia" w:cstheme="majorBidi"/>
      <w:color w:val="272727" w:themeColor="text1" w:themeTint="D8"/>
    </w:rPr>
  </w:style>
  <w:style w:type="paragraph" w:styleId="Title">
    <w:name w:val="Title"/>
    <w:basedOn w:val="Normal"/>
    <w:next w:val="Normal"/>
    <w:link w:val="TitleChar"/>
    <w:uiPriority w:val="10"/>
    <w:qFormat/>
    <w:rsid w:val="00BC24D7"/>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2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4D7"/>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2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4D7"/>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C24D7"/>
    <w:rPr>
      <w:i/>
      <w:iCs/>
      <w:color w:val="404040" w:themeColor="text1" w:themeTint="BF"/>
    </w:rPr>
  </w:style>
  <w:style w:type="paragraph" w:styleId="ListParagraph">
    <w:name w:val="List Paragraph"/>
    <w:basedOn w:val="Normal"/>
    <w:uiPriority w:val="34"/>
    <w:qFormat/>
    <w:rsid w:val="00BC24D7"/>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BC24D7"/>
    <w:rPr>
      <w:i/>
      <w:iCs/>
      <w:color w:val="0F4761" w:themeColor="accent1" w:themeShade="BF"/>
    </w:rPr>
  </w:style>
  <w:style w:type="paragraph" w:styleId="IntenseQuote">
    <w:name w:val="Intense Quote"/>
    <w:basedOn w:val="Normal"/>
    <w:next w:val="Normal"/>
    <w:link w:val="IntenseQuoteChar"/>
    <w:uiPriority w:val="30"/>
    <w:qFormat/>
    <w:rsid w:val="00BC24D7"/>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C24D7"/>
    <w:rPr>
      <w:i/>
      <w:iCs/>
      <w:color w:val="0F4761" w:themeColor="accent1" w:themeShade="BF"/>
    </w:rPr>
  </w:style>
  <w:style w:type="character" w:styleId="IntenseReference">
    <w:name w:val="Intense Reference"/>
    <w:basedOn w:val="DefaultParagraphFont"/>
    <w:uiPriority w:val="32"/>
    <w:qFormat/>
    <w:rsid w:val="00BC24D7"/>
    <w:rPr>
      <w:b/>
      <w:bCs/>
      <w:smallCaps/>
      <w:color w:val="0F4761" w:themeColor="accent1" w:themeShade="BF"/>
      <w:spacing w:val="5"/>
    </w:rPr>
  </w:style>
  <w:style w:type="paragraph" w:customStyle="1" w:styleId="OpinionCitation">
    <w:name w:val="Opinion Citation"/>
    <w:basedOn w:val="Normal"/>
    <w:link w:val="OpinionCitationChar"/>
    <w:qFormat/>
    <w:rsid w:val="00BC24D7"/>
    <w:pPr>
      <w:keepNext/>
      <w:spacing w:after="120"/>
      <w:ind w:firstLine="0"/>
    </w:pPr>
    <w:rPr>
      <w:b/>
    </w:rPr>
  </w:style>
  <w:style w:type="character" w:customStyle="1" w:styleId="OpinionCitationChar">
    <w:name w:val="Opinion Citation Char"/>
    <w:link w:val="OpinionCitation"/>
    <w:rsid w:val="00BC24D7"/>
    <w:rPr>
      <w:rFonts w:ascii="Cambria" w:eastAsia="Calibri" w:hAnsi="Cambria" w:cs="Times New Roman"/>
      <w:b/>
      <w:kern w:val="0"/>
      <w:szCs w:val="20"/>
      <w14:ligatures w14:val="none"/>
    </w:rPr>
  </w:style>
  <w:style w:type="paragraph" w:styleId="FootnoteText">
    <w:name w:val="footnote text"/>
    <w:basedOn w:val="Normal"/>
    <w:link w:val="FootnoteTextChar"/>
    <w:uiPriority w:val="99"/>
    <w:unhideWhenUsed/>
    <w:qFormat/>
    <w:rsid w:val="00BC24D7"/>
  </w:style>
  <w:style w:type="character" w:customStyle="1" w:styleId="FootnoteTextChar">
    <w:name w:val="Footnote Text Char"/>
    <w:basedOn w:val="DefaultParagraphFont"/>
    <w:link w:val="FootnoteText"/>
    <w:uiPriority w:val="99"/>
    <w:rsid w:val="00BC24D7"/>
    <w:rPr>
      <w:rFonts w:ascii="Cambria" w:eastAsia="Calibri" w:hAnsi="Cambria" w:cs="Times New Roman"/>
      <w:kern w:val="0"/>
      <w:szCs w:val="20"/>
      <w14:ligatures w14:val="none"/>
    </w:rPr>
  </w:style>
  <w:style w:type="character" w:styleId="FootnoteReference">
    <w:name w:val="footnote reference"/>
    <w:uiPriority w:val="99"/>
    <w:semiHidden/>
    <w:unhideWhenUsed/>
    <w:rsid w:val="00BC24D7"/>
    <w:rPr>
      <w:vertAlign w:val="superscript"/>
    </w:rPr>
  </w:style>
  <w:style w:type="paragraph" w:customStyle="1" w:styleId="NormalNoIndent">
    <w:name w:val="Normal No Indent"/>
    <w:basedOn w:val="Normal"/>
    <w:link w:val="NormalNoIndentChar"/>
    <w:qFormat/>
    <w:rsid w:val="00BC24D7"/>
    <w:pPr>
      <w:ind w:firstLine="0"/>
    </w:pPr>
  </w:style>
  <w:style w:type="character" w:customStyle="1" w:styleId="NormalNoIndentChar">
    <w:name w:val="Normal No Indent Char"/>
    <w:link w:val="NormalNoIndent"/>
    <w:rsid w:val="00BC24D7"/>
    <w:rPr>
      <w:rFonts w:ascii="Cambria" w:eastAsia="Calibri" w:hAnsi="Cambria" w:cs="Times New Roman"/>
      <w:kern w:val="0"/>
      <w:szCs w:val="20"/>
      <w14:ligatures w14:val="none"/>
    </w:rPr>
  </w:style>
  <w:style w:type="paragraph" w:customStyle="1" w:styleId="Normal-Centered">
    <w:name w:val="*Normal-Centered"/>
    <w:basedOn w:val="NormalNoIndent"/>
    <w:link w:val="Normal-CenteredChar"/>
    <w:qFormat/>
    <w:rsid w:val="00BC24D7"/>
    <w:pPr>
      <w:jc w:val="center"/>
    </w:pPr>
  </w:style>
  <w:style w:type="character" w:customStyle="1" w:styleId="Normal-CenteredChar">
    <w:name w:val="*Normal-Centered Char"/>
    <w:basedOn w:val="NormalNoIndentChar"/>
    <w:link w:val="Normal-Centered"/>
    <w:rsid w:val="00BC24D7"/>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1E4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932"/>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1E4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932"/>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2582</Words>
  <Characters>14721</Characters>
  <Application>Microsoft Office Word</Application>
  <DocSecurity>0</DocSecurity>
  <Lines>122</Lines>
  <Paragraphs>34</Paragraphs>
  <ScaleCrop>false</ScaleCrop>
  <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2024-07-15T21:03:00Z</dcterms:created>
  <dcterms:modified xsi:type="dcterms:W3CDTF">2024-07-16T12:19:00Z</dcterms:modified>
</cp:coreProperties>
</file>