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D9D4" w14:textId="77777777" w:rsidR="009B44CC" w:rsidRPr="0057426A" w:rsidRDefault="009B44CC" w:rsidP="009B44CC">
      <w:pPr>
        <w:pStyle w:val="Normal-Centered"/>
        <w:rPr>
          <w:rFonts w:ascii="Georgia" w:hAnsi="Georgia"/>
        </w:rPr>
      </w:pPr>
      <w:r w:rsidRPr="0057426A">
        <w:rPr>
          <w:rFonts w:ascii="Georgia" w:hAnsi="Georgia"/>
          <w:noProof/>
        </w:rPr>
        <w:drawing>
          <wp:inline distT="0" distB="0" distL="0" distR="0" wp14:anchorId="52912AF2" wp14:editId="023DF3D6">
            <wp:extent cx="4452093" cy="3467100"/>
            <wp:effectExtent l="0" t="0" r="5715" b="0"/>
            <wp:docPr id="42" name="Picture 134" descr="A wine store with many bottles of w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34" descr="A wine store with many bottles of win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0732" cy="3481616"/>
                    </a:xfrm>
                    <a:prstGeom prst="rect">
                      <a:avLst/>
                    </a:prstGeom>
                    <a:noFill/>
                    <a:ln>
                      <a:noFill/>
                    </a:ln>
                  </pic:spPr>
                </pic:pic>
              </a:graphicData>
            </a:graphic>
          </wp:inline>
        </w:drawing>
      </w:r>
      <w:r w:rsidRPr="0057426A">
        <w:rPr>
          <w:rStyle w:val="FootnoteReference"/>
          <w:rFonts w:ascii="Georgia" w:hAnsi="Georgia"/>
        </w:rPr>
        <w:footnoteReference w:id="1"/>
      </w:r>
    </w:p>
    <w:p w14:paraId="08308145" w14:textId="77777777" w:rsidR="009B44CC" w:rsidRPr="0057426A" w:rsidRDefault="009B44CC" w:rsidP="0057426A">
      <w:pPr>
        <w:pStyle w:val="Heading7"/>
        <w:jc w:val="center"/>
        <w:rPr>
          <w:rFonts w:ascii="Georgia" w:hAnsi="Georgia"/>
          <w:color w:val="000000" w:themeColor="text1"/>
          <w:sz w:val="32"/>
          <w:szCs w:val="32"/>
        </w:rPr>
      </w:pPr>
      <w:bookmarkStart w:id="0" w:name="_Toc171715681"/>
      <w:r w:rsidRPr="0057426A">
        <w:rPr>
          <w:rStyle w:val="Heading7Char"/>
          <w:rFonts w:ascii="Georgia" w:hAnsi="Georgia"/>
          <w:b/>
          <w:i/>
          <w:color w:val="000000" w:themeColor="text1"/>
          <w:sz w:val="32"/>
          <w:szCs w:val="32"/>
        </w:rPr>
        <w:t>Best Cellars, Inc. v. Wine Made Simple, Inc</w:t>
      </w:r>
      <w:r w:rsidRPr="0057426A">
        <w:rPr>
          <w:rFonts w:ascii="Georgia" w:hAnsi="Georgia"/>
          <w:color w:val="000000" w:themeColor="text1"/>
          <w:sz w:val="32"/>
          <w:szCs w:val="32"/>
        </w:rPr>
        <w:t>.</w:t>
      </w:r>
      <w:bookmarkEnd w:id="0"/>
    </w:p>
    <w:p w14:paraId="47DBF315" w14:textId="77777777" w:rsidR="009B44CC" w:rsidRPr="0057426A" w:rsidRDefault="009B44CC" w:rsidP="0057426A">
      <w:pPr>
        <w:pStyle w:val="OpinionCitation"/>
        <w:jc w:val="center"/>
        <w:rPr>
          <w:rFonts w:ascii="Georgia" w:hAnsi="Georgia"/>
          <w:color w:val="000000" w:themeColor="text1"/>
        </w:rPr>
      </w:pPr>
      <w:r w:rsidRPr="0057426A">
        <w:rPr>
          <w:rFonts w:ascii="Georgia" w:hAnsi="Georgia"/>
          <w:color w:val="000000" w:themeColor="text1"/>
        </w:rPr>
        <w:t>320 F.Supp.2d 60, 69-70 (S.D.N.Y. 2003)</w:t>
      </w:r>
    </w:p>
    <w:p w14:paraId="5C093D40" w14:textId="77777777" w:rsidR="009B44CC" w:rsidRPr="0057426A" w:rsidRDefault="009B44CC" w:rsidP="009B44CC">
      <w:pPr>
        <w:rPr>
          <w:rFonts w:ascii="Georgia" w:hAnsi="Georgia"/>
        </w:rPr>
      </w:pPr>
      <w:r w:rsidRPr="0057426A">
        <w:rPr>
          <w:rFonts w:ascii="Georgia" w:hAnsi="Georgia"/>
        </w:rPr>
        <w:t xml:space="preserve">In </w:t>
      </w:r>
      <w:r w:rsidRPr="0057426A">
        <w:rPr>
          <w:rFonts w:ascii="Georgia" w:hAnsi="Georgia"/>
          <w:i/>
        </w:rPr>
        <w:t>Best Cellars</w:t>
      </w:r>
      <w:r w:rsidRPr="0057426A">
        <w:rPr>
          <w:rFonts w:ascii="Georgia" w:hAnsi="Georgia"/>
        </w:rPr>
        <w:t>, the plaintiff, a wine retailer based in New York City, broadly claimed as its trade dress</w:t>
      </w:r>
    </w:p>
    <w:p w14:paraId="697FAB2C" w14:textId="77777777" w:rsidR="009B44CC" w:rsidRPr="0057426A" w:rsidRDefault="009B44CC" w:rsidP="009B44CC">
      <w:pPr>
        <w:pStyle w:val="Blockquote"/>
        <w:rPr>
          <w:rFonts w:ascii="Georgia" w:hAnsi="Georgia"/>
        </w:rPr>
      </w:pPr>
      <w:r w:rsidRPr="0057426A">
        <w:rPr>
          <w:rFonts w:ascii="Georgia" w:hAnsi="Georgia"/>
        </w:rPr>
        <w:t xml:space="preserve">the total effect of the interior design of its store, which it describes as: (1) eight words differentiating taste categories; (2) eight colors differentiating taste categories; (3) eight computer manipulated images differentiating taste categories; (4) taste categories set above display fixtures by order of weight; (5) single display bottles set on stainless-steel wire pedestals; (6) square 4”x4” cards with verbal descriptions of each wine (“shelf talkers”) with text arranged by template; (7) shelf talkers positioned at eye level, below each display bottle; (8) bottles vertically aligned in rows of nine; (9) storage cabinets located beneath vertically aligned bottled; (10) materials palette consisting of light wood and stainless steel; (11) mixture of vertical racks and open shelving display fixtures; (12) no fixed aisles; </w:t>
      </w:r>
      <w:r w:rsidRPr="0057426A">
        <w:rPr>
          <w:rFonts w:ascii="Georgia" w:hAnsi="Georgia"/>
        </w:rPr>
        <w:lastRenderedPageBreak/>
        <w:t>(13) bottles down and back-lit; and (14) limited selection (approximately 100) of relatively inexpensive wine.</w:t>
      </w:r>
    </w:p>
    <w:p w14:paraId="61D6988A" w14:textId="77777777" w:rsidR="009B44CC" w:rsidRPr="0057426A" w:rsidRDefault="009B44CC" w:rsidP="009B44CC">
      <w:pPr>
        <w:pStyle w:val="NormalNoIndent"/>
        <w:rPr>
          <w:rFonts w:ascii="Georgia" w:hAnsi="Georgia"/>
        </w:rPr>
      </w:pPr>
      <w:r w:rsidRPr="0057426A">
        <w:rPr>
          <w:rFonts w:ascii="Georgia" w:hAnsi="Georgia"/>
          <w:i/>
        </w:rPr>
        <w:t>Id</w:t>
      </w:r>
      <w:r w:rsidRPr="0057426A">
        <w:rPr>
          <w:rFonts w:ascii="Georgia" w:hAnsi="Georgia"/>
        </w:rPr>
        <w:t>. at 70.</w:t>
      </w:r>
    </w:p>
    <w:p w14:paraId="00A6D302" w14:textId="77777777" w:rsidR="009B44CC" w:rsidRPr="0057426A" w:rsidRDefault="009B44CC" w:rsidP="009B44CC">
      <w:pPr>
        <w:rPr>
          <w:rFonts w:ascii="Georgia" w:hAnsi="Georgia"/>
        </w:rPr>
      </w:pPr>
      <w:r w:rsidRPr="0057426A">
        <w:rPr>
          <w:rFonts w:ascii="Georgia" w:hAnsi="Georgia"/>
        </w:rPr>
        <w:t>Judge Lynch briefly analyzed whether this constituted product packaging trade dress or product configuration trade dress as follows:</w:t>
      </w:r>
    </w:p>
    <w:p w14:paraId="1AF9A448" w14:textId="77777777" w:rsidR="009B44CC" w:rsidRPr="0057426A" w:rsidRDefault="009B44CC" w:rsidP="009B44CC">
      <w:pPr>
        <w:pStyle w:val="Blockquote"/>
        <w:rPr>
          <w:rFonts w:ascii="Georgia" w:hAnsi="Georgia"/>
        </w:rPr>
      </w:pPr>
      <w:r w:rsidRPr="0057426A">
        <w:rPr>
          <w:rFonts w:ascii="Georgia" w:hAnsi="Georgia"/>
        </w:rPr>
        <w:t xml:space="preserve">Unlike more traditional trade dress cases that concern product packaging (like water bottles, </w:t>
      </w:r>
      <w:r w:rsidRPr="0057426A">
        <w:rPr>
          <w:rFonts w:ascii="Georgia" w:hAnsi="Georgia"/>
          <w:i/>
          <w:iCs/>
        </w:rPr>
        <w:t>see</w:t>
      </w:r>
      <w:r w:rsidRPr="0057426A">
        <w:rPr>
          <w:rFonts w:ascii="Georgia" w:hAnsi="Georgia"/>
        </w:rPr>
        <w:t xml:space="preserve"> </w:t>
      </w:r>
      <w:r w:rsidRPr="0057426A">
        <w:rPr>
          <w:rFonts w:ascii="Georgia" w:hAnsi="Georgia"/>
          <w:i/>
          <w:iCs/>
        </w:rPr>
        <w:t>Nora Beverages, Inc. v. Perrier Group of America, Inc.,</w:t>
      </w:r>
      <w:r w:rsidRPr="0057426A">
        <w:rPr>
          <w:rFonts w:ascii="Georgia" w:hAnsi="Georgia"/>
        </w:rPr>
        <w:t xml:space="preserve"> 269 F.3d 114 (2d Cir. 2001)) or product designs (like children’s clothing, </w:t>
      </w:r>
      <w:r w:rsidRPr="0057426A">
        <w:rPr>
          <w:rFonts w:ascii="Georgia" w:hAnsi="Georgia"/>
          <w:i/>
          <w:iCs/>
        </w:rPr>
        <w:t>see</w:t>
      </w:r>
      <w:r w:rsidRPr="0057426A">
        <w:rPr>
          <w:rFonts w:ascii="Georgia" w:hAnsi="Georgia"/>
        </w:rPr>
        <w:t xml:space="preserve"> </w:t>
      </w:r>
      <w:r w:rsidRPr="0057426A">
        <w:rPr>
          <w:rFonts w:ascii="Georgia" w:hAnsi="Georgia"/>
          <w:i/>
          <w:iCs/>
        </w:rPr>
        <w:t>Samara Bros.,</w:t>
      </w:r>
      <w:r w:rsidRPr="0057426A">
        <w:rPr>
          <w:rFonts w:ascii="Georgia" w:hAnsi="Georgia"/>
        </w:rPr>
        <w:t xml:space="preserve"> 529 U.S. at 213), this case concerns the interior decor of a retail establishment where customers purchase other products. In this, the case is </w:t>
      </w:r>
      <w:proofErr w:type="gramStart"/>
      <w:r w:rsidRPr="0057426A">
        <w:rPr>
          <w:rFonts w:ascii="Georgia" w:hAnsi="Georgia"/>
        </w:rPr>
        <w:t>similar to</w:t>
      </w:r>
      <w:proofErr w:type="gramEnd"/>
      <w:r w:rsidRPr="0057426A">
        <w:rPr>
          <w:rFonts w:ascii="Georgia" w:hAnsi="Georgia"/>
        </w:rPr>
        <w:t xml:space="preserve"> </w:t>
      </w:r>
      <w:r w:rsidRPr="0057426A">
        <w:rPr>
          <w:rFonts w:ascii="Georgia" w:hAnsi="Georgia"/>
          <w:i/>
          <w:iCs/>
        </w:rPr>
        <w:t>Two Pesos,</w:t>
      </w:r>
      <w:r w:rsidRPr="0057426A">
        <w:rPr>
          <w:rFonts w:ascii="Georgia" w:hAnsi="Georgia"/>
        </w:rPr>
        <w:t xml:space="preserve"> which concerned the interior decor of Mexican-themed restaurants. </w:t>
      </w:r>
      <w:r w:rsidRPr="0057426A">
        <w:rPr>
          <w:rFonts w:ascii="Georgia" w:hAnsi="Georgia"/>
          <w:i/>
          <w:iCs/>
        </w:rPr>
        <w:t>See</w:t>
      </w:r>
      <w:r w:rsidRPr="0057426A">
        <w:rPr>
          <w:rFonts w:ascii="Georgia" w:hAnsi="Georgia"/>
        </w:rPr>
        <w:t xml:space="preserve"> </w:t>
      </w:r>
      <w:r w:rsidRPr="0057426A">
        <w:rPr>
          <w:rFonts w:ascii="Georgia" w:hAnsi="Georgia"/>
          <w:i/>
          <w:iCs/>
        </w:rPr>
        <w:t>Two Pesos,</w:t>
      </w:r>
      <w:r w:rsidRPr="0057426A">
        <w:rPr>
          <w:rFonts w:ascii="Georgia" w:hAnsi="Georgia"/>
        </w:rPr>
        <w:t xml:space="preserve"> 505 U.S. at 764–65 n. 1 (noting that trade dress “may include features such as size, shape, color or color combinations, texture, graphics, or even particular sales techniques” (citations and internal quotation marks omitted)). As the Supreme Court explained, the interior decor category fits awkwardly into the classifications of trade dress law, constituting either product packaging or a </w:t>
      </w:r>
      <w:r w:rsidRPr="0057426A">
        <w:rPr>
          <w:rFonts w:ascii="Georgia" w:hAnsi="Georgia"/>
          <w:i/>
          <w:iCs/>
        </w:rPr>
        <w:t>“tertium quid”</w:t>
      </w:r>
      <w:r w:rsidRPr="0057426A">
        <w:rPr>
          <w:rFonts w:ascii="Georgia" w:hAnsi="Georgia"/>
        </w:rPr>
        <w:t xml:space="preserve"> akin to product packaging. </w:t>
      </w:r>
      <w:r w:rsidRPr="0057426A">
        <w:rPr>
          <w:rFonts w:ascii="Georgia" w:hAnsi="Georgia"/>
          <w:i/>
          <w:iCs/>
        </w:rPr>
        <w:t>Samara Bros.,</w:t>
      </w:r>
      <w:r w:rsidRPr="0057426A">
        <w:rPr>
          <w:rFonts w:ascii="Georgia" w:hAnsi="Georgia"/>
        </w:rPr>
        <w:t xml:space="preserve"> 529 U.S. at 215. Interior decor is thus clearly </w:t>
      </w:r>
      <w:r w:rsidRPr="0057426A">
        <w:rPr>
          <w:rFonts w:ascii="Georgia" w:hAnsi="Georgia"/>
          <w:i/>
          <w:iCs/>
        </w:rPr>
        <w:t>not</w:t>
      </w:r>
      <w:r w:rsidRPr="0057426A">
        <w:rPr>
          <w:rFonts w:ascii="Georgia" w:hAnsi="Georgia"/>
        </w:rPr>
        <w:t xml:space="preserve"> product design. Accordingly, it is appropriate to analyze the Best Cellars’ interior decor trade dress under the product packaging standard for inherent distinctiveness </w:t>
      </w:r>
      <w:proofErr w:type="gramStart"/>
      <w:r w:rsidRPr="0057426A">
        <w:rPr>
          <w:rFonts w:ascii="Georgia" w:hAnsi="Georgia"/>
        </w:rPr>
        <w:t>. . . .</w:t>
      </w:r>
      <w:proofErr w:type="gramEnd"/>
    </w:p>
    <w:p w14:paraId="76202C9B" w14:textId="77777777" w:rsidR="009B44CC" w:rsidRPr="0057426A" w:rsidRDefault="009B44CC" w:rsidP="009B44CC">
      <w:pPr>
        <w:pStyle w:val="NormalNoIndent"/>
        <w:rPr>
          <w:rFonts w:ascii="Georgia" w:hAnsi="Georgia"/>
        </w:rPr>
      </w:pPr>
      <w:r w:rsidRPr="0057426A">
        <w:rPr>
          <w:rFonts w:ascii="Georgia" w:hAnsi="Georgia"/>
          <w:i/>
        </w:rPr>
        <w:t>Id</w:t>
      </w:r>
      <w:r w:rsidRPr="0057426A">
        <w:rPr>
          <w:rFonts w:ascii="Georgia" w:hAnsi="Georgia"/>
        </w:rPr>
        <w:t>. at 69-70.</w:t>
      </w:r>
    </w:p>
    <w:p w14:paraId="4B5C2278" w14:textId="77777777" w:rsidR="00EB3DF5" w:rsidRPr="0057426A" w:rsidRDefault="00EB3DF5">
      <w:pPr>
        <w:rPr>
          <w:rFonts w:ascii="Georgia" w:hAnsi="Georgia"/>
        </w:rPr>
      </w:pPr>
    </w:p>
    <w:sectPr w:rsidR="00EB3DF5" w:rsidRPr="0057426A" w:rsidSect="0057426A">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15CC1" w14:textId="77777777" w:rsidR="00835408" w:rsidRDefault="00835408" w:rsidP="009B44CC">
      <w:pPr>
        <w:spacing w:after="0" w:line="240" w:lineRule="auto"/>
      </w:pPr>
      <w:r>
        <w:separator/>
      </w:r>
    </w:p>
  </w:endnote>
  <w:endnote w:type="continuationSeparator" w:id="0">
    <w:p w14:paraId="367B5097" w14:textId="77777777" w:rsidR="00835408" w:rsidRDefault="00835408" w:rsidP="009B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2349" w14:textId="77777777" w:rsidR="0057426A" w:rsidRDefault="00574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8BDB5" w14:textId="6A9A2810" w:rsidR="0057426A" w:rsidRPr="0057426A" w:rsidRDefault="0057426A" w:rsidP="0057426A">
    <w:pPr>
      <w:pStyle w:val="Footer"/>
      <w:tabs>
        <w:tab w:val="center" w:pos="3960"/>
        <w:tab w:val="left" w:pos="5400"/>
      </w:tabs>
      <w:ind w:firstLine="0"/>
      <w:jc w:val="left"/>
      <w:rPr>
        <w:rFonts w:ascii="Georgia" w:hAnsi="Georgia"/>
      </w:rPr>
    </w:pPr>
    <w:r>
      <w:rPr>
        <w:rFonts w:ascii="Georgia" w:hAnsi="Georgia"/>
      </w:rPr>
      <w:tab/>
    </w:r>
    <w:r w:rsidRPr="0057426A">
      <w:rPr>
        <w:rFonts w:ascii="Georgia" w:hAnsi="Georgia"/>
      </w:rPr>
      <w:t xml:space="preserve">Page </w:t>
    </w:r>
    <w:r w:rsidRPr="0057426A">
      <w:rPr>
        <w:rFonts w:ascii="Georgia" w:hAnsi="Georgia"/>
      </w:rPr>
      <w:fldChar w:fldCharType="begin"/>
    </w:r>
    <w:r w:rsidRPr="0057426A">
      <w:rPr>
        <w:rFonts w:ascii="Georgia" w:hAnsi="Georgia"/>
      </w:rPr>
      <w:instrText xml:space="preserve"> PAGE  \* Arabic  \* MERGEFORMAT </w:instrText>
    </w:r>
    <w:r w:rsidRPr="0057426A">
      <w:rPr>
        <w:rFonts w:ascii="Georgia" w:hAnsi="Georgia"/>
      </w:rPr>
      <w:fldChar w:fldCharType="separate"/>
    </w:r>
    <w:r w:rsidRPr="0057426A">
      <w:rPr>
        <w:rFonts w:ascii="Georgia" w:hAnsi="Georgia"/>
        <w:noProof/>
      </w:rPr>
      <w:t>1</w:t>
    </w:r>
    <w:r w:rsidRPr="0057426A">
      <w:rPr>
        <w:rFonts w:ascii="Georgia" w:hAnsi="Georgia"/>
      </w:rPr>
      <w:fldChar w:fldCharType="end"/>
    </w:r>
    <w:r w:rsidRPr="0057426A">
      <w:rPr>
        <w:rFonts w:ascii="Georgia" w:hAnsi="Georgia"/>
      </w:rPr>
      <w:t xml:space="preserve"> of </w:t>
    </w:r>
    <w:r w:rsidRPr="0057426A">
      <w:rPr>
        <w:rFonts w:ascii="Georgia" w:hAnsi="Georgia"/>
      </w:rPr>
      <w:fldChar w:fldCharType="begin"/>
    </w:r>
    <w:r w:rsidRPr="0057426A">
      <w:rPr>
        <w:rFonts w:ascii="Georgia" w:hAnsi="Georgia"/>
      </w:rPr>
      <w:instrText xml:space="preserve"> NUMPAGES  \* Arabic  \* MERGEFORMAT </w:instrText>
    </w:r>
    <w:r w:rsidRPr="0057426A">
      <w:rPr>
        <w:rFonts w:ascii="Georgia" w:hAnsi="Georgia"/>
      </w:rPr>
      <w:fldChar w:fldCharType="separate"/>
    </w:r>
    <w:r w:rsidRPr="0057426A">
      <w:rPr>
        <w:rFonts w:ascii="Georgia" w:hAnsi="Georgia"/>
        <w:noProof/>
      </w:rPr>
      <w:t>2</w:t>
    </w:r>
    <w:r w:rsidRPr="0057426A">
      <w:rPr>
        <w:rFonts w:ascii="Georgia" w:hAnsi="Georgia"/>
      </w:rPr>
      <w:fldChar w:fldCharType="end"/>
    </w:r>
    <w:r>
      <w:rPr>
        <w:rFonts w:ascii="Georgia" w:hAnsi="Georgia"/>
      </w:rPr>
      <w:tab/>
    </w:r>
    <w:r>
      <w:rPr>
        <w:rFonts w:ascii="Georgia" w:hAnsi="Georgia"/>
      </w:rPr>
      <w:tab/>
    </w:r>
  </w:p>
  <w:p w14:paraId="0744B85B" w14:textId="77777777" w:rsidR="0057426A" w:rsidRDefault="00574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811C" w14:textId="77777777" w:rsidR="0057426A" w:rsidRDefault="0057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584FD" w14:textId="77777777" w:rsidR="00835408" w:rsidRDefault="00835408" w:rsidP="009B44CC">
      <w:pPr>
        <w:spacing w:after="0" w:line="240" w:lineRule="auto"/>
      </w:pPr>
      <w:r>
        <w:separator/>
      </w:r>
    </w:p>
  </w:footnote>
  <w:footnote w:type="continuationSeparator" w:id="0">
    <w:p w14:paraId="3EFD54F0" w14:textId="77777777" w:rsidR="00835408" w:rsidRDefault="00835408" w:rsidP="009B44CC">
      <w:pPr>
        <w:spacing w:after="0" w:line="240" w:lineRule="auto"/>
      </w:pPr>
      <w:r>
        <w:continuationSeparator/>
      </w:r>
    </w:p>
  </w:footnote>
  <w:footnote w:id="1">
    <w:p w14:paraId="7FB81687" w14:textId="77777777" w:rsidR="009B44CC" w:rsidRPr="0057426A" w:rsidRDefault="009B44CC" w:rsidP="0057426A">
      <w:pPr>
        <w:pStyle w:val="FootnoteText"/>
        <w:jc w:val="left"/>
        <w:rPr>
          <w:rFonts w:ascii="Georgia" w:hAnsi="Georgia"/>
        </w:rPr>
      </w:pPr>
      <w:r w:rsidRPr="0057426A">
        <w:rPr>
          <w:rStyle w:val="FootnoteReference"/>
          <w:rFonts w:ascii="Georgia" w:hAnsi="Georgia"/>
        </w:rPr>
        <w:footnoteRef/>
      </w:r>
      <w:r w:rsidRPr="0057426A">
        <w:rPr>
          <w:rFonts w:ascii="Georgia" w:hAnsi="Georgia"/>
        </w:rPr>
        <w:t xml:space="preserve"> From Rockwell Group, http://www.rockwellgroup.com/projects/entry/best-cellars.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D63A" w14:textId="77777777" w:rsidR="0057426A" w:rsidRDefault="00574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6F4B" w14:textId="77777777" w:rsidR="0057426A" w:rsidRDefault="00574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01FF" w14:textId="77777777" w:rsidR="0057426A" w:rsidRDefault="00574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CC"/>
    <w:rsid w:val="000A4AD4"/>
    <w:rsid w:val="000C53B3"/>
    <w:rsid w:val="0057426A"/>
    <w:rsid w:val="00835408"/>
    <w:rsid w:val="009B44CC"/>
    <w:rsid w:val="00CA40AC"/>
    <w:rsid w:val="00E0232F"/>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5170"/>
  <w15:chartTrackingRefBased/>
  <w15:docId w15:val="{9C189B67-0154-470D-A163-7C195FE5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CC"/>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B44C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44C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44C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44C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B44C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B44CC"/>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B44CC"/>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B44CC"/>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B44CC"/>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4CC"/>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B4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CC"/>
    <w:rPr>
      <w:rFonts w:eastAsiaTheme="majorEastAsia" w:cstheme="majorBidi"/>
      <w:color w:val="272727" w:themeColor="text1" w:themeTint="D8"/>
    </w:rPr>
  </w:style>
  <w:style w:type="paragraph" w:styleId="Title">
    <w:name w:val="Title"/>
    <w:basedOn w:val="Normal"/>
    <w:next w:val="Normal"/>
    <w:link w:val="TitleChar"/>
    <w:uiPriority w:val="10"/>
    <w:qFormat/>
    <w:rsid w:val="009B44C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4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CC"/>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4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CC"/>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B44CC"/>
    <w:rPr>
      <w:i/>
      <w:iCs/>
      <w:color w:val="404040" w:themeColor="text1" w:themeTint="BF"/>
    </w:rPr>
  </w:style>
  <w:style w:type="paragraph" w:styleId="ListParagraph">
    <w:name w:val="List Paragraph"/>
    <w:basedOn w:val="Normal"/>
    <w:uiPriority w:val="34"/>
    <w:qFormat/>
    <w:rsid w:val="009B44CC"/>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B44CC"/>
    <w:rPr>
      <w:i/>
      <w:iCs/>
      <w:color w:val="0F4761" w:themeColor="accent1" w:themeShade="BF"/>
    </w:rPr>
  </w:style>
  <w:style w:type="paragraph" w:styleId="IntenseQuote">
    <w:name w:val="Intense Quote"/>
    <w:basedOn w:val="Normal"/>
    <w:next w:val="Normal"/>
    <w:link w:val="IntenseQuoteChar"/>
    <w:uiPriority w:val="30"/>
    <w:qFormat/>
    <w:rsid w:val="009B44C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B44CC"/>
    <w:rPr>
      <w:i/>
      <w:iCs/>
      <w:color w:val="0F4761" w:themeColor="accent1" w:themeShade="BF"/>
    </w:rPr>
  </w:style>
  <w:style w:type="character" w:styleId="IntenseReference">
    <w:name w:val="Intense Reference"/>
    <w:basedOn w:val="DefaultParagraphFont"/>
    <w:uiPriority w:val="32"/>
    <w:qFormat/>
    <w:rsid w:val="009B44CC"/>
    <w:rPr>
      <w:b/>
      <w:bCs/>
      <w:smallCaps/>
      <w:color w:val="0F4761" w:themeColor="accent1" w:themeShade="BF"/>
      <w:spacing w:val="5"/>
    </w:rPr>
  </w:style>
  <w:style w:type="paragraph" w:customStyle="1" w:styleId="OpinionCitation">
    <w:name w:val="Opinion Citation"/>
    <w:basedOn w:val="Normal"/>
    <w:link w:val="OpinionCitationChar"/>
    <w:qFormat/>
    <w:rsid w:val="009B44CC"/>
    <w:pPr>
      <w:keepNext/>
      <w:spacing w:after="120"/>
      <w:ind w:firstLine="0"/>
    </w:pPr>
    <w:rPr>
      <w:b/>
    </w:rPr>
  </w:style>
  <w:style w:type="character" w:customStyle="1" w:styleId="OpinionCitationChar">
    <w:name w:val="Opinion Citation Char"/>
    <w:link w:val="OpinionCitation"/>
    <w:rsid w:val="009B44CC"/>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B44CC"/>
    <w:pPr>
      <w:ind w:left="576" w:right="576" w:firstLine="0"/>
    </w:pPr>
  </w:style>
  <w:style w:type="character" w:customStyle="1" w:styleId="BlockquoteChar">
    <w:name w:val="Blockquote Char"/>
    <w:link w:val="Blockquote"/>
    <w:rsid w:val="009B44CC"/>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9B44CC"/>
  </w:style>
  <w:style w:type="character" w:customStyle="1" w:styleId="FootnoteTextChar">
    <w:name w:val="Footnote Text Char"/>
    <w:basedOn w:val="DefaultParagraphFont"/>
    <w:link w:val="FootnoteText"/>
    <w:uiPriority w:val="99"/>
    <w:rsid w:val="009B44CC"/>
    <w:rPr>
      <w:rFonts w:ascii="Cambria" w:eastAsia="Calibri" w:hAnsi="Cambria" w:cs="Times New Roman"/>
      <w:kern w:val="0"/>
      <w:szCs w:val="20"/>
      <w14:ligatures w14:val="none"/>
    </w:rPr>
  </w:style>
  <w:style w:type="character" w:styleId="FootnoteReference">
    <w:name w:val="footnote reference"/>
    <w:uiPriority w:val="99"/>
    <w:semiHidden/>
    <w:unhideWhenUsed/>
    <w:rsid w:val="009B44CC"/>
    <w:rPr>
      <w:vertAlign w:val="superscript"/>
    </w:rPr>
  </w:style>
  <w:style w:type="paragraph" w:customStyle="1" w:styleId="NormalNoIndent">
    <w:name w:val="Normal No Indent"/>
    <w:basedOn w:val="Normal"/>
    <w:link w:val="NormalNoIndentChar"/>
    <w:qFormat/>
    <w:rsid w:val="009B44CC"/>
    <w:pPr>
      <w:ind w:firstLine="0"/>
    </w:pPr>
  </w:style>
  <w:style w:type="character" w:customStyle="1" w:styleId="NormalNoIndentChar">
    <w:name w:val="Normal No Indent Char"/>
    <w:link w:val="NormalNoIndent"/>
    <w:rsid w:val="009B44CC"/>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9B44CC"/>
    <w:pPr>
      <w:jc w:val="center"/>
    </w:pPr>
  </w:style>
  <w:style w:type="character" w:customStyle="1" w:styleId="Normal-CenteredChar">
    <w:name w:val="*Normal-Centered Char"/>
    <w:basedOn w:val="NormalNoIndentChar"/>
    <w:link w:val="Normal-Centered"/>
    <w:rsid w:val="009B44CC"/>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7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6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7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6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2024-07-15T20:11:00Z</dcterms:created>
  <dcterms:modified xsi:type="dcterms:W3CDTF">2024-07-16T12:28:00Z</dcterms:modified>
</cp:coreProperties>
</file>