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3734D" w14:textId="77777777" w:rsidR="00746BCA" w:rsidRPr="00ED0B13" w:rsidRDefault="00746BCA" w:rsidP="00746BCA">
      <w:pPr>
        <w:pStyle w:val="NormalCentered"/>
      </w:pPr>
      <w:r>
        <w:rPr>
          <w:noProof/>
        </w:rPr>
        <w:drawing>
          <wp:inline distT="0" distB="0" distL="0" distR="0" wp14:anchorId="52661CD4" wp14:editId="08BE29E5">
            <wp:extent cx="3927758" cy="2438400"/>
            <wp:effectExtent l="0" t="0" r="0" b="0"/>
            <wp:docPr id="118" name="Picture 69" descr="A black and white logo with a cartoon character giving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69" descr="A black and white logo with a cartoon character giving a thumbs up&#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1673" cy="2440831"/>
                    </a:xfrm>
                    <a:prstGeom prst="rect">
                      <a:avLst/>
                    </a:prstGeom>
                    <a:noFill/>
                    <a:ln>
                      <a:noFill/>
                    </a:ln>
                  </pic:spPr>
                </pic:pic>
              </a:graphicData>
            </a:graphic>
          </wp:inline>
        </w:drawing>
      </w:r>
    </w:p>
    <w:p w14:paraId="5C0B1CE0" w14:textId="77777777" w:rsidR="00746BCA" w:rsidRPr="00CF6BD0" w:rsidRDefault="00746BCA" w:rsidP="00CF6BD0">
      <w:pPr>
        <w:pStyle w:val="Heading7"/>
        <w:jc w:val="center"/>
        <w:rPr>
          <w:rFonts w:ascii="Georgia" w:hAnsi="Georgia"/>
          <w:b/>
          <w:bCs/>
          <w:color w:val="000000" w:themeColor="text1"/>
          <w:sz w:val="32"/>
          <w:szCs w:val="32"/>
        </w:rPr>
      </w:pPr>
      <w:bookmarkStart w:id="0" w:name="_Toc519598830"/>
      <w:bookmarkStart w:id="1" w:name="_Toc171715806"/>
      <w:r w:rsidRPr="00CF6BD0">
        <w:rPr>
          <w:rFonts w:ascii="Georgia" w:hAnsi="Georgia"/>
          <w:b/>
          <w:bCs/>
          <w:color w:val="000000" w:themeColor="text1"/>
          <w:sz w:val="32"/>
          <w:szCs w:val="32"/>
        </w:rPr>
        <w:t>Coach Servs., Inc. v. Triumph Learning LLC</w:t>
      </w:r>
      <w:bookmarkEnd w:id="0"/>
      <w:bookmarkEnd w:id="1"/>
    </w:p>
    <w:p w14:paraId="315F974A" w14:textId="77777777" w:rsidR="00746BCA" w:rsidRPr="00CF6BD0" w:rsidRDefault="00746BCA" w:rsidP="00CF6BD0">
      <w:pPr>
        <w:pStyle w:val="OpinionCitation"/>
        <w:jc w:val="center"/>
        <w:rPr>
          <w:rFonts w:ascii="Georgia" w:hAnsi="Georgia"/>
        </w:rPr>
      </w:pPr>
      <w:r w:rsidRPr="00CF6BD0">
        <w:rPr>
          <w:rFonts w:ascii="Georgia" w:hAnsi="Georgia"/>
        </w:rPr>
        <w:t>668 F.3d 1356 (Fed. Cir. 2012)</w:t>
      </w:r>
    </w:p>
    <w:p w14:paraId="3B3BCA86" w14:textId="77777777" w:rsidR="00746BCA" w:rsidRPr="00ED0B13" w:rsidRDefault="00746BCA" w:rsidP="00746BCA">
      <w:pPr>
        <w:pStyle w:val="NormalNoIndent"/>
      </w:pPr>
      <w:r w:rsidRPr="00ED0B13">
        <w:t>O</w:t>
      </w:r>
      <w:r>
        <w:t>’</w:t>
      </w:r>
      <w:r w:rsidRPr="00ED0B13">
        <w:t>MALLEY, Circuit Judge.</w:t>
      </w:r>
    </w:p>
    <w:p w14:paraId="7FD54BF2" w14:textId="77777777" w:rsidR="00746BCA" w:rsidRPr="00ED0B13" w:rsidRDefault="00746BCA" w:rsidP="00746BCA">
      <w:r w:rsidRPr="00ED0B13">
        <w:t> . . . .</w:t>
      </w:r>
    </w:p>
    <w:p w14:paraId="34CF77E1" w14:textId="77777777" w:rsidR="00746BCA" w:rsidRPr="00ED0B13" w:rsidRDefault="00746BCA" w:rsidP="00746BCA">
      <w:pPr>
        <w:pStyle w:val="Centered"/>
      </w:pPr>
      <w:r w:rsidRPr="00ED0B13">
        <w:t>C. Dilution</w:t>
      </w:r>
    </w:p>
    <w:p w14:paraId="1636BB0C" w14:textId="77777777" w:rsidR="00746BCA" w:rsidRPr="00ED0B13" w:rsidRDefault="00746BCA" w:rsidP="00746BCA">
      <w:pPr>
        <w:pStyle w:val="NormalNoIndent"/>
      </w:pPr>
      <w:r w:rsidRPr="00ED0B13">
        <w:t>1. Fame for Dilution</w:t>
      </w:r>
    </w:p>
    <w:p w14:paraId="4CB279B3" w14:textId="0C0533F4" w:rsidR="00746BCA" w:rsidRPr="00ED0B13" w:rsidRDefault="00746BCA" w:rsidP="00746BCA">
      <w:r w:rsidRPr="00ED0B13">
        <w:t xml:space="preserve">A threshold question in a federal dilution claim is whether the mark at issue is </w:t>
      </w:r>
      <w:r>
        <w:t>“</w:t>
      </w:r>
      <w:r w:rsidRPr="00ED0B13">
        <w:t>famous.</w:t>
      </w:r>
      <w:r>
        <w:t>”</w:t>
      </w:r>
      <w:r w:rsidRPr="00ED0B13">
        <w:t xml:space="preserve"> Under the TDRA, a mark is famous if it </w:t>
      </w:r>
      <w:r>
        <w:t>“</w:t>
      </w:r>
      <w:r w:rsidRPr="00ED0B13">
        <w:t>is widely recognized by the general consuming public of the United States as a designation of source of the goods or services of the mark</w:t>
      </w:r>
      <w:r>
        <w:t>’</w:t>
      </w:r>
      <w:r w:rsidRPr="00ED0B13">
        <w:t>s owner.</w:t>
      </w:r>
      <w:r>
        <w:t>”</w:t>
      </w:r>
      <w:r w:rsidRPr="00ED0B13">
        <w:t xml:space="preserve"> 15 U.S.C. </w:t>
      </w:r>
      <w:r>
        <w:t>§ </w:t>
      </w:r>
      <w:r w:rsidRPr="00ED0B13">
        <w:t xml:space="preserve">1125(c)(2)(A). By using the </w:t>
      </w:r>
      <w:r>
        <w:t>“</w:t>
      </w:r>
      <w:r w:rsidRPr="00ED0B13">
        <w:t>general consuming public</w:t>
      </w:r>
      <w:r>
        <w:t>”</w:t>
      </w:r>
      <w:r w:rsidRPr="00ED0B13">
        <w:t xml:space="preserve"> as the benchmark, the TDRA eliminated the possibility of </w:t>
      </w:r>
      <w:r>
        <w:t>“</w:t>
      </w:r>
      <w:r w:rsidRPr="00ED0B13">
        <w:t>niche fame,</w:t>
      </w:r>
      <w:r>
        <w:t>”</w:t>
      </w:r>
      <w:r w:rsidRPr="00ED0B13">
        <w:t xml:space="preserve"> which some courts had recognized under the previous version of the statute.</w:t>
      </w:r>
      <w:bookmarkStart w:id="2" w:name="co_footnoteReference_B00772027167939_ID0"/>
      <w:bookmarkEnd w:id="2"/>
      <w:r w:rsidRPr="00ED0B13">
        <w:t xml:space="preserve"> </w:t>
      </w:r>
      <w:r w:rsidRPr="00ED0B13">
        <w:rPr>
          <w:i/>
          <w:iCs/>
        </w:rPr>
        <w:t>See Top Tobacco, LP v. N. Atl. Operating Co.,</w:t>
      </w:r>
      <w:r w:rsidRPr="00ED0B13">
        <w:t xml:space="preserve"> 509 F.3d 380, 384 (7th Cir. 2007) (noting that the reference to the </w:t>
      </w:r>
      <w:proofErr w:type="gramStart"/>
      <w:r w:rsidRPr="00ED0B13">
        <w:t>general public</w:t>
      </w:r>
      <w:proofErr w:type="gramEnd"/>
      <w:r w:rsidRPr="00ED0B13">
        <w:t xml:space="preserve"> </w:t>
      </w:r>
      <w:r>
        <w:t>“</w:t>
      </w:r>
      <w:r w:rsidRPr="00ED0B13">
        <w:t xml:space="preserve">eliminated any possibility of </w:t>
      </w:r>
      <w:r>
        <w:t>‘</w:t>
      </w:r>
      <w:r w:rsidRPr="00ED0B13">
        <w:t>niche fame,</w:t>
      </w:r>
      <w:r>
        <w:t>’</w:t>
      </w:r>
      <w:r w:rsidRPr="00ED0B13">
        <w:t xml:space="preserve"> which some courts had recognized before the amendment</w:t>
      </w:r>
      <w:r>
        <w:t>”</w:t>
      </w:r>
      <w:r w:rsidRPr="00ED0B13">
        <w:t>). The TDRA lists four non-exclusive factors for courts to consider when determining whether a mark is famous </w:t>
      </w:r>
      <w:proofErr w:type="gramStart"/>
      <w:r w:rsidRPr="00ED0B13">
        <w:t>. . . .</w:t>
      </w:r>
      <w:proofErr w:type="gramEnd"/>
      <w:r w:rsidRPr="00ED0B13">
        <w:t xml:space="preserve">  Whether a mark is famous under the TDRA is a factual question reviewed for substantial evidence.</w:t>
      </w:r>
    </w:p>
    <w:p w14:paraId="75F3A6A9" w14:textId="77777777" w:rsidR="00746BCA" w:rsidRPr="00ED0B13" w:rsidRDefault="00746BCA" w:rsidP="00746BCA">
      <w:bookmarkStart w:id="3" w:name="co_anchor_B162027167939_1"/>
      <w:bookmarkEnd w:id="3"/>
      <w:r w:rsidRPr="00ED0B13">
        <w:t> . . . .</w:t>
      </w:r>
    </w:p>
    <w:p w14:paraId="1F4D8B0C" w14:textId="3EA6CCC4" w:rsidR="00746BCA" w:rsidRPr="00ED0B13" w:rsidRDefault="00746BCA" w:rsidP="00746BCA">
      <w:bookmarkStart w:id="4" w:name="co_anchor_B172027167939_1"/>
      <w:bookmarkEnd w:id="4"/>
      <w:r w:rsidRPr="00ED0B13">
        <w:t>It is well-established that dilution fame is difficult to prove </w:t>
      </w:r>
      <w:proofErr w:type="gramStart"/>
      <w:r w:rsidRPr="00ED0B13">
        <w:t>. . . .</w:t>
      </w:r>
      <w:proofErr w:type="gramEnd"/>
      <w:r w:rsidRPr="00ED0B13">
        <w:t xml:space="preserve"> This is particularly true where, as here, the mark is a common English word that has different meanings in different contexts. Importantly, the owner of the allegedly famous mark must show that its mark became famous </w:t>
      </w:r>
      <w:r>
        <w:t>“</w:t>
      </w:r>
      <w:r w:rsidRPr="00ED0B13">
        <w:t xml:space="preserve">prior to the filing date of the trademark application or registration against which it intends to file an opposition or </w:t>
      </w:r>
      <w:r w:rsidRPr="00ED0B13">
        <w:lastRenderedPageBreak/>
        <w:t>cancellation proceeding.</w:t>
      </w:r>
      <w:r>
        <w:t>”</w:t>
      </w:r>
      <w:r w:rsidRPr="00ED0B13">
        <w:t xml:space="preserve"> </w:t>
      </w:r>
      <w:r w:rsidRPr="00ED0B13">
        <w:rPr>
          <w:i/>
          <w:iCs/>
        </w:rPr>
        <w:t xml:space="preserve">See Toro Co. v. </w:t>
      </w:r>
      <w:proofErr w:type="spellStart"/>
      <w:r w:rsidRPr="00ED0B13">
        <w:rPr>
          <w:i/>
          <w:iCs/>
        </w:rPr>
        <w:t>ToroHead</w:t>
      </w:r>
      <w:proofErr w:type="spellEnd"/>
      <w:r w:rsidRPr="00ED0B13">
        <w:rPr>
          <w:i/>
          <w:iCs/>
        </w:rPr>
        <w:t xml:space="preserve"> Inc.</w:t>
      </w:r>
      <w:r w:rsidRPr="00ED0B13">
        <w:rPr>
          <w:iCs/>
        </w:rPr>
        <w:t>, 61 U.S.P.Q.2d 1164, 1174 (T.T.A.B</w:t>
      </w:r>
      <w:r>
        <w:rPr>
          <w:iCs/>
        </w:rPr>
        <w:t>. 20</w:t>
      </w:r>
      <w:r w:rsidRPr="00ED0B13">
        <w:rPr>
          <w:iCs/>
        </w:rPr>
        <w:t>01)</w:t>
      </w:r>
      <w:r w:rsidRPr="00ED0B13">
        <w:t>.</w:t>
      </w:r>
    </w:p>
    <w:p w14:paraId="7CDC0354" w14:textId="200A4CBA" w:rsidR="00746BCA" w:rsidRPr="00ED0B13" w:rsidRDefault="00746BCA" w:rsidP="00746BCA">
      <w:bookmarkStart w:id="5" w:name="co_anchor_B182027167939_1"/>
      <w:bookmarkEnd w:id="5"/>
      <w:r w:rsidRPr="00ED0B13">
        <w:t xml:space="preserve">As noted, fame for dilution requires widespread recognition by the </w:t>
      </w:r>
      <w:proofErr w:type="gramStart"/>
      <w:r w:rsidRPr="00ED0B13">
        <w:t>general public</w:t>
      </w:r>
      <w:proofErr w:type="gramEnd"/>
      <w:r w:rsidRPr="00ED0B13">
        <w:t xml:space="preserve">. 15 U.S.C. </w:t>
      </w:r>
      <w:r>
        <w:t>§ </w:t>
      </w:r>
      <w:r w:rsidRPr="00ED0B13">
        <w:t xml:space="preserve">1125(c)(2)(A). To establish the requisite level of fame, the </w:t>
      </w:r>
      <w:r>
        <w:t>“</w:t>
      </w:r>
      <w:r w:rsidRPr="00ED0B13">
        <w:t>mark</w:t>
      </w:r>
      <w:r>
        <w:t>’</w:t>
      </w:r>
      <w:r w:rsidRPr="00ED0B13">
        <w:t>s owner must demonstrate that the common or proper noun uses of the term and third-party uses of the mark are now eclipsed by the owner</w:t>
      </w:r>
      <w:r>
        <w:t>’</w:t>
      </w:r>
      <w:r w:rsidRPr="00ED0B13">
        <w:t>s use of the mark.</w:t>
      </w:r>
      <w:r>
        <w:t>”</w:t>
      </w:r>
      <w:r w:rsidRPr="00ED0B13">
        <w:t xml:space="preserve"> </w:t>
      </w:r>
      <w:r w:rsidRPr="00ED0B13">
        <w:rPr>
          <w:i/>
          <w:iCs/>
        </w:rPr>
        <w:t>Toro,</w:t>
      </w:r>
      <w:r w:rsidRPr="00ED0B13">
        <w:t xml:space="preserve"> 61 U.S.P.Q.2d at 1180.</w:t>
      </w:r>
      <w:bookmarkStart w:id="6" w:name="co_footnoteReference_B00882027167939_ID0"/>
      <w:bookmarkEnd w:id="6"/>
      <w:r w:rsidRPr="00ED0B13">
        <w:t xml:space="preserve"> An opposer must show that, when the </w:t>
      </w:r>
      <w:proofErr w:type="gramStart"/>
      <w:r w:rsidRPr="00ED0B13">
        <w:t>general public</w:t>
      </w:r>
      <w:proofErr w:type="gramEnd"/>
      <w:r w:rsidRPr="00ED0B13">
        <w:t xml:space="preserve"> encounters the mark </w:t>
      </w:r>
      <w:r>
        <w:t>“</w:t>
      </w:r>
      <w:r w:rsidRPr="00ED0B13">
        <w:t>in almost any context, it associates the term, at least initially, with the mark</w:t>
      </w:r>
      <w:r>
        <w:t>’</w:t>
      </w:r>
      <w:r w:rsidRPr="00ED0B13">
        <w:t>s owner.</w:t>
      </w:r>
      <w:r>
        <w:t>”</w:t>
      </w:r>
      <w:r w:rsidRPr="00ED0B13">
        <w:t xml:space="preserve"> </w:t>
      </w:r>
      <w:r w:rsidRPr="00ED0B13">
        <w:rPr>
          <w:i/>
          <w:iCs/>
        </w:rPr>
        <w:t>Id.</w:t>
      </w:r>
      <w:r w:rsidRPr="00ED0B13">
        <w:t xml:space="preserve"> at 1181. In other words, a famous mark is one that has become a </w:t>
      </w:r>
      <w:r>
        <w:t>“</w:t>
      </w:r>
      <w:r w:rsidRPr="00ED0B13">
        <w:t>household name.</w:t>
      </w:r>
      <w:r>
        <w:t>”</w:t>
      </w:r>
      <w:r w:rsidRPr="00ED0B13">
        <w:t xml:space="preserve"> </w:t>
      </w:r>
      <w:r w:rsidRPr="00ED0B13">
        <w:rPr>
          <w:i/>
          <w:iCs/>
        </w:rPr>
        <w:t>Nissan Motor Co. v. Nissan Computer Corp.,</w:t>
      </w:r>
      <w:r w:rsidRPr="00ED0B13">
        <w:t xml:space="preserve"> 378 F.3d 1002, 1012 (9th Cir. 2004) (quoting </w:t>
      </w:r>
      <w:r w:rsidRPr="00ED0B13">
        <w:rPr>
          <w:i/>
          <w:iCs/>
        </w:rPr>
        <w:t>Thane Int</w:t>
      </w:r>
      <w:r>
        <w:rPr>
          <w:i/>
          <w:iCs/>
        </w:rPr>
        <w:t>’</w:t>
      </w:r>
      <w:r w:rsidRPr="00ED0B13">
        <w:rPr>
          <w:i/>
          <w:iCs/>
        </w:rPr>
        <w:t>l, Inc. v. Trek Bicycle Corp.,</w:t>
      </w:r>
      <w:r w:rsidRPr="00ED0B13">
        <w:t xml:space="preserve"> 305 F.3d 894, 911 (9th Cir. 2002)). With this framework in mind, we turn to CSI</w:t>
      </w:r>
      <w:r>
        <w:t>’</w:t>
      </w:r>
      <w:r w:rsidRPr="00ED0B13">
        <w:t>s evidence of fame.</w:t>
      </w:r>
      <w:bookmarkStart w:id="7" w:name="co_anchor_Ied5660809b6111e38578f7ccc38dc"/>
      <w:bookmarkEnd w:id="7"/>
      <w:r w:rsidRPr="00ED0B13">
        <w:t xml:space="preserve"> </w:t>
      </w:r>
    </w:p>
    <w:p w14:paraId="1F78A1A8" w14:textId="77777777" w:rsidR="00746BCA" w:rsidRPr="00ED0B13" w:rsidRDefault="00746BCA" w:rsidP="00746BCA">
      <w:pPr>
        <w:pStyle w:val="NormalNoIndent"/>
      </w:pPr>
      <w:r w:rsidRPr="00ED0B13">
        <w:t>2. CSI Failed to Introduce Sufficient Evidence of Fame for Dilution</w:t>
      </w:r>
    </w:p>
    <w:p w14:paraId="71DE727C" w14:textId="462E4706" w:rsidR="00746BCA" w:rsidRPr="00ED0B13" w:rsidRDefault="00746BCA" w:rsidP="00746BCA">
      <w:r w:rsidRPr="00ED0B13">
        <w:t>The Board found that CSI</w:t>
      </w:r>
      <w:r>
        <w:t>’</w:t>
      </w:r>
      <w:r w:rsidRPr="00ED0B13">
        <w:t xml:space="preserve">s evidence of fame was insufficient to support a dilution claim. On appeal, CSI argues that the same evidence establishing fame for likelihood of confusion also establishes fame for dilution purposes. Specifically, CSI argues that the Board disregarded: (1) sales and advertising figures for years 2000–2008; (2) its sixteen federal trademark registrations; (3) unsolicited media </w:t>
      </w:r>
      <w:bookmarkStart w:id="8" w:name="co_pp_sp_506_1374_1"/>
      <w:bookmarkEnd w:id="8"/>
      <w:r w:rsidRPr="00ED0B13">
        <w:t>attention; (4) joint marketing efforts; (5) two Second Circuit decisions finding the Coach hangtag, which features the COACH mark, to be famous; and (6) CSI</w:t>
      </w:r>
      <w:r>
        <w:t>’</w:t>
      </w:r>
      <w:r w:rsidRPr="00ED0B13">
        <w:t>s internal brand awareness survey showing awareness among 18–24 year old consumers. We address each category of evidence in turn. For the reasons set forth below, we find substantial evidence supporting the Board</w:t>
      </w:r>
      <w:r>
        <w:t>’</w:t>
      </w:r>
      <w:r w:rsidRPr="00ED0B13">
        <w:t>s decision that CSI failed to show the requisite level of fame for dilution.</w:t>
      </w:r>
    </w:p>
    <w:p w14:paraId="7DDAF1AF" w14:textId="786787A5" w:rsidR="00746BCA" w:rsidRPr="00ED0B13" w:rsidRDefault="00746BCA" w:rsidP="00746BCA">
      <w:r w:rsidRPr="00ED0B13">
        <w:t>Turning first to CSI</w:t>
      </w:r>
      <w:r>
        <w:t>’</w:t>
      </w:r>
      <w:r w:rsidRPr="00ED0B13">
        <w:t>s evidence of sales and advertising expenditures, CSI argues that the Board erred when it ignored the annual reports that were attached to a Notice of Reliance. As previously discussed, however, the Board correctly held that these reports were unauthenticated and thus inadmissible. The only sales and advertising figures in the record via Ms. Sadler</w:t>
      </w:r>
      <w:r>
        <w:t>’</w:t>
      </w:r>
      <w:r w:rsidRPr="00ED0B13">
        <w:t xml:space="preserve">s testimony were for one year—2008—which, notably, is after Triumph filed its use-based applications in December 2004. We agree with the Board that this limited evidence of sales and advertising is insufficient to show fame. Even if the Board had considered the annual reports, moreover, such evidence, standing alone, would be insufficient. </w:t>
      </w:r>
      <w:r w:rsidRPr="00ED0B13">
        <w:rPr>
          <w:i/>
          <w:iCs/>
        </w:rPr>
        <w:t>See Toro,</w:t>
      </w:r>
      <w:r w:rsidRPr="00ED0B13">
        <w:t xml:space="preserve"> 61 U.S.P.Q.2d at 1181 (</w:t>
      </w:r>
      <w:r>
        <w:t>“</w:t>
      </w:r>
      <w:r w:rsidRPr="00ED0B13">
        <w:t>Merely providing evidence that a mark is a top-selling brand is insufficient to show this general fame without evidence of how many persons are purchasers.</w:t>
      </w:r>
      <w:r>
        <w:t>”</w:t>
      </w:r>
      <w:r w:rsidRPr="00ED0B13">
        <w:t>).</w:t>
      </w:r>
    </w:p>
    <w:p w14:paraId="5376C37B" w14:textId="36CBB64F" w:rsidR="00746BCA" w:rsidRPr="00ED0B13" w:rsidRDefault="00746BCA" w:rsidP="00746BCA">
      <w:r w:rsidRPr="00ED0B13">
        <w:t>With respect to CSI</w:t>
      </w:r>
      <w:r>
        <w:t>’</w:t>
      </w:r>
      <w:r w:rsidRPr="00ED0B13">
        <w:t xml:space="preserve">s registrations, the Board found that the mere existence of federally registered trademarks is insufficient to show that the mark is famous for purposes of dilution because ownership of a registration is not proof of fame. On appeal, CSI argues that the Board erred in this determination because one of the </w:t>
      </w:r>
      <w:r w:rsidRPr="00ED0B13">
        <w:lastRenderedPageBreak/>
        <w:t xml:space="preserve">statutory factors a court can consider in the fame analysis is whether the mark is registered on the principal register. </w:t>
      </w:r>
      <w:r w:rsidRPr="00ED0B13">
        <w:rPr>
          <w:i/>
          <w:iCs/>
        </w:rPr>
        <w:t>See</w:t>
      </w:r>
      <w:r w:rsidRPr="00ED0B13">
        <w:t xml:space="preserve"> 15 U.S.C. </w:t>
      </w:r>
      <w:r>
        <w:t>§ </w:t>
      </w:r>
      <w:r w:rsidRPr="00ED0B13">
        <w:t xml:space="preserve">1125(c)(2)(A)(iv). As Triumph points out, however, </w:t>
      </w:r>
      <w:r>
        <w:t>“</w:t>
      </w:r>
      <w:r w:rsidRPr="00ED0B13">
        <w:t>[o]ne cannot logically infer fame from the fact that a mark is one of the millions on the Federal Register.</w:t>
      </w:r>
      <w:r>
        <w:t>”</w:t>
      </w:r>
      <w:r w:rsidRPr="00ED0B13">
        <w:t xml:space="preserve"> 4 </w:t>
      </w:r>
      <w:r w:rsidRPr="00ED0B13">
        <w:rPr>
          <w:i/>
          <w:iCs/>
        </w:rPr>
        <w:t>McCarthy,</w:t>
      </w:r>
      <w:r w:rsidRPr="00ED0B13">
        <w:t xml:space="preserve"> </w:t>
      </w:r>
      <w:r>
        <w:t>§ </w:t>
      </w:r>
      <w:r w:rsidRPr="00ED0B13">
        <w:t xml:space="preserve">24:106 at 24–310. While ownership of a trademark registration </w:t>
      </w:r>
      <w:r w:rsidRPr="00ED0B13">
        <w:rPr>
          <w:i/>
          <w:iCs/>
        </w:rPr>
        <w:t>is</w:t>
      </w:r>
      <w:r w:rsidRPr="00ED0B13">
        <w:t xml:space="preserve"> relevant to the fame inquiry, and—to the extent the Board decision implies otherwise—the Board erred on this point, proof of registration is not </w:t>
      </w:r>
      <w:r w:rsidRPr="00ED0B13">
        <w:rPr>
          <w:i/>
          <w:iCs/>
        </w:rPr>
        <w:t>conclusive</w:t>
      </w:r>
      <w:r w:rsidRPr="00ED0B13">
        <w:t xml:space="preserve"> evidence of fame.</w:t>
      </w:r>
    </w:p>
    <w:p w14:paraId="0E3617BC" w14:textId="401DC7CC" w:rsidR="00746BCA" w:rsidRPr="00ED0B13" w:rsidRDefault="00746BCA" w:rsidP="00746BCA">
      <w:r w:rsidRPr="00ED0B13">
        <w:t>With respect to media attention, the Board found that CSI</w:t>
      </w:r>
      <w:r>
        <w:t>’</w:t>
      </w:r>
      <w:r w:rsidRPr="00ED0B13">
        <w:t xml:space="preserve">s evidence fell short of showing </w:t>
      </w:r>
      <w:r>
        <w:t>“</w:t>
      </w:r>
      <w:r w:rsidRPr="00ED0B13">
        <w:t>widespread recognition of opposer</w:t>
      </w:r>
      <w:r>
        <w:t>’</w:t>
      </w:r>
      <w:r w:rsidRPr="00ED0B13">
        <w:t>s mark [by] the general population.</w:t>
      </w:r>
      <w:r>
        <w:t>”</w:t>
      </w:r>
      <w:r w:rsidRPr="00ED0B13">
        <w:t xml:space="preserve"> </w:t>
      </w:r>
      <w:r w:rsidRPr="00ED0B13">
        <w:rPr>
          <w:i/>
          <w:iCs/>
        </w:rPr>
        <w:t>Board Decision,</w:t>
      </w:r>
      <w:r w:rsidRPr="00ED0B13">
        <w:t xml:space="preserve"> 96 U.S.P.Q.2d at 1611. Specifically, the Board found that:</w:t>
      </w:r>
    </w:p>
    <w:p w14:paraId="4C3936CD" w14:textId="77777777" w:rsidR="00746BCA" w:rsidRPr="00ED0B13" w:rsidRDefault="00746BCA" w:rsidP="00746BCA">
      <w:pPr>
        <w:pStyle w:val="Blockquote"/>
      </w:pPr>
      <w:proofErr w:type="gramStart"/>
      <w:r w:rsidRPr="00ED0B13">
        <w:t>the vast majority of</w:t>
      </w:r>
      <w:proofErr w:type="gramEnd"/>
      <w:r w:rsidRPr="00ED0B13">
        <w:t xml:space="preserve"> unsolicited media recognition for opposer</w:t>
      </w:r>
      <w:r>
        <w:t>’</w:t>
      </w:r>
      <w:r w:rsidRPr="00ED0B13">
        <w:t>s COACH mark comprises a reference to one of opposer</w:t>
      </w:r>
      <w:r>
        <w:t>’</w:t>
      </w:r>
      <w:r w:rsidRPr="00ED0B13">
        <w:t>s products as one of many different fashion buys or trends, and the news articles noting opposer</w:t>
      </w:r>
      <w:r>
        <w:t>’</w:t>
      </w:r>
      <w:r w:rsidRPr="00ED0B13">
        <w:t>s renown are too few to support a finding that opposer</w:t>
      </w:r>
      <w:r>
        <w:t>’</w:t>
      </w:r>
      <w:r w:rsidRPr="00ED0B13">
        <w:t>s mark has been transformed into a household name.</w:t>
      </w:r>
    </w:p>
    <w:p w14:paraId="49F83675" w14:textId="77777777" w:rsidR="00746BCA" w:rsidRPr="00ED0B13" w:rsidRDefault="00746BCA" w:rsidP="00746BCA">
      <w:pPr>
        <w:pStyle w:val="NormalNoIndent"/>
      </w:pPr>
      <w:r w:rsidRPr="00ED0B13">
        <w:rPr>
          <w:i/>
          <w:iCs/>
        </w:rPr>
        <w:t>Id.</w:t>
      </w:r>
      <w:r w:rsidRPr="00ED0B13">
        <w:t xml:space="preserve"> On appeal, CSI argues that the Board ignored hundreds of unsolicited articles mentioning the COACH mark over the years. CSI points to several examples, including the following:</w:t>
      </w:r>
    </w:p>
    <w:p w14:paraId="524DF421" w14:textId="77777777" w:rsidR="00746BCA" w:rsidRPr="00ED0B13" w:rsidRDefault="00746BCA" w:rsidP="00746BCA">
      <w:pPr>
        <w:pStyle w:val="Blockquote"/>
      </w:pPr>
      <w:r w:rsidRPr="00ED0B13">
        <w:t xml:space="preserve">• </w:t>
      </w:r>
      <w:r>
        <w:t>“</w:t>
      </w:r>
      <w:r w:rsidRPr="00ED0B13">
        <w:t>In fact, Coach</w:t>
      </w:r>
      <w:r>
        <w:t>’</w:t>
      </w:r>
      <w:r w:rsidRPr="00ED0B13">
        <w:t>s growth . . . has been phenomenal. When Sara Lee acquired the firm in 1985, its volume was about $18 million. In Sara Lee</w:t>
      </w:r>
      <w:r>
        <w:t>’</w:t>
      </w:r>
      <w:r w:rsidRPr="00ED0B13">
        <w:t>s latest fiscal year, which ended last June 30, Coach</w:t>
      </w:r>
      <w:r>
        <w:t>’</w:t>
      </w:r>
      <w:r w:rsidRPr="00ED0B13">
        <w:t>s sales exceeded $500 million. The name also resonates with consumers. The brand ranked eighth among the top 10 in accessories firms in the latest Fairchild 100 consumer survey of fashion labels, in 1995.</w:t>
      </w:r>
      <w:r>
        <w:t>”</w:t>
      </w:r>
      <w:r w:rsidRPr="00ED0B13">
        <w:t xml:space="preserve"> J.A. 3607 (Women</w:t>
      </w:r>
      <w:r>
        <w:t>’</w:t>
      </w:r>
      <w:r w:rsidRPr="00ED0B13">
        <w:t>s Wear Daily, May 5, 1997).</w:t>
      </w:r>
    </w:p>
    <w:p w14:paraId="139B76B9" w14:textId="77777777" w:rsidR="00746BCA" w:rsidRPr="00ED0B13" w:rsidRDefault="00746BCA" w:rsidP="00746BCA">
      <w:pPr>
        <w:pStyle w:val="Blockquote"/>
      </w:pPr>
      <w:r w:rsidRPr="00ED0B13">
        <w:t xml:space="preserve">• </w:t>
      </w:r>
      <w:r>
        <w:t>“</w:t>
      </w:r>
      <w:r w:rsidRPr="00ED0B13">
        <w:t>Coach, one of the top makers of status handbags in the United States . . .</w:t>
      </w:r>
      <w:r>
        <w:t>”</w:t>
      </w:r>
      <w:r w:rsidRPr="00ED0B13">
        <w:t xml:space="preserve"> J.A. 3598 (The New York Times, Jan. 27, 1999).</w:t>
      </w:r>
    </w:p>
    <w:p w14:paraId="4E265DCA" w14:textId="77777777" w:rsidR="00746BCA" w:rsidRPr="00ED0B13" w:rsidRDefault="00746BCA" w:rsidP="00746BCA">
      <w:pPr>
        <w:pStyle w:val="Blockquote"/>
      </w:pPr>
      <w:bookmarkStart w:id="9" w:name="co_pp_sp_506_1375_1"/>
      <w:bookmarkEnd w:id="9"/>
      <w:r w:rsidRPr="00ED0B13">
        <w:t xml:space="preserve">• </w:t>
      </w:r>
      <w:r>
        <w:t>“</w:t>
      </w:r>
      <w:r w:rsidRPr="00ED0B13">
        <w:t>Coach</w:t>
      </w:r>
      <w:r>
        <w:t>’</w:t>
      </w:r>
      <w:r w:rsidRPr="00ED0B13">
        <w:t>s creative director has helped transform the 60–year old company into a must-have American icon.</w:t>
      </w:r>
      <w:r>
        <w:t>”</w:t>
      </w:r>
      <w:r w:rsidRPr="00ED0B13">
        <w:t xml:space="preserve"> J.A. 3156 (Women</w:t>
      </w:r>
      <w:r>
        <w:t>’</w:t>
      </w:r>
      <w:r w:rsidRPr="00ED0B13">
        <w:t>s Wear Daily, June 2001).</w:t>
      </w:r>
    </w:p>
    <w:p w14:paraId="30E8EC45" w14:textId="77777777" w:rsidR="00746BCA" w:rsidRPr="00ED0B13" w:rsidRDefault="00746BCA" w:rsidP="00746BCA">
      <w:pPr>
        <w:pStyle w:val="Blockquote"/>
      </w:pPr>
      <w:r w:rsidRPr="00ED0B13">
        <w:t xml:space="preserve">• </w:t>
      </w:r>
      <w:r>
        <w:t>“</w:t>
      </w:r>
      <w:r w:rsidRPr="00ED0B13">
        <w:t>Will Coach Become Too Popular? . . . Coach, the maker and retailer of stylish handbags, just had a blowout season </w:t>
      </w:r>
      <w:proofErr w:type="gramStart"/>
      <w:r w:rsidRPr="00ED0B13">
        <w:t>. . . .</w:t>
      </w:r>
      <w:proofErr w:type="gramEnd"/>
      <w:r w:rsidRPr="00ED0B13">
        <w:t xml:space="preserve"> Clearly Coach has recorded some of the best growth numbers of any retailer or accessories maker in recent years.</w:t>
      </w:r>
      <w:r>
        <w:t>”</w:t>
      </w:r>
      <w:r w:rsidRPr="00ED0B13">
        <w:t xml:space="preserve"> J.A. 3543 (Business Week, Jan. 24, 2007).</w:t>
      </w:r>
    </w:p>
    <w:p w14:paraId="72BCDD64" w14:textId="5186A171" w:rsidR="00746BCA" w:rsidRPr="00ED0B13" w:rsidRDefault="00746BCA" w:rsidP="00746BCA">
      <w:r w:rsidRPr="00ED0B13">
        <w:t>Looking at the media attention in the record, there is certainly evidence that CSI</w:t>
      </w:r>
      <w:r>
        <w:t>’</w:t>
      </w:r>
      <w:r w:rsidRPr="00ED0B13">
        <w:t xml:space="preserve">s COACH mark has achieved a substantial degree of recognition. That said, many of the articles submitted are dated </w:t>
      </w:r>
      <w:r w:rsidRPr="00ED0B13">
        <w:rPr>
          <w:i/>
          <w:iCs/>
        </w:rPr>
        <w:t>after</w:t>
      </w:r>
      <w:r w:rsidRPr="00ED0B13">
        <w:t xml:space="preserve"> Triumph filed its registration applications and thus do not show that CSI</w:t>
      </w:r>
      <w:r>
        <w:t>’</w:t>
      </w:r>
      <w:r w:rsidRPr="00ED0B13">
        <w:t xml:space="preserve">s mark was famous </w:t>
      </w:r>
      <w:r w:rsidRPr="00ED0B13">
        <w:rPr>
          <w:i/>
          <w:iCs/>
        </w:rPr>
        <w:t>prior</w:t>
      </w:r>
      <w:r w:rsidRPr="00ED0B13">
        <w:t xml:space="preserve"> to the filing date. </w:t>
      </w:r>
      <w:r w:rsidRPr="00ED0B13">
        <w:rPr>
          <w:i/>
          <w:iCs/>
        </w:rPr>
        <w:t>See Toro,</w:t>
      </w:r>
      <w:r w:rsidRPr="00ED0B13">
        <w:t xml:space="preserve"> 61 U.S.P.Q.2d at 1174 (</w:t>
      </w:r>
      <w:r>
        <w:t>“</w:t>
      </w:r>
      <w:r w:rsidRPr="00ED0B13">
        <w:t xml:space="preserve">an owner of an allegedly famous mark must establish that its mark had </w:t>
      </w:r>
      <w:r w:rsidRPr="00ED0B13">
        <w:lastRenderedPageBreak/>
        <w:t>become famous prior to the filing date of the trademark application</w:t>
      </w:r>
      <w:r>
        <w:t>”</w:t>
      </w:r>
      <w:r w:rsidRPr="00ED0B13">
        <w:t xml:space="preserve"> which it opposes). </w:t>
      </w:r>
      <w:proofErr w:type="gramStart"/>
      <w:r w:rsidRPr="00ED0B13">
        <w:t>And,</w:t>
      </w:r>
      <w:proofErr w:type="gramEnd"/>
      <w:r w:rsidRPr="00ED0B13">
        <w:t xml:space="preserve"> there is substantial evidence supporting the Board</w:t>
      </w:r>
      <w:r>
        <w:t>’</w:t>
      </w:r>
      <w:r w:rsidRPr="00ED0B13">
        <w:t>s determination that many of the references are limited to mentioning one of CSI</w:t>
      </w:r>
      <w:r>
        <w:t>’</w:t>
      </w:r>
      <w:r w:rsidRPr="00ED0B13">
        <w:t>s COACH products among other brands. Accordingly, even though there is some evidence of media attention, substantial evidence supports the Board</w:t>
      </w:r>
      <w:r>
        <w:t>’</w:t>
      </w:r>
      <w:r w:rsidRPr="00ED0B13">
        <w:t>s conclusion that the media evidence submitted fails to show widespread recognition.</w:t>
      </w:r>
    </w:p>
    <w:p w14:paraId="52864CB9" w14:textId="34EC5F11" w:rsidR="00746BCA" w:rsidRPr="00ED0B13" w:rsidRDefault="00746BCA" w:rsidP="00746BCA">
      <w:r w:rsidRPr="00ED0B13">
        <w:t xml:space="preserve">With respect to joint marketing efforts, CSI argued that other popular brands, including LEXUS and CANON, have used the COACH mark in connection with their products. The Board found that CSI </w:t>
      </w:r>
      <w:r>
        <w:t>“</w:t>
      </w:r>
      <w:r w:rsidRPr="00ED0B13">
        <w:t>failed to provide any testimony regarding the success of the joint marketing efforts and the effect of those efforts in promoting opposer</w:t>
      </w:r>
      <w:r>
        <w:t>’</w:t>
      </w:r>
      <w:r w:rsidRPr="00ED0B13">
        <w:t>s mark.</w:t>
      </w:r>
      <w:r>
        <w:t>”</w:t>
      </w:r>
      <w:r w:rsidRPr="00ED0B13">
        <w:t xml:space="preserve"> </w:t>
      </w:r>
      <w:r w:rsidRPr="00ED0B13">
        <w:rPr>
          <w:i/>
          <w:iCs/>
        </w:rPr>
        <w:t>Board Decision,</w:t>
      </w:r>
      <w:r w:rsidRPr="00ED0B13">
        <w:t xml:space="preserve"> 96 U.S.P.Q.2d at 1611, n. 37. We agree. Without evidence as to the success of these efforts or the terms of any contracts involved, they have little value here.</w:t>
      </w:r>
    </w:p>
    <w:p w14:paraId="053A37BE" w14:textId="6B07E20B" w:rsidR="00746BCA" w:rsidRPr="00ED0B13" w:rsidRDefault="00746BCA" w:rsidP="00746BCA">
      <w:r w:rsidRPr="00ED0B13">
        <w:t>Next, the Board found that CSI</w:t>
      </w:r>
      <w:r>
        <w:t>’</w:t>
      </w:r>
      <w:r w:rsidRPr="00ED0B13">
        <w:t xml:space="preserve">s 2008 brand awareness study was </w:t>
      </w:r>
      <w:r>
        <w:t>“</w:t>
      </w:r>
      <w:r w:rsidRPr="00ED0B13">
        <w:t>of dubious probative value</w:t>
      </w:r>
      <w:r>
        <w:t>”</w:t>
      </w:r>
      <w:r w:rsidRPr="00ED0B13">
        <w:t xml:space="preserve"> because it did not offer a witness with first-hand knowledge of the study to explain how it was conducted. </w:t>
      </w:r>
      <w:r w:rsidRPr="00ED0B13">
        <w:rPr>
          <w:i/>
          <w:iCs/>
        </w:rPr>
        <w:t>Id.</w:t>
      </w:r>
      <w:r w:rsidRPr="00ED0B13">
        <w:t xml:space="preserve"> at 1611. The Board further noted that, although the study showed a high level of brand awareness among women ages 13–24, it provided no evidence of brand awareness among women generally, or among men. </w:t>
      </w:r>
      <w:r w:rsidRPr="00ED0B13">
        <w:rPr>
          <w:i/>
          <w:iCs/>
        </w:rPr>
        <w:t>See Top Tobacco,</w:t>
      </w:r>
      <w:r w:rsidRPr="00ED0B13">
        <w:t xml:space="preserve"> 509 F.3d at 384 (noting that the TDRA eliminated the possibility of </w:t>
      </w:r>
      <w:r>
        <w:t>“</w:t>
      </w:r>
      <w:r w:rsidRPr="00ED0B13">
        <w:t>niche fame</w:t>
      </w:r>
      <w:r>
        <w:t>”</w:t>
      </w:r>
      <w:r w:rsidRPr="00ED0B13">
        <w:t xml:space="preserve"> as a basis for finding a mark famous). </w:t>
      </w:r>
      <w:proofErr w:type="gramStart"/>
      <w:r w:rsidRPr="00ED0B13">
        <w:t>And,</w:t>
      </w:r>
      <w:proofErr w:type="gramEnd"/>
      <w:r w:rsidRPr="00ED0B13">
        <w:t xml:space="preserve"> the survey was conducted in 2007, several years after Triumph filed its applications. Given these circumstances, we find no error in the Board</w:t>
      </w:r>
      <w:r>
        <w:t>’</w:t>
      </w:r>
      <w:r w:rsidRPr="00ED0B13">
        <w:t>s decision to give this survey limited weight. </w:t>
      </w:r>
    </w:p>
    <w:p w14:paraId="25792208" w14:textId="2877BC27" w:rsidR="00746BCA" w:rsidRPr="00ED0B13" w:rsidRDefault="00746BCA" w:rsidP="00746BCA">
      <w:r w:rsidRPr="00ED0B13">
        <w:t xml:space="preserve">CSI also argues that the Board failed to adequately consider two Second Circuit decisions finding that the hangtag attached to its various handbags, which features the COACH mark, is distinctive. </w:t>
      </w:r>
      <w:r w:rsidRPr="00ED0B13">
        <w:rPr>
          <w:i/>
          <w:iCs/>
        </w:rPr>
        <w:t xml:space="preserve">See Coach Leatherware Co., Inc. v. </w:t>
      </w:r>
      <w:proofErr w:type="spellStart"/>
      <w:r w:rsidRPr="00ED0B13">
        <w:rPr>
          <w:i/>
          <w:iCs/>
        </w:rPr>
        <w:t>AnnTaylor</w:t>
      </w:r>
      <w:proofErr w:type="spellEnd"/>
      <w:r w:rsidRPr="00ED0B13">
        <w:rPr>
          <w:i/>
          <w:iCs/>
        </w:rPr>
        <w:t>, Inc.,</w:t>
      </w:r>
      <w:r w:rsidRPr="00ED0B13">
        <w:t xml:space="preserve"> 933 F.2d 162, 166 (2d Cir. 1991) (finding that Coach</w:t>
      </w:r>
      <w:r>
        <w:t>’</w:t>
      </w:r>
      <w:r w:rsidRPr="00ED0B13">
        <w:t xml:space="preserve">s lozenge-shaped leather tags embossed with the name </w:t>
      </w:r>
      <w:r>
        <w:t>“</w:t>
      </w:r>
      <w:r w:rsidRPr="00ED0B13">
        <w:t>Coach Leatherware,</w:t>
      </w:r>
      <w:r>
        <w:t>”</w:t>
      </w:r>
      <w:r w:rsidRPr="00ED0B13">
        <w:t xml:space="preserve"> which are attached to Coach</w:t>
      </w:r>
      <w:r>
        <w:t>’</w:t>
      </w:r>
      <w:r w:rsidRPr="00ED0B13">
        <w:t xml:space="preserve">s handbags by beaded brass chains, </w:t>
      </w:r>
      <w:r>
        <w:t>“</w:t>
      </w:r>
      <w:r w:rsidRPr="00ED0B13">
        <w:t>have become distinctive and valuable through Coach</w:t>
      </w:r>
      <w:r>
        <w:t>’</w:t>
      </w:r>
      <w:r w:rsidRPr="00ED0B13">
        <w:t>s promotional efforts and by virtue of its upscale reputation</w:t>
      </w:r>
      <w:r>
        <w:t>”</w:t>
      </w:r>
      <w:r w:rsidRPr="00ED0B13">
        <w:t xml:space="preserve">); </w:t>
      </w:r>
      <w:r w:rsidRPr="00ED0B13">
        <w:rPr>
          <w:i/>
          <w:iCs/>
        </w:rPr>
        <w:t>see also Coach, Inc. v. We Care Trading Co., Inc.,</w:t>
      </w:r>
      <w:r w:rsidRPr="00ED0B13">
        <w:t xml:space="preserve"> 67 </w:t>
      </w:r>
      <w:proofErr w:type="spellStart"/>
      <w:r w:rsidRPr="00ED0B13">
        <w:t>Fed.Appx</w:t>
      </w:r>
      <w:proofErr w:type="spellEnd"/>
      <w:r w:rsidRPr="00ED0B13">
        <w:t>. 626, 630 (2d Cir. 2002) (affirming the jury</w:t>
      </w:r>
      <w:r>
        <w:t>’</w:t>
      </w:r>
      <w:r w:rsidRPr="00ED0B13">
        <w:t xml:space="preserve">s dilution verdict on grounds that </w:t>
      </w:r>
      <w:r>
        <w:t>“</w:t>
      </w:r>
      <w:r w:rsidRPr="00ED0B13">
        <w:t>the jury</w:t>
      </w:r>
      <w:r>
        <w:t>’</w:t>
      </w:r>
      <w:r w:rsidRPr="00ED0B13">
        <w:t>s determination that the hang tag was famous and distinctive was not unreasonable</w:t>
      </w:r>
      <w:r>
        <w:t>”</w:t>
      </w:r>
      <w:r w:rsidRPr="00ED0B13">
        <w:t xml:space="preserve"> and </w:t>
      </w:r>
      <w:r>
        <w:t>“</w:t>
      </w:r>
      <w:r w:rsidRPr="00ED0B13">
        <w:t>the substantial similarity of the two marks here coupled with the use of Coach</w:t>
      </w:r>
      <w:r>
        <w:t>’</w:t>
      </w:r>
      <w:r w:rsidRPr="00ED0B13">
        <w:t>s very distinctive hang tag shape amply justified the jury</w:t>
      </w:r>
      <w:r>
        <w:t>’</w:t>
      </w:r>
      <w:r w:rsidRPr="00ED0B13">
        <w:t>s verdict</w:t>
      </w:r>
      <w:r>
        <w:t>”</w:t>
      </w:r>
      <w:r w:rsidRPr="00ED0B13">
        <w:t xml:space="preserve">). Although the Board did not specifically address these cases, we agree with Triumph </w:t>
      </w:r>
      <w:bookmarkStart w:id="10" w:name="co_pp_sp_506_1376_1"/>
      <w:bookmarkEnd w:id="10"/>
      <w:r w:rsidRPr="00ED0B13">
        <w:t>that they are unrelated and irrelevant, particularly because: (1) the 1991 case did not involve a dilution claim; and (2) both cases focus on the hangtag feature on CSI</w:t>
      </w:r>
      <w:r>
        <w:t>’</w:t>
      </w:r>
      <w:r w:rsidRPr="00ED0B13">
        <w:t>s handbags, not on the alleged fame of the COACH mark generally.</w:t>
      </w:r>
    </w:p>
    <w:p w14:paraId="331B549D" w14:textId="1479FD43" w:rsidR="00746BCA" w:rsidRPr="00ED0B13" w:rsidRDefault="00746BCA" w:rsidP="00746BCA">
      <w:r w:rsidRPr="00ED0B13">
        <w:lastRenderedPageBreak/>
        <w:t>Based on the foregoing, we agree with the Board that CSI failed to provide sufficient evidence of fame for dilution purposes. Absent a showing of fame, CSI</w:t>
      </w:r>
      <w:r>
        <w:t>’</w:t>
      </w:r>
      <w:r w:rsidRPr="00ED0B13">
        <w:t>s dilution claim fails, and we need not address the remaining statutory factors for dilution by blurring.</w:t>
      </w:r>
    </w:p>
    <w:p w14:paraId="3A89DE5B" w14:textId="26F5A5B2" w:rsidR="00746BCA" w:rsidRPr="00ED0B13" w:rsidRDefault="00746BCA" w:rsidP="00746BCA">
      <w:r w:rsidRPr="00ED0B13">
        <w:t>Before moving on, we pause to emphasize the fact-specific nature of our holding today. While the burden to show fame in the dilution context is high—and higher than that for likelihood of confusion purposes—it is not insurmountable. We do not hold that CSI could never establish the requisite level of fame for dilution purposes. We hold only that, on the record presented to it, the Board had substantial support for its conclusion that CSI</w:t>
      </w:r>
      <w:r>
        <w:t>’</w:t>
      </w:r>
      <w:r w:rsidRPr="00ED0B13">
        <w:t>s evidentiary showing was just too weak to do so here.</w:t>
      </w:r>
    </w:p>
    <w:p w14:paraId="5624224C" w14:textId="77777777" w:rsidR="00EB3DF5" w:rsidRDefault="00EB3DF5"/>
    <w:sectPr w:rsidR="00EB3DF5" w:rsidSect="00CF6BD0">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F920C" w14:textId="77777777" w:rsidR="00DC744C" w:rsidRDefault="00DC744C" w:rsidP="00CF6BD0">
      <w:pPr>
        <w:spacing w:after="0" w:line="240" w:lineRule="auto"/>
      </w:pPr>
      <w:r>
        <w:separator/>
      </w:r>
    </w:p>
  </w:endnote>
  <w:endnote w:type="continuationSeparator" w:id="0">
    <w:p w14:paraId="7235B608" w14:textId="77777777" w:rsidR="00DC744C" w:rsidRDefault="00DC744C" w:rsidP="00CF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E058" w14:textId="77777777" w:rsidR="00CF6BD0" w:rsidRDefault="00CF6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706521"/>
      <w:docPartObj>
        <w:docPartGallery w:val="Page Numbers (Bottom of Page)"/>
        <w:docPartUnique/>
      </w:docPartObj>
    </w:sdtPr>
    <w:sdtContent>
      <w:sdt>
        <w:sdtPr>
          <w:id w:val="1728636285"/>
          <w:docPartObj>
            <w:docPartGallery w:val="Page Numbers (Top of Page)"/>
            <w:docPartUnique/>
          </w:docPartObj>
        </w:sdtPr>
        <w:sdtContent>
          <w:p w14:paraId="2300D6B7" w14:textId="322A047C" w:rsidR="00CF6BD0" w:rsidRDefault="00CF6BD0">
            <w:pPr>
              <w:pStyle w:val="Footer"/>
              <w:jc w:val="center"/>
            </w:pPr>
            <w:r w:rsidRPr="00CF6BD0">
              <w:rPr>
                <w:rFonts w:ascii="Georgia" w:hAnsi="Georgia"/>
                <w:szCs w:val="22"/>
              </w:rPr>
              <w:t xml:space="preserve">Page </w:t>
            </w:r>
            <w:r w:rsidRPr="00CF6BD0">
              <w:rPr>
                <w:rFonts w:ascii="Georgia" w:hAnsi="Georgia"/>
                <w:b/>
                <w:bCs/>
                <w:szCs w:val="22"/>
              </w:rPr>
              <w:fldChar w:fldCharType="begin"/>
            </w:r>
            <w:r w:rsidRPr="00CF6BD0">
              <w:rPr>
                <w:rFonts w:ascii="Georgia" w:hAnsi="Georgia"/>
                <w:b/>
                <w:bCs/>
                <w:szCs w:val="22"/>
              </w:rPr>
              <w:instrText xml:space="preserve"> PAGE </w:instrText>
            </w:r>
            <w:r w:rsidRPr="00CF6BD0">
              <w:rPr>
                <w:rFonts w:ascii="Georgia" w:hAnsi="Georgia"/>
                <w:b/>
                <w:bCs/>
                <w:szCs w:val="22"/>
              </w:rPr>
              <w:fldChar w:fldCharType="separate"/>
            </w:r>
            <w:r w:rsidRPr="00CF6BD0">
              <w:rPr>
                <w:rFonts w:ascii="Georgia" w:hAnsi="Georgia"/>
                <w:b/>
                <w:bCs/>
                <w:noProof/>
                <w:szCs w:val="22"/>
              </w:rPr>
              <w:t>2</w:t>
            </w:r>
            <w:r w:rsidRPr="00CF6BD0">
              <w:rPr>
                <w:rFonts w:ascii="Georgia" w:hAnsi="Georgia"/>
                <w:b/>
                <w:bCs/>
                <w:szCs w:val="22"/>
              </w:rPr>
              <w:fldChar w:fldCharType="end"/>
            </w:r>
            <w:r w:rsidRPr="00CF6BD0">
              <w:rPr>
                <w:rFonts w:ascii="Georgia" w:hAnsi="Georgia"/>
                <w:szCs w:val="22"/>
              </w:rPr>
              <w:t xml:space="preserve"> of </w:t>
            </w:r>
            <w:r w:rsidRPr="00CF6BD0">
              <w:rPr>
                <w:rFonts w:ascii="Georgia" w:hAnsi="Georgia"/>
                <w:b/>
                <w:bCs/>
                <w:szCs w:val="22"/>
              </w:rPr>
              <w:fldChar w:fldCharType="begin"/>
            </w:r>
            <w:r w:rsidRPr="00CF6BD0">
              <w:rPr>
                <w:rFonts w:ascii="Georgia" w:hAnsi="Georgia"/>
                <w:b/>
                <w:bCs/>
                <w:szCs w:val="22"/>
              </w:rPr>
              <w:instrText xml:space="preserve"> NUMPAGES  </w:instrText>
            </w:r>
            <w:r w:rsidRPr="00CF6BD0">
              <w:rPr>
                <w:rFonts w:ascii="Georgia" w:hAnsi="Georgia"/>
                <w:b/>
                <w:bCs/>
                <w:szCs w:val="22"/>
              </w:rPr>
              <w:fldChar w:fldCharType="separate"/>
            </w:r>
            <w:r w:rsidRPr="00CF6BD0">
              <w:rPr>
                <w:rFonts w:ascii="Georgia" w:hAnsi="Georgia"/>
                <w:b/>
                <w:bCs/>
                <w:noProof/>
                <w:szCs w:val="22"/>
              </w:rPr>
              <w:t>2</w:t>
            </w:r>
            <w:r w:rsidRPr="00CF6BD0">
              <w:rPr>
                <w:rFonts w:ascii="Georgia" w:hAnsi="Georgia"/>
                <w:b/>
                <w:bCs/>
                <w:szCs w:val="22"/>
              </w:rPr>
              <w:fldChar w:fldCharType="end"/>
            </w:r>
          </w:p>
        </w:sdtContent>
      </w:sdt>
    </w:sdtContent>
  </w:sdt>
  <w:p w14:paraId="25E83AED" w14:textId="77777777" w:rsidR="00CF6BD0" w:rsidRDefault="00CF6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E278" w14:textId="77777777" w:rsidR="00CF6BD0" w:rsidRDefault="00CF6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0EE4F" w14:textId="77777777" w:rsidR="00DC744C" w:rsidRDefault="00DC744C" w:rsidP="00CF6BD0">
      <w:pPr>
        <w:spacing w:after="0" w:line="240" w:lineRule="auto"/>
      </w:pPr>
      <w:r>
        <w:separator/>
      </w:r>
    </w:p>
  </w:footnote>
  <w:footnote w:type="continuationSeparator" w:id="0">
    <w:p w14:paraId="729ACA2E" w14:textId="77777777" w:rsidR="00DC744C" w:rsidRDefault="00DC744C" w:rsidP="00CF6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B9F9C" w14:textId="77777777" w:rsidR="00CF6BD0" w:rsidRDefault="00CF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2F7CB" w14:textId="77777777" w:rsidR="00CF6BD0" w:rsidRDefault="00CF6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08EE7" w14:textId="77777777" w:rsidR="00CF6BD0" w:rsidRDefault="00CF6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CA"/>
    <w:rsid w:val="000A4AD4"/>
    <w:rsid w:val="000C53B3"/>
    <w:rsid w:val="00746BCA"/>
    <w:rsid w:val="00A72F23"/>
    <w:rsid w:val="00CF6BD0"/>
    <w:rsid w:val="00DC744C"/>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319E"/>
  <w15:chartTrackingRefBased/>
  <w15:docId w15:val="{42F003B7-4B0C-4B53-AAAA-4A28449A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CA"/>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746BCA"/>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6BCA"/>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6BCA"/>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6BCA"/>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746BCA"/>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746BCA"/>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746BCA"/>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746BCA"/>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746BCA"/>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BCA"/>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746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BCA"/>
    <w:rPr>
      <w:rFonts w:eastAsiaTheme="majorEastAsia" w:cstheme="majorBidi"/>
      <w:color w:val="272727" w:themeColor="text1" w:themeTint="D8"/>
    </w:rPr>
  </w:style>
  <w:style w:type="paragraph" w:styleId="Title">
    <w:name w:val="Title"/>
    <w:basedOn w:val="Normal"/>
    <w:next w:val="Normal"/>
    <w:link w:val="TitleChar"/>
    <w:uiPriority w:val="10"/>
    <w:qFormat/>
    <w:rsid w:val="00746BCA"/>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BCA"/>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6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BCA"/>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746BCA"/>
    <w:rPr>
      <w:i/>
      <w:iCs/>
      <w:color w:val="404040" w:themeColor="text1" w:themeTint="BF"/>
    </w:rPr>
  </w:style>
  <w:style w:type="paragraph" w:styleId="ListParagraph">
    <w:name w:val="List Paragraph"/>
    <w:basedOn w:val="Normal"/>
    <w:uiPriority w:val="34"/>
    <w:qFormat/>
    <w:rsid w:val="00746BCA"/>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746BCA"/>
    <w:rPr>
      <w:i/>
      <w:iCs/>
      <w:color w:val="0F4761" w:themeColor="accent1" w:themeShade="BF"/>
    </w:rPr>
  </w:style>
  <w:style w:type="paragraph" w:styleId="IntenseQuote">
    <w:name w:val="Intense Quote"/>
    <w:basedOn w:val="Normal"/>
    <w:next w:val="Normal"/>
    <w:link w:val="IntenseQuoteChar"/>
    <w:uiPriority w:val="30"/>
    <w:qFormat/>
    <w:rsid w:val="00746BC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746BCA"/>
    <w:rPr>
      <w:i/>
      <w:iCs/>
      <w:color w:val="0F4761" w:themeColor="accent1" w:themeShade="BF"/>
    </w:rPr>
  </w:style>
  <w:style w:type="character" w:styleId="IntenseReference">
    <w:name w:val="Intense Reference"/>
    <w:basedOn w:val="DefaultParagraphFont"/>
    <w:uiPriority w:val="32"/>
    <w:qFormat/>
    <w:rsid w:val="00746BCA"/>
    <w:rPr>
      <w:b/>
      <w:bCs/>
      <w:smallCaps/>
      <w:color w:val="0F4761" w:themeColor="accent1" w:themeShade="BF"/>
      <w:spacing w:val="5"/>
    </w:rPr>
  </w:style>
  <w:style w:type="paragraph" w:customStyle="1" w:styleId="OpinionCitation">
    <w:name w:val="Opinion Citation"/>
    <w:basedOn w:val="Normal"/>
    <w:link w:val="OpinionCitationChar"/>
    <w:qFormat/>
    <w:rsid w:val="00746BCA"/>
    <w:pPr>
      <w:keepNext/>
      <w:spacing w:after="120"/>
      <w:ind w:firstLine="0"/>
    </w:pPr>
    <w:rPr>
      <w:b/>
    </w:rPr>
  </w:style>
  <w:style w:type="character" w:customStyle="1" w:styleId="OpinionCitationChar">
    <w:name w:val="Opinion Citation Char"/>
    <w:link w:val="OpinionCitation"/>
    <w:rsid w:val="00746BCA"/>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746BCA"/>
    <w:pPr>
      <w:ind w:left="576" w:right="576" w:firstLine="0"/>
    </w:pPr>
  </w:style>
  <w:style w:type="character" w:customStyle="1" w:styleId="BlockquoteChar">
    <w:name w:val="Blockquote Char"/>
    <w:link w:val="Blockquote"/>
    <w:rsid w:val="00746BCA"/>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746BCA"/>
    <w:pPr>
      <w:ind w:firstLine="0"/>
    </w:pPr>
  </w:style>
  <w:style w:type="character" w:customStyle="1" w:styleId="NormalNoIndentChar">
    <w:name w:val="Normal No Indent Char"/>
    <w:link w:val="NormalNoIndent"/>
    <w:rsid w:val="00746BCA"/>
    <w:rPr>
      <w:rFonts w:ascii="Cambria" w:eastAsia="Calibri" w:hAnsi="Cambria" w:cs="Times New Roman"/>
      <w:kern w:val="0"/>
      <w:szCs w:val="20"/>
      <w14:ligatures w14:val="none"/>
    </w:rPr>
  </w:style>
  <w:style w:type="paragraph" w:customStyle="1" w:styleId="Centered">
    <w:name w:val="Centered"/>
    <w:basedOn w:val="Normal"/>
    <w:link w:val="CenteredChar"/>
    <w:qFormat/>
    <w:rsid w:val="00746BCA"/>
    <w:pPr>
      <w:ind w:firstLine="0"/>
      <w:jc w:val="center"/>
    </w:pPr>
    <w:rPr>
      <w:i/>
      <w:iCs/>
    </w:rPr>
  </w:style>
  <w:style w:type="character" w:customStyle="1" w:styleId="CenteredChar">
    <w:name w:val="Centered Char"/>
    <w:link w:val="Centered"/>
    <w:rsid w:val="00746BCA"/>
    <w:rPr>
      <w:rFonts w:ascii="Cambria" w:eastAsia="Calibri" w:hAnsi="Cambria" w:cs="Times New Roman"/>
      <w:i/>
      <w:iCs/>
      <w:kern w:val="0"/>
      <w:szCs w:val="20"/>
      <w14:ligatures w14:val="none"/>
    </w:rPr>
  </w:style>
  <w:style w:type="paragraph" w:customStyle="1" w:styleId="NormalCentered">
    <w:name w:val="NormalCentered"/>
    <w:basedOn w:val="Normal"/>
    <w:link w:val="NormalCenteredChar"/>
    <w:qFormat/>
    <w:rsid w:val="00746BCA"/>
    <w:pPr>
      <w:ind w:firstLine="0"/>
      <w:jc w:val="center"/>
    </w:pPr>
  </w:style>
  <w:style w:type="character" w:customStyle="1" w:styleId="NormalCenteredChar">
    <w:name w:val="NormalCentered Char"/>
    <w:link w:val="NormalCentered"/>
    <w:rsid w:val="00746BCA"/>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CF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D0"/>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CF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D0"/>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1646</Words>
  <Characters>9383</Characters>
  <Application>Microsoft Office Word</Application>
  <DocSecurity>0</DocSecurity>
  <Lines>78</Lines>
  <Paragraphs>22</Paragraphs>
  <ScaleCrop>false</ScaleCrop>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2024-07-15T22:28:00Z</dcterms:created>
  <dcterms:modified xsi:type="dcterms:W3CDTF">2024-07-22T14:29:00Z</dcterms:modified>
</cp:coreProperties>
</file>