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E86E" w14:textId="77777777" w:rsidR="003010EC" w:rsidRPr="00F16D8F" w:rsidRDefault="003010EC">
      <w:pPr>
        <w:pBdr>
          <w:top w:val="none" w:sz="0" w:space="4" w:color="auto"/>
        </w:pBdr>
        <w:spacing w:after="0" w:line="275" w:lineRule="atLeast"/>
        <w:jc w:val="both"/>
        <w:rPr>
          <w:rFonts w:ascii="Georgia" w:hAnsi="Georgia"/>
          <w:color w:val="000000" w:themeColor="text1"/>
          <w:sz w:val="22"/>
          <w:szCs w:val="22"/>
        </w:rPr>
      </w:pPr>
      <w:bookmarkStart w:id="0" w:name="I155fc780829211f0a90cbafb7d974b2d_Targe"/>
      <w:bookmarkStart w:id="1" w:name="co_document_1"/>
      <w:bookmarkEnd w:id="0"/>
    </w:p>
    <w:bookmarkEnd w:id="1"/>
    <w:p w14:paraId="4EC5AD16" w14:textId="07F5D39E" w:rsidR="003010EC" w:rsidRPr="00F16D8F" w:rsidRDefault="003010EC">
      <w:pPr>
        <w:spacing w:after="0" w:line="275" w:lineRule="atLeast"/>
        <w:jc w:val="center"/>
        <w:rPr>
          <w:rFonts w:ascii="Georgia" w:hAnsi="Georgia"/>
          <w:color w:val="000000" w:themeColor="text1"/>
          <w:sz w:val="22"/>
          <w:szCs w:val="22"/>
        </w:rPr>
      </w:pPr>
    </w:p>
    <w:p w14:paraId="108DF8D7" w14:textId="1F7FE48E" w:rsidR="003010EC" w:rsidRPr="00F16D8F" w:rsidRDefault="00F16D8F" w:rsidP="00F16D8F">
      <w:pPr>
        <w:spacing w:after="0" w:line="240" w:lineRule="auto"/>
        <w:jc w:val="center"/>
        <w:rPr>
          <w:rFonts w:ascii="Georgia" w:hAnsi="Georgia"/>
          <w:b/>
          <w:bCs/>
          <w:color w:val="000000" w:themeColor="text1"/>
          <w:sz w:val="32"/>
          <w:szCs w:val="32"/>
        </w:rPr>
      </w:pPr>
      <w:r w:rsidRPr="00F16D8F">
        <w:rPr>
          <w:rFonts w:ascii="Georgia" w:hAnsi="Georgia"/>
          <w:b/>
          <w:bCs/>
          <w:color w:val="000000" w:themeColor="text1"/>
          <w:sz w:val="32"/>
          <w:szCs w:val="32"/>
        </w:rPr>
        <w:t>IN RE: Erik BRUNETTI</w:t>
      </w:r>
    </w:p>
    <w:p w14:paraId="070772B5" w14:textId="15C9F1FE" w:rsidR="00F16D8F" w:rsidRPr="00F16D8F" w:rsidRDefault="00F16D8F" w:rsidP="00F16D8F">
      <w:pPr>
        <w:pBdr>
          <w:left w:val="none" w:sz="0" w:space="8" w:color="auto"/>
        </w:pBdr>
        <w:spacing w:after="0" w:line="240" w:lineRule="auto"/>
        <w:ind w:left="150"/>
        <w:jc w:val="center"/>
        <w:rPr>
          <w:rFonts w:ascii="Georgia" w:hAnsi="Georgia"/>
          <w:b/>
          <w:bCs/>
          <w:color w:val="000000" w:themeColor="text1"/>
          <w:sz w:val="22"/>
          <w:szCs w:val="22"/>
        </w:rPr>
      </w:pPr>
      <w:r w:rsidRPr="00F16D8F">
        <w:rPr>
          <w:rFonts w:ascii="Georgia" w:hAnsi="Georgia"/>
          <w:b/>
          <w:bCs/>
          <w:color w:val="000000" w:themeColor="text1"/>
          <w:sz w:val="22"/>
          <w:szCs w:val="22"/>
        </w:rPr>
        <w:t>2025 WL 2446503</w:t>
      </w:r>
      <w:r w:rsidRPr="00F16D8F">
        <w:rPr>
          <w:rFonts w:ascii="Georgia" w:hAnsi="Georgia"/>
          <w:b/>
          <w:bCs/>
          <w:color w:val="000000" w:themeColor="text1"/>
          <w:sz w:val="22"/>
          <w:szCs w:val="22"/>
        </w:rPr>
        <w:t xml:space="preserve"> (Fed. Cir. </w:t>
      </w:r>
      <w:r w:rsidRPr="00F16D8F">
        <w:rPr>
          <w:rFonts w:ascii="Georgia" w:hAnsi="Georgia"/>
          <w:b/>
          <w:bCs/>
          <w:color w:val="000000" w:themeColor="text1"/>
          <w:sz w:val="22"/>
          <w:szCs w:val="22"/>
        </w:rPr>
        <w:t>August 26, 2025</w:t>
      </w:r>
      <w:r w:rsidRPr="00F16D8F">
        <w:rPr>
          <w:rFonts w:ascii="Georgia" w:hAnsi="Georgia"/>
          <w:b/>
          <w:bCs/>
          <w:color w:val="000000" w:themeColor="text1"/>
          <w:sz w:val="22"/>
          <w:szCs w:val="22"/>
        </w:rPr>
        <w:t>)</w:t>
      </w:r>
    </w:p>
    <w:p w14:paraId="3283B157" w14:textId="77777777" w:rsidR="003010EC" w:rsidRPr="00F16D8F" w:rsidRDefault="00000000">
      <w:pPr>
        <w:spacing w:before="200" w:after="0" w:line="275" w:lineRule="atLeast"/>
        <w:jc w:val="both"/>
        <w:rPr>
          <w:rFonts w:ascii="Georgia" w:hAnsi="Georgia"/>
          <w:color w:val="000000" w:themeColor="text1"/>
          <w:sz w:val="22"/>
          <w:szCs w:val="22"/>
        </w:rPr>
      </w:pPr>
      <w:hyperlink r:id="rId7">
        <w:r w:rsidRPr="00F16D8F">
          <w:rPr>
            <w:rFonts w:ascii="Georgia" w:hAnsi="Georgia"/>
            <w:color w:val="000000" w:themeColor="text1"/>
            <w:sz w:val="22"/>
            <w:szCs w:val="22"/>
          </w:rPr>
          <w:t>Dyk</w:t>
        </w:r>
      </w:hyperlink>
      <w:r w:rsidRPr="00F16D8F">
        <w:rPr>
          <w:rFonts w:ascii="Georgia" w:hAnsi="Georgia"/>
          <w:color w:val="000000" w:themeColor="text1"/>
          <w:sz w:val="22"/>
          <w:szCs w:val="22"/>
        </w:rPr>
        <w:t>, Circuit Judge.</w:t>
      </w:r>
    </w:p>
    <w:p w14:paraId="3A959641" w14:textId="75B3E616" w:rsidR="003010EC" w:rsidRPr="00F16D8F" w:rsidRDefault="00000000" w:rsidP="00F16D8F">
      <w:pPr>
        <w:spacing w:before="200" w:after="0" w:line="275" w:lineRule="atLeast"/>
        <w:ind w:firstLine="720"/>
        <w:jc w:val="both"/>
        <w:rPr>
          <w:rFonts w:ascii="Georgia" w:hAnsi="Georgia"/>
          <w:color w:val="000000" w:themeColor="text1"/>
          <w:sz w:val="22"/>
          <w:szCs w:val="22"/>
        </w:rPr>
      </w:pPr>
      <w:bookmarkStart w:id="2" w:name="co_anchor_I51853ed1841211f09b889397c184"/>
      <w:r w:rsidRPr="00F16D8F">
        <w:rPr>
          <w:rFonts w:ascii="Georgia" w:hAnsi="Georgia"/>
          <w:color w:val="000000" w:themeColor="text1"/>
          <w:sz w:val="22"/>
          <w:szCs w:val="22"/>
        </w:rPr>
        <w:t xml:space="preserve">Erik Brunetti appeals a decision of the Trademark Trial and Appeal Board (“Board”). The Board affirmed the examining attorney's refusal to register the word FUCK as a trademark for certain goods and services because it failed to function as a trademark. </w:t>
      </w:r>
      <w:hyperlink r:id="rId8">
        <w:r w:rsidRPr="00F16D8F">
          <w:rPr>
            <w:rFonts w:ascii="Georgia" w:hAnsi="Georgia"/>
            <w:i/>
            <w:color w:val="000000" w:themeColor="text1"/>
            <w:sz w:val="22"/>
            <w:szCs w:val="22"/>
          </w:rPr>
          <w:t>In re Brunetti</w:t>
        </w:r>
        <w:r w:rsidRPr="00F16D8F">
          <w:rPr>
            <w:rFonts w:ascii="Georgia" w:hAnsi="Georgia"/>
            <w:color w:val="000000" w:themeColor="text1"/>
            <w:sz w:val="22"/>
            <w:szCs w:val="22"/>
          </w:rPr>
          <w:t>, No. 88308426, 2022 WL 3644733 (T.T.A.B. Aug. 22, 2022)</w:t>
        </w:r>
      </w:hyperlink>
      <w:r w:rsidRPr="00F16D8F">
        <w:rPr>
          <w:rFonts w:ascii="Georgia" w:hAnsi="Georgia"/>
          <w:color w:val="000000" w:themeColor="text1"/>
          <w:sz w:val="22"/>
          <w:szCs w:val="22"/>
        </w:rPr>
        <w:t xml:space="preserve">. We reject many of Mr. Brunetti's arguments but nonetheless conclude that the decision of the Board lacks sufficient clarity, and, accordingly, we vacate </w:t>
      </w:r>
      <w:proofErr w:type="gramStart"/>
      <w:r w:rsidRPr="00F16D8F">
        <w:rPr>
          <w:rFonts w:ascii="Georgia" w:hAnsi="Georgia"/>
          <w:color w:val="000000" w:themeColor="text1"/>
          <w:sz w:val="22"/>
          <w:szCs w:val="22"/>
        </w:rPr>
        <w:t>and</w:t>
      </w:r>
      <w:proofErr w:type="gramEnd"/>
      <w:r w:rsidRPr="00F16D8F">
        <w:rPr>
          <w:rFonts w:ascii="Georgia" w:hAnsi="Georgia"/>
          <w:color w:val="000000" w:themeColor="text1"/>
          <w:sz w:val="22"/>
          <w:szCs w:val="22"/>
        </w:rPr>
        <w:t xml:space="preserve"> </w:t>
      </w:r>
      <w:proofErr w:type="gramStart"/>
      <w:r w:rsidRPr="00F16D8F">
        <w:rPr>
          <w:rFonts w:ascii="Georgia" w:hAnsi="Georgia"/>
          <w:color w:val="000000" w:themeColor="text1"/>
          <w:sz w:val="22"/>
          <w:szCs w:val="22"/>
        </w:rPr>
        <w:t>remand</w:t>
      </w:r>
      <w:proofErr w:type="gramEnd"/>
      <w:r w:rsidRPr="00F16D8F">
        <w:rPr>
          <w:rFonts w:ascii="Georgia" w:hAnsi="Georgia"/>
          <w:color w:val="000000" w:themeColor="text1"/>
          <w:sz w:val="22"/>
          <w:szCs w:val="22"/>
        </w:rPr>
        <w:t xml:space="preserve"> for further proceedings.</w:t>
      </w:r>
      <w:bookmarkEnd w:id="2"/>
    </w:p>
    <w:p w14:paraId="17B210BC" w14:textId="77777777" w:rsidR="003010EC" w:rsidRPr="00F16D8F" w:rsidRDefault="00000000">
      <w:pPr>
        <w:spacing w:before="400" w:after="0" w:line="275" w:lineRule="atLeast"/>
        <w:jc w:val="center"/>
        <w:rPr>
          <w:rFonts w:ascii="Georgia" w:hAnsi="Georgia"/>
          <w:b/>
          <w:bCs/>
          <w:color w:val="000000" w:themeColor="text1"/>
          <w:sz w:val="22"/>
          <w:szCs w:val="22"/>
        </w:rPr>
      </w:pPr>
      <w:bookmarkStart w:id="3" w:name="co_anchor_I5185b401841211f09b889397c184"/>
      <w:r w:rsidRPr="00F16D8F">
        <w:rPr>
          <w:rFonts w:ascii="Georgia" w:hAnsi="Georgia"/>
          <w:b/>
          <w:bCs/>
          <w:color w:val="000000" w:themeColor="text1"/>
          <w:sz w:val="22"/>
          <w:szCs w:val="22"/>
        </w:rPr>
        <w:t>Background</w:t>
      </w:r>
    </w:p>
    <w:bookmarkEnd w:id="3"/>
    <w:p w14:paraId="2538C86D" w14:textId="7245C544" w:rsidR="003010EC" w:rsidRPr="00F16D8F" w:rsidRDefault="00000000" w:rsidP="00F16D8F">
      <w:pPr>
        <w:spacing w:before="200"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In February 2019, Mr. Brunetti filed four intent-to-use trademark registration applications. He sought registration on the principal register of the standard character mark FUCK (the “proposed mark” or the “applied-for mark”) for (1) goods including sunglasses and carrying cases for cell phones, laptops, and glasses;</w:t>
      </w:r>
      <w:bookmarkStart w:id="4" w:name="co_fnRef_B00012057667919_ID0E3OBG_1"/>
      <w:r w:rsidR="004A27E3" w:rsidRPr="00F16D8F">
        <w:rPr>
          <w:rStyle w:val="FootnoteReference"/>
          <w:rFonts w:ascii="Georgia" w:hAnsi="Georgia"/>
          <w:color w:val="000000" w:themeColor="text1"/>
          <w:sz w:val="22"/>
          <w:szCs w:val="22"/>
        </w:rPr>
        <w:footnoteReference w:id="1"/>
      </w:r>
      <w:bookmarkEnd w:id="4"/>
      <w:r w:rsidRPr="00F16D8F">
        <w:rPr>
          <w:rFonts w:ascii="Georgia" w:hAnsi="Georgia"/>
          <w:color w:val="000000" w:themeColor="text1"/>
          <w:sz w:val="22"/>
          <w:szCs w:val="22"/>
        </w:rPr>
        <w:t xml:space="preserve"> jewelry, watches, and related products;</w:t>
      </w:r>
      <w:bookmarkStart w:id="5" w:name="co_fnRef_B00022057667919_ID0EDPBG_1"/>
      <w:r w:rsidR="004A27E3" w:rsidRPr="00F16D8F">
        <w:rPr>
          <w:rStyle w:val="FootnoteReference"/>
          <w:rFonts w:ascii="Georgia" w:hAnsi="Georgia"/>
          <w:color w:val="000000" w:themeColor="text1"/>
          <w:sz w:val="22"/>
          <w:szCs w:val="22"/>
        </w:rPr>
        <w:footnoteReference w:id="2"/>
      </w:r>
      <w:bookmarkEnd w:id="5"/>
      <w:r w:rsidRPr="00F16D8F">
        <w:rPr>
          <w:rFonts w:ascii="Georgia" w:hAnsi="Georgia"/>
          <w:color w:val="000000" w:themeColor="text1"/>
          <w:sz w:val="22"/>
          <w:szCs w:val="22"/>
        </w:rPr>
        <w:t xml:space="preserve"> backpacks, wallets, luggage, and other bags;</w:t>
      </w:r>
      <w:bookmarkStart w:id="6" w:name="co_fnRef_B00032057667919_ID0EKPBG_1"/>
      <w:r w:rsidR="004A27E3" w:rsidRPr="00F16D8F">
        <w:rPr>
          <w:rStyle w:val="FootnoteReference"/>
          <w:rFonts w:ascii="Georgia" w:hAnsi="Georgia"/>
          <w:color w:val="000000" w:themeColor="text1"/>
          <w:sz w:val="22"/>
          <w:szCs w:val="22"/>
        </w:rPr>
        <w:footnoteReference w:id="3"/>
      </w:r>
      <w:bookmarkEnd w:id="6"/>
      <w:r w:rsidRPr="00F16D8F">
        <w:rPr>
          <w:rFonts w:ascii="Georgia" w:hAnsi="Georgia"/>
          <w:color w:val="000000" w:themeColor="text1"/>
          <w:sz w:val="22"/>
          <w:szCs w:val="22"/>
        </w:rPr>
        <w:t xml:space="preserve"> and (2) services including retail store services featuring the aforementioned goods and a wide variety of other consumer goods.</w:t>
      </w:r>
      <w:bookmarkStart w:id="7" w:name="co_fnRef_B00042057667919_ID0ERPBG_1"/>
      <w:r w:rsidR="004A27E3" w:rsidRPr="00F16D8F">
        <w:rPr>
          <w:rStyle w:val="FootnoteReference"/>
          <w:rFonts w:ascii="Georgia" w:hAnsi="Georgia"/>
          <w:color w:val="000000" w:themeColor="text1"/>
          <w:sz w:val="22"/>
          <w:szCs w:val="22"/>
        </w:rPr>
        <w:footnoteReference w:id="4"/>
      </w:r>
      <w:bookmarkEnd w:id="7"/>
      <w:r w:rsidRPr="00F16D8F">
        <w:rPr>
          <w:rFonts w:ascii="Georgia" w:hAnsi="Georgia"/>
          <w:color w:val="000000" w:themeColor="text1"/>
          <w:sz w:val="22"/>
          <w:szCs w:val="22"/>
        </w:rPr>
        <w:t xml:space="preserve">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1–2.</w:t>
      </w:r>
      <w:bookmarkStart w:id="8" w:name="co_fnRef_B00052057667919_ID0E2PBG_1"/>
      <w:r w:rsidR="004A27E3" w:rsidRPr="00F16D8F">
        <w:rPr>
          <w:rStyle w:val="FootnoteReference"/>
          <w:rFonts w:ascii="Georgia" w:hAnsi="Georgia"/>
          <w:color w:val="000000" w:themeColor="text1"/>
          <w:sz w:val="22"/>
          <w:szCs w:val="22"/>
        </w:rPr>
        <w:footnoteReference w:id="5"/>
      </w:r>
      <w:bookmarkEnd w:id="8"/>
      <w:r w:rsidR="004A27E3" w:rsidRPr="00F16D8F">
        <w:rPr>
          <w:rFonts w:ascii="Georgia" w:hAnsi="Georgia"/>
          <w:color w:val="000000" w:themeColor="text1"/>
          <w:sz w:val="22"/>
          <w:szCs w:val="22"/>
        </w:rPr>
        <w:t xml:space="preserve"> </w:t>
      </w:r>
    </w:p>
    <w:p w14:paraId="0E6DC60F"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30CAF84F" w14:textId="221B1BF2"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After issuing non-final refusals and receiving responses from Mr. Brunetti,</w:t>
      </w:r>
      <w:bookmarkStart w:id="9" w:name="co_fnRef_B00062057667919_ID0EPSBG_1"/>
      <w:r w:rsidR="004A27E3" w:rsidRPr="00F16D8F">
        <w:rPr>
          <w:rStyle w:val="FootnoteReference"/>
          <w:rFonts w:ascii="Georgia" w:hAnsi="Georgia"/>
          <w:color w:val="000000" w:themeColor="text1"/>
          <w:sz w:val="22"/>
          <w:szCs w:val="22"/>
        </w:rPr>
        <w:footnoteReference w:id="6"/>
      </w:r>
      <w:bookmarkEnd w:id="9"/>
      <w:r w:rsidRPr="00F16D8F">
        <w:rPr>
          <w:rFonts w:ascii="Georgia" w:hAnsi="Georgia"/>
          <w:color w:val="000000" w:themeColor="text1"/>
          <w:sz w:val="22"/>
          <w:szCs w:val="22"/>
        </w:rPr>
        <w:t xml:space="preserve"> the United States Patent and Trademark Office (“PTO”) examining attorney refused the trademark applications on the ground that “the applied-for mark is a slogan or term that does not function as a trademark or service mark to indicate the source of applicant's goods and/or services and to identify and distinguish </w:t>
      </w:r>
      <w:r w:rsidRPr="00F16D8F">
        <w:rPr>
          <w:rFonts w:ascii="Georgia" w:hAnsi="Georgia"/>
          <w:color w:val="000000" w:themeColor="text1"/>
          <w:sz w:val="22"/>
          <w:szCs w:val="22"/>
        </w:rPr>
        <w:lastRenderedPageBreak/>
        <w:t xml:space="preserve">them from others.”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191; </w:t>
      </w:r>
      <w:r w:rsidRPr="00F16D8F">
        <w:rPr>
          <w:rFonts w:ascii="Georgia" w:hAnsi="Georgia"/>
          <w:i/>
          <w:color w:val="000000" w:themeColor="text1"/>
          <w:sz w:val="22"/>
          <w:szCs w:val="22"/>
        </w:rPr>
        <w:t>accord</w:t>
      </w:r>
      <w:r w:rsidRPr="00F16D8F">
        <w:rPr>
          <w:rFonts w:ascii="Georgia" w:hAnsi="Georgia"/>
          <w:color w:val="000000" w:themeColor="text1"/>
          <w:sz w:val="22"/>
          <w:szCs w:val="22"/>
        </w:rPr>
        <w:t xml:space="preserve">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2048, 2641, 3113.</w:t>
      </w:r>
      <w:bookmarkStart w:id="10" w:name="co_fnRef_B00072057667919_ID0EDTBG_1"/>
      <w:r w:rsidR="004A27E3" w:rsidRPr="00F16D8F">
        <w:rPr>
          <w:rStyle w:val="FootnoteReference"/>
          <w:rFonts w:ascii="Georgia" w:hAnsi="Georgia"/>
          <w:color w:val="000000" w:themeColor="text1"/>
          <w:sz w:val="22"/>
          <w:szCs w:val="22"/>
        </w:rPr>
        <w:footnoteReference w:id="7"/>
      </w:r>
      <w:bookmarkEnd w:id="10"/>
      <w:r w:rsidRPr="00F16D8F">
        <w:rPr>
          <w:rFonts w:ascii="Georgia" w:hAnsi="Georgia"/>
          <w:color w:val="000000" w:themeColor="text1"/>
          <w:sz w:val="22"/>
          <w:szCs w:val="22"/>
        </w:rPr>
        <w:t xml:space="preserve"> The examining attorney refused the applications under the heading “Refusal under Trademark Act Sections 1, 2, 3, and 45—Widely-used Commonplace Wording.” </w:t>
      </w:r>
      <w:r w:rsidRPr="00F16D8F">
        <w:rPr>
          <w:rFonts w:ascii="Georgia" w:hAnsi="Georgia"/>
          <w:i/>
          <w:color w:val="000000" w:themeColor="text1"/>
          <w:sz w:val="22"/>
          <w:szCs w:val="22"/>
        </w:rPr>
        <w:t>Id.</w:t>
      </w:r>
      <w:r w:rsidRPr="00F16D8F">
        <w:rPr>
          <w:rFonts w:ascii="Georgia" w:hAnsi="Georgia"/>
          <w:color w:val="000000" w:themeColor="text1"/>
          <w:sz w:val="22"/>
          <w:szCs w:val="22"/>
        </w:rPr>
        <w:t xml:space="preserve"> In relation to the jewelry and related goods application, for example, the examining attorney explained “the applied-for mark is a commonplace term, message, or expression widely used by a variety of sources that merely conveys an ordinary, familiar, well-recognized concept or sentiment.” </w:t>
      </w:r>
      <w:r w:rsidRPr="00F16D8F">
        <w:rPr>
          <w:rFonts w:ascii="Georgia" w:hAnsi="Georgia"/>
          <w:i/>
          <w:color w:val="000000" w:themeColor="text1"/>
          <w:sz w:val="22"/>
          <w:szCs w:val="22"/>
        </w:rPr>
        <w:t>Id.</w:t>
      </w:r>
      <w:r w:rsidRPr="00F16D8F">
        <w:rPr>
          <w:rFonts w:ascii="Georgia" w:hAnsi="Georgia"/>
          <w:color w:val="000000" w:themeColor="text1"/>
          <w:sz w:val="22"/>
          <w:szCs w:val="22"/>
        </w:rPr>
        <w:t xml:space="preserve"> The examining attorney “attached evidence from multiple internet websites and internet based periodicals [to] show[ ] that the term FUCK is commonly used as a versatile expression that conveys a wide range of emotion, from disdain to joy.”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192; </w:t>
      </w:r>
      <w:r w:rsidRPr="00F16D8F">
        <w:rPr>
          <w:rFonts w:ascii="Georgia" w:hAnsi="Georgia"/>
          <w:i/>
          <w:color w:val="000000" w:themeColor="text1"/>
          <w:sz w:val="22"/>
          <w:szCs w:val="22"/>
        </w:rPr>
        <w:t>see</w:t>
      </w:r>
      <w:r w:rsidRPr="00F16D8F">
        <w:rPr>
          <w:rFonts w:ascii="Georgia" w:hAnsi="Georgia"/>
          <w:color w:val="000000" w:themeColor="text1"/>
          <w:sz w:val="22"/>
          <w:szCs w:val="22"/>
        </w:rPr>
        <w:t xml:space="preserve">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195–382 (attached evidence). The evidence included images of jewelry and other goods with no connection to Mr. Brunetti marketed on websites. </w:t>
      </w:r>
      <w:r w:rsidRPr="00F16D8F">
        <w:rPr>
          <w:rFonts w:ascii="Georgia" w:hAnsi="Georgia"/>
          <w:i/>
          <w:color w:val="000000" w:themeColor="text1"/>
          <w:sz w:val="22"/>
          <w:szCs w:val="22"/>
        </w:rPr>
        <w:t>See, e.g.</w:t>
      </w:r>
      <w:r w:rsidRPr="00F16D8F">
        <w:rPr>
          <w:rFonts w:ascii="Georgia" w:hAnsi="Georgia"/>
          <w:color w:val="000000" w:themeColor="text1"/>
          <w:sz w:val="22"/>
          <w:szCs w:val="22"/>
        </w:rPr>
        <w:t xml:space="preserve">,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289–339.</w:t>
      </w:r>
    </w:p>
    <w:p w14:paraId="75A4CC6E"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0952DC8B" w14:textId="77919506"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On August 22, 2022, the Board in a precedential opinion affirmed the refusals to register the proposed mark for failure to function as a mark. The Board concluded that “[m]ere commonality[ ] ... is not the test” for a failure to function refusal but, instead, the Board “must assess whether Applicant's proposed mark, [FUCK], functions as a mark based on whether the relevant public, i.e. purchasers or potential purchasers of the identified [ ] goods and [ ] services ... would perceive [FUCK] as identifying the source or origin of such goods and services.”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36 (quoting </w:t>
      </w:r>
      <w:hyperlink r:id="rId9" w:anchor="co_pp_sp_999_3">
        <w:r w:rsidRPr="00F16D8F">
          <w:rPr>
            <w:rFonts w:ascii="Georgia" w:hAnsi="Georgia"/>
            <w:i/>
            <w:color w:val="000000" w:themeColor="text1"/>
            <w:sz w:val="22"/>
            <w:szCs w:val="22"/>
          </w:rPr>
          <w:t>In re Team Jesus LLC</w:t>
        </w:r>
        <w:r w:rsidRPr="00F16D8F">
          <w:rPr>
            <w:rFonts w:ascii="Georgia" w:hAnsi="Georgia"/>
            <w:color w:val="000000" w:themeColor="text1"/>
            <w:sz w:val="22"/>
            <w:szCs w:val="22"/>
          </w:rPr>
          <w:t>, 2020 U.S.P.Q.2d 11489, 2020 WL 7312021, at *3 (T.T.A.B. 2020)</w:t>
        </w:r>
      </w:hyperlink>
      <w:r w:rsidRPr="00F16D8F">
        <w:rPr>
          <w:rFonts w:ascii="Georgia" w:hAnsi="Georgia"/>
          <w:color w:val="000000" w:themeColor="text1"/>
          <w:sz w:val="22"/>
          <w:szCs w:val="22"/>
        </w:rPr>
        <w:t xml:space="preserve">) (alterations in original). But the Board explained that “[m]atter may be merely informational and fail to function as a trademark if it is a common term or phrase that consumers of the goods or services identified in the application are accustomed to seeing used by various sources to convey ordinary, familiar, or generally understood concepts or sentiments.”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12. “[T]here are designations, including certain widely-used messages, which are inherently incapable of being regarded as source indicators.”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34–35. “Such widely used messages will be understood as merely conveying the ordinary concept or sentiment normally associated with them, rather than serving any source-indicating function.”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12.</w:t>
      </w:r>
    </w:p>
    <w:p w14:paraId="4AE38102"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14D912A1" w14:textId="77777777" w:rsidR="003010EC" w:rsidRPr="00F16D8F" w:rsidRDefault="00000000" w:rsidP="00F16D8F">
      <w:pPr>
        <w:spacing w:after="0" w:line="275" w:lineRule="atLeast"/>
        <w:ind w:firstLine="480"/>
        <w:jc w:val="both"/>
        <w:rPr>
          <w:rFonts w:ascii="Georgia" w:hAnsi="Georgia"/>
          <w:color w:val="000000" w:themeColor="text1"/>
          <w:sz w:val="22"/>
          <w:szCs w:val="22"/>
        </w:rPr>
      </w:pPr>
      <w:r w:rsidRPr="00F16D8F">
        <w:rPr>
          <w:rFonts w:ascii="Georgia" w:hAnsi="Georgia"/>
          <w:color w:val="000000" w:themeColor="text1"/>
          <w:sz w:val="22"/>
          <w:szCs w:val="22"/>
        </w:rPr>
        <w:t xml:space="preserve">The Board then considered the ubiquity of the applied-for mark, explaining that “FUCK is no ordinary word, but rather one that has acquired a multitude of recognized meanings ..., and whose popularity has soared over the years” such that it is “arguably one of the most expressive words in the English language—an ‘all-purpose word.’ ”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38–39. Next, the Board considered the applied-for mark's use in the marketplace, explaining that “[p]</w:t>
      </w:r>
      <w:proofErr w:type="spellStart"/>
      <w:r w:rsidRPr="00F16D8F">
        <w:rPr>
          <w:rFonts w:ascii="Georgia" w:hAnsi="Georgia"/>
          <w:color w:val="000000" w:themeColor="text1"/>
          <w:sz w:val="22"/>
          <w:szCs w:val="22"/>
        </w:rPr>
        <w:t>rominent</w:t>
      </w:r>
      <w:proofErr w:type="spellEnd"/>
      <w:r w:rsidRPr="00F16D8F">
        <w:rPr>
          <w:rFonts w:ascii="Georgia" w:hAnsi="Georgia"/>
          <w:color w:val="000000" w:themeColor="text1"/>
          <w:sz w:val="22"/>
          <w:szCs w:val="22"/>
        </w:rPr>
        <w:t xml:space="preserve"> use of an applied-for-</w:t>
      </w:r>
      <w:r w:rsidRPr="00F16D8F">
        <w:rPr>
          <w:rFonts w:ascii="Georgia" w:hAnsi="Georgia"/>
          <w:color w:val="000000" w:themeColor="text1"/>
          <w:sz w:val="22"/>
          <w:szCs w:val="22"/>
        </w:rPr>
        <w:lastRenderedPageBreak/>
        <w:t xml:space="preserve">mark, as shown in the examples of record, ‘is probative in determining whether a term or phrase would be perceived in the marketplace as a trademark or as a widely used message.’ ”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44 (citing </w:t>
      </w:r>
      <w:hyperlink r:id="rId10" w:anchor="co_pp_sp_999_5">
        <w:r w:rsidRPr="00F16D8F">
          <w:rPr>
            <w:rFonts w:ascii="Georgia" w:hAnsi="Georgia"/>
            <w:i/>
            <w:color w:val="000000" w:themeColor="text1"/>
            <w:sz w:val="22"/>
            <w:szCs w:val="22"/>
          </w:rPr>
          <w:t>In re Mayweather Promotions, LLC</w:t>
        </w:r>
        <w:r w:rsidRPr="00F16D8F">
          <w:rPr>
            <w:rFonts w:ascii="Georgia" w:hAnsi="Georgia"/>
            <w:color w:val="000000" w:themeColor="text1"/>
            <w:sz w:val="22"/>
            <w:szCs w:val="22"/>
          </w:rPr>
          <w:t>, 2020 U.S.P.Q.2d 11298, 2020 WL 6689736, at *5 (T.T.A.B. 2020)</w:t>
        </w:r>
      </w:hyperlink>
      <w:r w:rsidRPr="00F16D8F">
        <w:rPr>
          <w:rFonts w:ascii="Georgia" w:hAnsi="Georgia"/>
          <w:color w:val="000000" w:themeColor="text1"/>
          <w:sz w:val="22"/>
          <w:szCs w:val="22"/>
        </w:rPr>
        <w:t>). The Board concluded that:</w:t>
      </w:r>
    </w:p>
    <w:p w14:paraId="66AC695A" w14:textId="77777777" w:rsidR="003010EC" w:rsidRPr="00F16D8F" w:rsidRDefault="00000000">
      <w:pPr>
        <w:spacing w:before="200" w:after="0" w:line="275" w:lineRule="atLeast"/>
        <w:ind w:left="480" w:right="480"/>
        <w:jc w:val="both"/>
        <w:rPr>
          <w:rFonts w:ascii="Georgia" w:hAnsi="Georgia"/>
          <w:color w:val="000000" w:themeColor="text1"/>
          <w:sz w:val="22"/>
          <w:szCs w:val="22"/>
        </w:rPr>
      </w:pPr>
      <w:r w:rsidRPr="00F16D8F">
        <w:rPr>
          <w:rFonts w:ascii="Georgia" w:hAnsi="Georgia"/>
          <w:color w:val="000000" w:themeColor="text1"/>
          <w:sz w:val="22"/>
          <w:szCs w:val="22"/>
        </w:rPr>
        <w:t>The record before us establishes that the word FUCK expresses well-recognized familiar sentiments and the relevant consumers are accustomed to seeing it in widespread use, by many different sources, on the kind of goods identified in the [applications at issue]. Consequently, we find that it does not create the commercial impression of a source indicator, and does not function as a trademark to distinguish Applicant's goods and services in commerce and indicate their source.</w:t>
      </w:r>
    </w:p>
    <w:p w14:paraId="7F528ABE" w14:textId="77777777" w:rsidR="003010EC" w:rsidRPr="00F16D8F" w:rsidRDefault="00000000">
      <w:pPr>
        <w:spacing w:before="200"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xml:space="preserve">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46. Accordingly, the Board affirmed the refusals to register.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58.</w:t>
      </w:r>
    </w:p>
    <w:p w14:paraId="1CA18E31"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1EBE264F" w14:textId="297A1502"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xml:space="preserve">Mr. Brunetti appealed. We have jurisdiction under </w:t>
      </w:r>
      <w:hyperlink r:id="rId11" w:anchor="co_pp_7f0000008ef57">
        <w:r w:rsidRPr="00F16D8F">
          <w:rPr>
            <w:rFonts w:ascii="Georgia" w:hAnsi="Georgia"/>
            <w:color w:val="000000" w:themeColor="text1"/>
            <w:sz w:val="22"/>
            <w:szCs w:val="22"/>
          </w:rPr>
          <w:t>28 U.S.C. § 1295(a)(4)(B)</w:t>
        </w:r>
      </w:hyperlink>
      <w:r w:rsidRPr="00F16D8F">
        <w:rPr>
          <w:rFonts w:ascii="Georgia" w:hAnsi="Georgia"/>
          <w:color w:val="000000" w:themeColor="text1"/>
          <w:sz w:val="22"/>
          <w:szCs w:val="22"/>
        </w:rPr>
        <w:t>.</w:t>
      </w:r>
    </w:p>
    <w:p w14:paraId="7FD07A57" w14:textId="77777777" w:rsidR="003010EC" w:rsidRPr="00F16D8F" w:rsidRDefault="00000000">
      <w:pPr>
        <w:spacing w:before="400" w:after="0" w:line="275" w:lineRule="atLeast"/>
        <w:jc w:val="center"/>
        <w:rPr>
          <w:rFonts w:ascii="Georgia" w:hAnsi="Georgia"/>
          <w:b/>
          <w:bCs/>
          <w:color w:val="000000" w:themeColor="text1"/>
          <w:sz w:val="22"/>
          <w:szCs w:val="22"/>
        </w:rPr>
      </w:pPr>
      <w:bookmarkStart w:id="11" w:name="co_anchor_I518c91d1841211f09b889397c184"/>
      <w:r w:rsidRPr="00F16D8F">
        <w:rPr>
          <w:rFonts w:ascii="Georgia" w:hAnsi="Georgia"/>
          <w:b/>
          <w:bCs/>
          <w:color w:val="000000" w:themeColor="text1"/>
          <w:sz w:val="22"/>
          <w:szCs w:val="22"/>
        </w:rPr>
        <w:t>Discussion</w:t>
      </w:r>
    </w:p>
    <w:bookmarkEnd w:id="11"/>
    <w:p w14:paraId="7BF24D0B" w14:textId="77777777" w:rsidR="003010EC" w:rsidRPr="00F16D8F" w:rsidRDefault="00000000" w:rsidP="00F16D8F">
      <w:pPr>
        <w:spacing w:before="200"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We review the Board's decision in accordance with the standards of the Administrative Procedure Act (“APA”). </w:t>
      </w:r>
      <w:hyperlink r:id="rId12" w:anchor="co_pp_sp_506_1361">
        <w:r w:rsidRPr="00F16D8F">
          <w:rPr>
            <w:rFonts w:ascii="Georgia" w:hAnsi="Georgia"/>
            <w:i/>
            <w:color w:val="000000" w:themeColor="text1"/>
            <w:sz w:val="22"/>
            <w:szCs w:val="22"/>
          </w:rPr>
          <w:t xml:space="preserve">Bridgestone/Firestone </w:t>
        </w:r>
        <w:proofErr w:type="spellStart"/>
        <w:r w:rsidRPr="00F16D8F">
          <w:rPr>
            <w:rFonts w:ascii="Georgia" w:hAnsi="Georgia"/>
            <w:i/>
            <w:color w:val="000000" w:themeColor="text1"/>
            <w:sz w:val="22"/>
            <w:szCs w:val="22"/>
          </w:rPr>
          <w:t>Rsch</w:t>
        </w:r>
        <w:proofErr w:type="spellEnd"/>
        <w:r w:rsidRPr="00F16D8F">
          <w:rPr>
            <w:rFonts w:ascii="Georgia" w:hAnsi="Georgia"/>
            <w:i/>
            <w:color w:val="000000" w:themeColor="text1"/>
            <w:sz w:val="22"/>
            <w:szCs w:val="22"/>
          </w:rPr>
          <w:t xml:space="preserve">., Inc. v. Auto. Club De </w:t>
        </w:r>
        <w:proofErr w:type="spellStart"/>
        <w:r w:rsidRPr="00F16D8F">
          <w:rPr>
            <w:rFonts w:ascii="Georgia" w:hAnsi="Georgia"/>
            <w:i/>
            <w:color w:val="000000" w:themeColor="text1"/>
            <w:sz w:val="22"/>
            <w:szCs w:val="22"/>
          </w:rPr>
          <w:t>L'Quest</w:t>
        </w:r>
        <w:proofErr w:type="spellEnd"/>
        <w:r w:rsidRPr="00F16D8F">
          <w:rPr>
            <w:rFonts w:ascii="Georgia" w:hAnsi="Georgia"/>
            <w:i/>
            <w:color w:val="000000" w:themeColor="text1"/>
            <w:sz w:val="22"/>
            <w:szCs w:val="22"/>
          </w:rPr>
          <w:t xml:space="preserve"> De La France</w:t>
        </w:r>
        <w:r w:rsidRPr="00F16D8F">
          <w:rPr>
            <w:rFonts w:ascii="Georgia" w:hAnsi="Georgia"/>
            <w:color w:val="000000" w:themeColor="text1"/>
            <w:sz w:val="22"/>
            <w:szCs w:val="22"/>
          </w:rPr>
          <w:t>, 245 F.3d 1359, 1361 (Fed. Cir. 2001)</w:t>
        </w:r>
      </w:hyperlink>
      <w:r w:rsidRPr="00F16D8F">
        <w:rPr>
          <w:rFonts w:ascii="Georgia" w:hAnsi="Georgia"/>
          <w:color w:val="000000" w:themeColor="text1"/>
          <w:sz w:val="22"/>
          <w:szCs w:val="22"/>
        </w:rPr>
        <w:t xml:space="preserve"> (citing </w:t>
      </w:r>
      <w:hyperlink r:id="rId13" w:anchor="co_pp_sp_780_152">
        <w:r w:rsidRPr="00F16D8F">
          <w:rPr>
            <w:rFonts w:ascii="Georgia" w:hAnsi="Georgia"/>
            <w:i/>
            <w:color w:val="000000" w:themeColor="text1"/>
            <w:sz w:val="22"/>
            <w:szCs w:val="22"/>
          </w:rPr>
          <w:t>Dickinson v. Zurko</w:t>
        </w:r>
        <w:r w:rsidRPr="00F16D8F">
          <w:rPr>
            <w:rFonts w:ascii="Georgia" w:hAnsi="Georgia"/>
            <w:color w:val="000000" w:themeColor="text1"/>
            <w:sz w:val="22"/>
            <w:szCs w:val="22"/>
          </w:rPr>
          <w:t xml:space="preserve">, 527 U.S. 150, 152, 119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1816, 144 L.Ed.2d 143 (1999)</w:t>
        </w:r>
      </w:hyperlink>
      <w:r w:rsidRPr="00F16D8F">
        <w:rPr>
          <w:rFonts w:ascii="Georgia" w:hAnsi="Georgia"/>
          <w:color w:val="000000" w:themeColor="text1"/>
          <w:sz w:val="22"/>
          <w:szCs w:val="22"/>
        </w:rPr>
        <w:t xml:space="preserve">). We evaluate the Board's legal conclusions de novo. </w:t>
      </w:r>
      <w:hyperlink r:id="rId14" w:anchor="co_pp_sp_506_1302">
        <w:r w:rsidRPr="00F16D8F">
          <w:rPr>
            <w:rFonts w:ascii="Georgia" w:hAnsi="Georgia"/>
            <w:i/>
            <w:color w:val="000000" w:themeColor="text1"/>
            <w:sz w:val="22"/>
            <w:szCs w:val="22"/>
          </w:rPr>
          <w:t>In re HOTELS.COM, L.P</w:t>
        </w:r>
        <w:r w:rsidRPr="00F16D8F">
          <w:rPr>
            <w:rFonts w:ascii="Georgia" w:hAnsi="Georgia"/>
            <w:color w:val="000000" w:themeColor="text1"/>
            <w:sz w:val="22"/>
            <w:szCs w:val="22"/>
          </w:rPr>
          <w:t>., 573 F.3d 1300, 1302 (Fed. Cir. 2009)</w:t>
        </w:r>
      </w:hyperlink>
      <w:r w:rsidRPr="00F16D8F">
        <w:rPr>
          <w:rFonts w:ascii="Georgia" w:hAnsi="Georgia"/>
          <w:color w:val="000000" w:themeColor="text1"/>
          <w:sz w:val="22"/>
          <w:szCs w:val="22"/>
        </w:rPr>
        <w:t xml:space="preserve">. We uphold the Board's factual findings unless they are arbitrary, capricious, an abuse of discretion, or unsupported by substantial evidence. </w:t>
      </w:r>
      <w:hyperlink r:id="rId15">
        <w:r w:rsidRPr="00F16D8F">
          <w:rPr>
            <w:rFonts w:ascii="Georgia" w:hAnsi="Georgia"/>
            <w:i/>
            <w:color w:val="000000" w:themeColor="text1"/>
            <w:sz w:val="22"/>
            <w:szCs w:val="22"/>
          </w:rPr>
          <w:t>Id.</w:t>
        </w:r>
      </w:hyperlink>
      <w:r w:rsidRPr="00F16D8F">
        <w:rPr>
          <w:rFonts w:ascii="Georgia" w:hAnsi="Georgia"/>
          <w:color w:val="000000" w:themeColor="text1"/>
          <w:sz w:val="22"/>
          <w:szCs w:val="22"/>
        </w:rPr>
        <w:t xml:space="preserve"> “The [APA] ... establishes a scheme of ‘reasoned </w:t>
      </w:r>
      <w:proofErr w:type="spellStart"/>
      <w:r w:rsidRPr="00F16D8F">
        <w:rPr>
          <w:rFonts w:ascii="Georgia" w:hAnsi="Georgia"/>
          <w:color w:val="000000" w:themeColor="text1"/>
          <w:sz w:val="22"/>
          <w:szCs w:val="22"/>
        </w:rPr>
        <w:t>decisionmaking</w:t>
      </w:r>
      <w:proofErr w:type="spellEnd"/>
      <w:r w:rsidRPr="00F16D8F">
        <w:rPr>
          <w:rFonts w:ascii="Georgia" w:hAnsi="Georgia"/>
          <w:color w:val="000000" w:themeColor="text1"/>
          <w:sz w:val="22"/>
          <w:szCs w:val="22"/>
        </w:rPr>
        <w:t xml:space="preserve">,’ ” which requires that “the process by which [an agency] reaches [a] result must be logical and rational.” </w:t>
      </w:r>
      <w:hyperlink r:id="rId16" w:anchor="co_pp_sp_780_372">
        <w:r w:rsidRPr="00F16D8F">
          <w:rPr>
            <w:rFonts w:ascii="Georgia" w:hAnsi="Georgia"/>
            <w:i/>
            <w:color w:val="000000" w:themeColor="text1"/>
            <w:sz w:val="22"/>
            <w:szCs w:val="22"/>
          </w:rPr>
          <w:t>Allentown Mack Sales &amp; Serv., Inc. v. NLRB</w:t>
        </w:r>
        <w:r w:rsidRPr="00F16D8F">
          <w:rPr>
            <w:rFonts w:ascii="Georgia" w:hAnsi="Georgia"/>
            <w:color w:val="000000" w:themeColor="text1"/>
            <w:sz w:val="22"/>
            <w:szCs w:val="22"/>
          </w:rPr>
          <w:t xml:space="preserve">, 522 U.S. 359, 372, 118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818, 139 L.Ed.2d 797 (1998)</w:t>
        </w:r>
      </w:hyperlink>
      <w:r w:rsidRPr="00F16D8F">
        <w:rPr>
          <w:rFonts w:ascii="Georgia" w:hAnsi="Georgia"/>
          <w:color w:val="000000" w:themeColor="text1"/>
          <w:sz w:val="22"/>
          <w:szCs w:val="22"/>
        </w:rPr>
        <w:t xml:space="preserve"> (quoting </w:t>
      </w:r>
      <w:hyperlink r:id="rId17" w:anchor="co_pp_sp_780_52">
        <w:r w:rsidRPr="00F16D8F">
          <w:rPr>
            <w:rFonts w:ascii="Georgia" w:hAnsi="Georgia"/>
            <w:i/>
            <w:color w:val="000000" w:themeColor="text1"/>
            <w:sz w:val="22"/>
            <w:szCs w:val="22"/>
          </w:rPr>
          <w:t xml:space="preserve">Motor Vehicle Mfrs. </w:t>
        </w:r>
        <w:proofErr w:type="spellStart"/>
        <w:r w:rsidRPr="00F16D8F">
          <w:rPr>
            <w:rFonts w:ascii="Georgia" w:hAnsi="Georgia"/>
            <w:i/>
            <w:color w:val="000000" w:themeColor="text1"/>
            <w:sz w:val="22"/>
            <w:szCs w:val="22"/>
          </w:rPr>
          <w:t>Ass'n</w:t>
        </w:r>
        <w:proofErr w:type="spellEnd"/>
        <w:r w:rsidRPr="00F16D8F">
          <w:rPr>
            <w:rFonts w:ascii="Georgia" w:hAnsi="Georgia"/>
            <w:i/>
            <w:color w:val="000000" w:themeColor="text1"/>
            <w:sz w:val="22"/>
            <w:szCs w:val="22"/>
          </w:rPr>
          <w:t xml:space="preserve"> of United States, Inc. v. State Farm Mut. Auto. Ins. Co.</w:t>
        </w:r>
        <w:r w:rsidRPr="00F16D8F">
          <w:rPr>
            <w:rFonts w:ascii="Georgia" w:hAnsi="Georgia"/>
            <w:color w:val="000000" w:themeColor="text1"/>
            <w:sz w:val="22"/>
            <w:szCs w:val="22"/>
          </w:rPr>
          <w:t xml:space="preserve">, 463 U.S. 29, 52, 103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2856, 77 L.Ed.2d 443 (1983)</w:t>
        </w:r>
      </w:hyperlink>
      <w:r w:rsidRPr="00F16D8F">
        <w:rPr>
          <w:rFonts w:ascii="Georgia" w:hAnsi="Georgia"/>
          <w:color w:val="000000" w:themeColor="text1"/>
          <w:sz w:val="22"/>
          <w:szCs w:val="22"/>
        </w:rPr>
        <w:t xml:space="preserve"> (“</w:t>
      </w:r>
      <w:hyperlink r:id="rId18">
        <w:r w:rsidRPr="00F16D8F">
          <w:rPr>
            <w:rFonts w:ascii="Georgia" w:hAnsi="Georgia"/>
            <w:i/>
            <w:color w:val="000000" w:themeColor="text1"/>
            <w:sz w:val="22"/>
            <w:szCs w:val="22"/>
          </w:rPr>
          <w:t>State Farm</w:t>
        </w:r>
      </w:hyperlink>
      <w:r w:rsidRPr="00F16D8F">
        <w:rPr>
          <w:rFonts w:ascii="Georgia" w:hAnsi="Georgia"/>
          <w:color w:val="000000" w:themeColor="text1"/>
          <w:sz w:val="22"/>
          <w:szCs w:val="22"/>
        </w:rPr>
        <w:t>”)).</w:t>
      </w:r>
    </w:p>
    <w:p w14:paraId="19829F80"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68C3F422" w14:textId="77777777" w:rsidR="004A27E3"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We reject most of Mr. Brunetti's arguments but conclude that the Board has failed to articulate a satisfactory explanation for its action. </w:t>
      </w:r>
      <w:bookmarkStart w:id="12" w:name="co_anchor_I518e3f81841211f09b889397c184"/>
    </w:p>
    <w:p w14:paraId="2F56C898" w14:textId="77777777" w:rsidR="00F16D8F" w:rsidRDefault="00F16D8F" w:rsidP="00F16D8F">
      <w:pPr>
        <w:spacing w:after="0" w:line="275" w:lineRule="atLeast"/>
        <w:ind w:firstLine="720"/>
        <w:jc w:val="both"/>
        <w:rPr>
          <w:rFonts w:ascii="Georgia" w:hAnsi="Georgia"/>
          <w:color w:val="000000" w:themeColor="text1"/>
          <w:sz w:val="22"/>
          <w:szCs w:val="22"/>
        </w:rPr>
      </w:pPr>
    </w:p>
    <w:p w14:paraId="366F4D96" w14:textId="77777777" w:rsidR="00F16D8F" w:rsidRPr="00F16D8F" w:rsidRDefault="00F16D8F" w:rsidP="00F16D8F">
      <w:pPr>
        <w:spacing w:after="0" w:line="275" w:lineRule="atLeast"/>
        <w:ind w:firstLine="720"/>
        <w:jc w:val="both"/>
        <w:rPr>
          <w:rFonts w:ascii="Georgia" w:hAnsi="Georgia"/>
          <w:color w:val="000000" w:themeColor="text1"/>
          <w:sz w:val="22"/>
          <w:szCs w:val="22"/>
        </w:rPr>
      </w:pPr>
    </w:p>
    <w:p w14:paraId="789ADA4B" w14:textId="3A0EE715" w:rsidR="003010EC" w:rsidRPr="00F16D8F" w:rsidRDefault="00000000" w:rsidP="004A27E3">
      <w:pPr>
        <w:spacing w:after="0" w:line="275" w:lineRule="atLeast"/>
        <w:jc w:val="center"/>
        <w:rPr>
          <w:rFonts w:ascii="Georgia" w:hAnsi="Georgia"/>
          <w:b/>
          <w:bCs/>
          <w:color w:val="000000" w:themeColor="text1"/>
          <w:sz w:val="22"/>
          <w:szCs w:val="22"/>
        </w:rPr>
      </w:pPr>
      <w:r w:rsidRPr="00F16D8F">
        <w:rPr>
          <w:rFonts w:ascii="Georgia" w:hAnsi="Georgia"/>
          <w:b/>
          <w:bCs/>
          <w:color w:val="000000" w:themeColor="text1"/>
          <w:sz w:val="22"/>
          <w:szCs w:val="22"/>
        </w:rPr>
        <w:t>I</w:t>
      </w:r>
    </w:p>
    <w:bookmarkEnd w:id="12"/>
    <w:p w14:paraId="67B57A03" w14:textId="77777777" w:rsidR="003010EC" w:rsidRPr="00F16D8F" w:rsidRDefault="00000000" w:rsidP="00F16D8F">
      <w:pPr>
        <w:spacing w:before="200"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We begin by considering Mr. Brunetti's arguments that the Board violated various constitutional rights and that the Supreme Court's decision in </w:t>
      </w:r>
      <w:hyperlink r:id="rId19">
        <w:r w:rsidRPr="00F16D8F">
          <w:rPr>
            <w:rFonts w:ascii="Georgia" w:hAnsi="Georgia"/>
            <w:i/>
            <w:color w:val="000000" w:themeColor="text1"/>
            <w:sz w:val="22"/>
            <w:szCs w:val="22"/>
          </w:rPr>
          <w:t xml:space="preserve">Iancu v. </w:t>
        </w:r>
        <w:r w:rsidRPr="00F16D8F">
          <w:rPr>
            <w:rFonts w:ascii="Georgia" w:hAnsi="Georgia"/>
            <w:i/>
            <w:color w:val="000000" w:themeColor="text1"/>
            <w:sz w:val="22"/>
            <w:szCs w:val="22"/>
          </w:rPr>
          <w:lastRenderedPageBreak/>
          <w:t>Brunetti</w:t>
        </w:r>
        <w:r w:rsidRPr="00F16D8F">
          <w:rPr>
            <w:rFonts w:ascii="Georgia" w:hAnsi="Georgia"/>
            <w:color w:val="000000" w:themeColor="text1"/>
            <w:sz w:val="22"/>
            <w:szCs w:val="22"/>
          </w:rPr>
          <w:t xml:space="preserve">, 588 U.S. 388, 139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2294, 204 L.Ed.2d 714 (2019)</w:t>
        </w:r>
      </w:hyperlink>
      <w:r w:rsidRPr="00F16D8F">
        <w:rPr>
          <w:rFonts w:ascii="Georgia" w:hAnsi="Georgia"/>
          <w:color w:val="000000" w:themeColor="text1"/>
          <w:sz w:val="22"/>
          <w:szCs w:val="22"/>
        </w:rPr>
        <w:t>, dictates the outcome of this case. We find these arguments unpersuasive.</w:t>
      </w:r>
    </w:p>
    <w:p w14:paraId="3816AE37"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592647C0" w14:textId="77777777"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First, Mr. Brunetti argues that the PTO has violated the First Amendment by engaging in viewpoint discrimination because it has allowed trademark registration of “positive terms,” such as FUCK </w:t>
      </w:r>
      <w:hyperlink r:id="rId20">
        <w:r w:rsidRPr="00F16D8F">
          <w:rPr>
            <w:rFonts w:ascii="Georgia" w:hAnsi="Georgia"/>
            <w:color w:val="000000" w:themeColor="text1"/>
            <w:sz w:val="22"/>
            <w:szCs w:val="22"/>
          </w:rPr>
          <w:t>CANCER</w:t>
        </w:r>
      </w:hyperlink>
      <w:r w:rsidRPr="00F16D8F">
        <w:rPr>
          <w:rFonts w:ascii="Georgia" w:hAnsi="Georgia"/>
          <w:color w:val="000000" w:themeColor="text1"/>
          <w:sz w:val="22"/>
          <w:szCs w:val="22"/>
        </w:rPr>
        <w:t xml:space="preserve"> and LOVE, while refusing registration of “negative terms” or “profanity,” such as the applied-for mark. Appellant's Br. 52–53 (citing </w:t>
      </w:r>
      <w:hyperlink r:id="rId21">
        <w:r w:rsidRPr="00F16D8F">
          <w:rPr>
            <w:rFonts w:ascii="Georgia" w:hAnsi="Georgia"/>
            <w:i/>
            <w:color w:val="000000" w:themeColor="text1"/>
            <w:sz w:val="22"/>
            <w:szCs w:val="22"/>
          </w:rPr>
          <w:t>Iancu v. Brunetti</w:t>
        </w:r>
        <w:r w:rsidRPr="00F16D8F">
          <w:rPr>
            <w:rFonts w:ascii="Georgia" w:hAnsi="Georgia"/>
            <w:color w:val="000000" w:themeColor="text1"/>
            <w:sz w:val="22"/>
            <w:szCs w:val="22"/>
          </w:rPr>
          <w:t xml:space="preserve">, 588 U.S. 388, 139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2294, 204 L.Ed.2d 714 (2019)</w:t>
        </w:r>
      </w:hyperlink>
      <w:r w:rsidRPr="00F16D8F">
        <w:rPr>
          <w:rFonts w:ascii="Georgia" w:hAnsi="Georgia"/>
          <w:color w:val="000000" w:themeColor="text1"/>
          <w:sz w:val="22"/>
          <w:szCs w:val="22"/>
        </w:rPr>
        <w:t xml:space="preserve">; </w:t>
      </w:r>
      <w:hyperlink r:id="rId22">
        <w:r w:rsidRPr="00F16D8F">
          <w:rPr>
            <w:rFonts w:ascii="Georgia" w:hAnsi="Georgia"/>
            <w:i/>
            <w:color w:val="000000" w:themeColor="text1"/>
            <w:sz w:val="22"/>
            <w:szCs w:val="22"/>
          </w:rPr>
          <w:t>Matal v. Tam</w:t>
        </w:r>
        <w:r w:rsidRPr="00F16D8F">
          <w:rPr>
            <w:rFonts w:ascii="Georgia" w:hAnsi="Georgia"/>
            <w:color w:val="000000" w:themeColor="text1"/>
            <w:sz w:val="22"/>
            <w:szCs w:val="22"/>
          </w:rPr>
          <w:t xml:space="preserve">, 582 U.S. 218, 137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1744, 198 L.Ed.2d 366 (2017)</w:t>
        </w:r>
      </w:hyperlink>
      <w:r w:rsidRPr="00F16D8F">
        <w:rPr>
          <w:rFonts w:ascii="Georgia" w:hAnsi="Georgia"/>
          <w:color w:val="000000" w:themeColor="text1"/>
          <w:sz w:val="22"/>
          <w:szCs w:val="22"/>
        </w:rPr>
        <w:t xml:space="preserve">). The Board explained that the focus of a failure-to-function refusal is “whether the relevant consumers perceive [the applied-for mark] as a trademark” and that such a “refusal applies evenhandedly, regardless of any viewpoint expressed.”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51. Mr. Brunetti has identified no basis for concluding that the Board's analysis in this case deviated from that viewpoint-neutral principle.</w:t>
      </w:r>
    </w:p>
    <w:p w14:paraId="2C9B6D70"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61C22F9C" w14:textId="4EABB7CE"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Second, Mr. Brunetti argues that the PTO is retaliating against him for exercising his “right to petition” the courts for redress. Appellant's Br. 53–55. Mr. Brunetti appears to be referring to his prior case addressed by the Supreme Court in </w:t>
      </w:r>
      <w:hyperlink r:id="rId23">
        <w:r w:rsidRPr="00F16D8F">
          <w:rPr>
            <w:rFonts w:ascii="Georgia" w:hAnsi="Georgia"/>
            <w:i/>
            <w:color w:val="000000" w:themeColor="text1"/>
            <w:sz w:val="22"/>
            <w:szCs w:val="22"/>
          </w:rPr>
          <w:t>Iancu v. Brunetti</w:t>
        </w:r>
        <w:r w:rsidRPr="00F16D8F">
          <w:rPr>
            <w:rFonts w:ascii="Georgia" w:hAnsi="Georgia"/>
            <w:color w:val="000000" w:themeColor="text1"/>
            <w:sz w:val="22"/>
            <w:szCs w:val="22"/>
          </w:rPr>
          <w:t xml:space="preserve">, 588 U.S. 388, 139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2294, 204 L.Ed.2d 714 (2019)</w:t>
        </w:r>
      </w:hyperlink>
      <w:r w:rsidRPr="00F16D8F">
        <w:rPr>
          <w:rFonts w:ascii="Georgia" w:hAnsi="Georgia"/>
          <w:color w:val="000000" w:themeColor="text1"/>
          <w:sz w:val="22"/>
          <w:szCs w:val="22"/>
        </w:rPr>
        <w:t xml:space="preserve">, where Mr. Brunetti prevailed and the Supreme Court held that the PTO had erred in declining to register the mark FUCT on the ground that it was “immoral or scandalous” within the meaning of </w:t>
      </w:r>
      <w:hyperlink r:id="rId24" w:anchor="co_pp_8b3b0000958a4">
        <w:r w:rsidRPr="00F16D8F">
          <w:rPr>
            <w:rFonts w:ascii="Georgia" w:hAnsi="Georgia"/>
            <w:color w:val="000000" w:themeColor="text1"/>
            <w:sz w:val="22"/>
            <w:szCs w:val="22"/>
          </w:rPr>
          <w:t>15 U.S.C. § 1052(a)</w:t>
        </w:r>
      </w:hyperlink>
      <w:r w:rsidRPr="00F16D8F">
        <w:rPr>
          <w:rFonts w:ascii="Georgia" w:hAnsi="Georgia"/>
          <w:color w:val="000000" w:themeColor="text1"/>
          <w:sz w:val="22"/>
          <w:szCs w:val="22"/>
        </w:rPr>
        <w:t xml:space="preserve">. </w:t>
      </w:r>
      <w:hyperlink r:id="rId25" w:anchor="co_pp_sp_780_390">
        <w:r w:rsidRPr="00F16D8F">
          <w:rPr>
            <w:rFonts w:ascii="Georgia" w:hAnsi="Georgia"/>
            <w:i/>
            <w:color w:val="000000" w:themeColor="text1"/>
            <w:sz w:val="22"/>
            <w:szCs w:val="22"/>
          </w:rPr>
          <w:t>Brunetti,</w:t>
        </w:r>
        <w:r w:rsidRPr="00F16D8F">
          <w:rPr>
            <w:rFonts w:ascii="Georgia" w:hAnsi="Georgia"/>
            <w:color w:val="000000" w:themeColor="text1"/>
            <w:sz w:val="22"/>
            <w:szCs w:val="22"/>
          </w:rPr>
          <w:t xml:space="preserve"> 588 U.S. at 390, 139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2294</w:t>
        </w:r>
      </w:hyperlink>
      <w:r w:rsidRPr="00F16D8F">
        <w:rPr>
          <w:rFonts w:ascii="Georgia" w:hAnsi="Georgia"/>
          <w:color w:val="000000" w:themeColor="text1"/>
          <w:sz w:val="22"/>
          <w:szCs w:val="22"/>
        </w:rPr>
        <w:t xml:space="preserve"> (holding that </w:t>
      </w:r>
      <w:hyperlink r:id="rId26" w:anchor="co_pp_8b3b0000958a4">
        <w:r w:rsidRPr="00F16D8F">
          <w:rPr>
            <w:rFonts w:ascii="Georgia" w:hAnsi="Georgia"/>
            <w:color w:val="000000" w:themeColor="text1"/>
            <w:sz w:val="22"/>
            <w:szCs w:val="22"/>
          </w:rPr>
          <w:t>section 1052(a)</w:t>
        </w:r>
      </w:hyperlink>
      <w:r w:rsidRPr="00F16D8F">
        <w:rPr>
          <w:rFonts w:ascii="Georgia" w:hAnsi="Georgia"/>
          <w:color w:val="000000" w:themeColor="text1"/>
          <w:sz w:val="22"/>
          <w:szCs w:val="22"/>
        </w:rPr>
        <w:t xml:space="preserve"> bar to registration of “immoral[ ] or scandalous” trademarks violated the First Amendment). Mr. Brunetti's sole evidence of retaliation is that the refusals in this case came after his Supreme Court victory. We conclude Mr. Brunetti has failed to show the Board's decision in this case is retaliatory.</w:t>
      </w:r>
    </w:p>
    <w:p w14:paraId="71A97046"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55590D25" w14:textId="40799E95"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Third, Mr. Brunetti appears to argue that </w:t>
      </w:r>
      <w:hyperlink r:id="rId27">
        <w:r w:rsidRPr="00F16D8F">
          <w:rPr>
            <w:rFonts w:ascii="Georgia" w:hAnsi="Georgia"/>
            <w:i/>
            <w:color w:val="000000" w:themeColor="text1"/>
            <w:sz w:val="22"/>
            <w:szCs w:val="22"/>
          </w:rPr>
          <w:t>Iancu v. Brunetti</w:t>
        </w:r>
      </w:hyperlink>
      <w:r w:rsidRPr="00F16D8F">
        <w:rPr>
          <w:rFonts w:ascii="Georgia" w:hAnsi="Georgia"/>
          <w:color w:val="000000" w:themeColor="text1"/>
          <w:sz w:val="22"/>
          <w:szCs w:val="22"/>
        </w:rPr>
        <w:t xml:space="preserve"> dictates the outcome of this case. We disagree. </w:t>
      </w:r>
      <w:hyperlink r:id="rId28">
        <w:r w:rsidRPr="00F16D8F">
          <w:rPr>
            <w:rFonts w:ascii="Georgia" w:hAnsi="Georgia"/>
            <w:i/>
            <w:color w:val="000000" w:themeColor="text1"/>
            <w:sz w:val="22"/>
            <w:szCs w:val="22"/>
          </w:rPr>
          <w:t>Iancu v. Brunetti</w:t>
        </w:r>
      </w:hyperlink>
      <w:r w:rsidRPr="00F16D8F">
        <w:rPr>
          <w:rFonts w:ascii="Georgia" w:hAnsi="Georgia"/>
          <w:color w:val="000000" w:themeColor="text1"/>
          <w:sz w:val="22"/>
          <w:szCs w:val="22"/>
        </w:rPr>
        <w:t xml:space="preserve"> addressed a different legal issue (the constitutionality of a prohibition on scandalous words) than is present in this case (failure to function as a mark). </w:t>
      </w:r>
      <w:hyperlink r:id="rId29" w:anchor="co_pp_sp_780_390">
        <w:r w:rsidRPr="00F16D8F">
          <w:rPr>
            <w:rFonts w:ascii="Georgia" w:hAnsi="Georgia"/>
            <w:color w:val="000000" w:themeColor="text1"/>
            <w:sz w:val="22"/>
            <w:szCs w:val="22"/>
          </w:rPr>
          <w:t xml:space="preserve">588 U.S. at 390, 139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2294</w:t>
        </w:r>
      </w:hyperlink>
      <w:r w:rsidRPr="00F16D8F">
        <w:rPr>
          <w:rFonts w:ascii="Georgia" w:hAnsi="Georgia"/>
          <w:color w:val="000000" w:themeColor="text1"/>
          <w:sz w:val="22"/>
          <w:szCs w:val="22"/>
        </w:rPr>
        <w:t xml:space="preserve">. It also addressed a fundamentally different mark (FUCT as compared to FUCK). The applied-for mark in this case is a well-defined and widely used word. FUCT, on the other hand, is not a word at all; it is wordplay on its “phonetic twin[,] ... ‘fucked,’ ” </w:t>
      </w:r>
      <w:hyperlink r:id="rId30" w:anchor="co_pp_sp_506_1338">
        <w:r w:rsidRPr="00F16D8F">
          <w:rPr>
            <w:rFonts w:ascii="Georgia" w:hAnsi="Georgia"/>
            <w:i/>
            <w:color w:val="000000" w:themeColor="text1"/>
            <w:sz w:val="22"/>
            <w:szCs w:val="22"/>
          </w:rPr>
          <w:t>In re Brunetti</w:t>
        </w:r>
        <w:r w:rsidRPr="00F16D8F">
          <w:rPr>
            <w:rFonts w:ascii="Georgia" w:hAnsi="Georgia"/>
            <w:color w:val="000000" w:themeColor="text1"/>
            <w:sz w:val="22"/>
            <w:szCs w:val="22"/>
          </w:rPr>
          <w:t>, 877 F.3d 1330, 1338 (Fed. Cir. 2017)</w:t>
        </w:r>
      </w:hyperlink>
      <w:r w:rsidRPr="00F16D8F">
        <w:rPr>
          <w:rFonts w:ascii="Georgia" w:hAnsi="Georgia"/>
          <w:color w:val="000000" w:themeColor="text1"/>
          <w:sz w:val="22"/>
          <w:szCs w:val="22"/>
        </w:rPr>
        <w:t xml:space="preserve">, </w:t>
      </w:r>
      <w:r w:rsidRPr="00F16D8F">
        <w:rPr>
          <w:rFonts w:ascii="Georgia" w:hAnsi="Georgia"/>
          <w:i/>
          <w:color w:val="000000" w:themeColor="text1"/>
          <w:sz w:val="22"/>
          <w:szCs w:val="22"/>
        </w:rPr>
        <w:t xml:space="preserve">aff'd sub nom. </w:t>
      </w:r>
      <w:hyperlink r:id="rId31">
        <w:r w:rsidRPr="00F16D8F">
          <w:rPr>
            <w:rFonts w:ascii="Georgia" w:hAnsi="Georgia"/>
            <w:i/>
            <w:color w:val="000000" w:themeColor="text1"/>
            <w:sz w:val="22"/>
            <w:szCs w:val="22"/>
          </w:rPr>
          <w:t>Iancu v. Brunetti</w:t>
        </w:r>
        <w:r w:rsidRPr="00F16D8F">
          <w:rPr>
            <w:rFonts w:ascii="Georgia" w:hAnsi="Georgia"/>
            <w:color w:val="000000" w:themeColor="text1"/>
            <w:sz w:val="22"/>
            <w:szCs w:val="22"/>
          </w:rPr>
          <w:t xml:space="preserve">, 588 U.S. 388, 139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2294, 204 L.Ed.2d 714 (2019)</w:t>
        </w:r>
      </w:hyperlink>
      <w:r w:rsidRPr="00F16D8F">
        <w:rPr>
          <w:rFonts w:ascii="Georgia" w:hAnsi="Georgia"/>
          <w:color w:val="000000" w:themeColor="text1"/>
          <w:sz w:val="22"/>
          <w:szCs w:val="22"/>
        </w:rPr>
        <w:t xml:space="preserve">. </w:t>
      </w:r>
      <w:hyperlink r:id="rId32">
        <w:r w:rsidRPr="00F16D8F">
          <w:rPr>
            <w:rFonts w:ascii="Georgia" w:hAnsi="Georgia"/>
            <w:i/>
            <w:color w:val="000000" w:themeColor="text1"/>
            <w:sz w:val="22"/>
            <w:szCs w:val="22"/>
          </w:rPr>
          <w:t>Iancu v. Brunetti</w:t>
        </w:r>
      </w:hyperlink>
      <w:r w:rsidRPr="00F16D8F">
        <w:rPr>
          <w:rFonts w:ascii="Georgia" w:hAnsi="Georgia"/>
          <w:color w:val="000000" w:themeColor="text1"/>
          <w:sz w:val="22"/>
          <w:szCs w:val="22"/>
        </w:rPr>
        <w:t xml:space="preserve"> thus did not answer the question in this case: whether the Board erred in determining the applied-for mark fails to function as a trademark. Additionally, Mr. Brunetti's successful registration of the FUCT mark, </w:t>
      </w:r>
      <w:r w:rsidRPr="00F16D8F">
        <w:rPr>
          <w:rFonts w:ascii="Georgia" w:hAnsi="Georgia"/>
          <w:i/>
          <w:color w:val="000000" w:themeColor="text1"/>
          <w:sz w:val="22"/>
          <w:szCs w:val="22"/>
        </w:rPr>
        <w:t>see</w:t>
      </w:r>
      <w:r w:rsidRPr="00F16D8F">
        <w:rPr>
          <w:rFonts w:ascii="Georgia" w:hAnsi="Georgia"/>
          <w:color w:val="000000" w:themeColor="text1"/>
          <w:sz w:val="22"/>
          <w:szCs w:val="22"/>
        </w:rPr>
        <w:t xml:space="preserve"> </w:t>
      </w:r>
      <w:hyperlink r:id="rId33">
        <w:r w:rsidRPr="00F16D8F">
          <w:rPr>
            <w:rFonts w:ascii="Georgia" w:hAnsi="Georgia"/>
            <w:color w:val="000000" w:themeColor="text1"/>
            <w:sz w:val="22"/>
            <w:szCs w:val="22"/>
          </w:rPr>
          <w:t xml:space="preserve">U.S. Trademark </w:t>
        </w:r>
        <w:r w:rsidRPr="00F16D8F">
          <w:rPr>
            <w:rFonts w:ascii="Georgia" w:hAnsi="Georgia"/>
            <w:color w:val="000000" w:themeColor="text1"/>
            <w:sz w:val="22"/>
            <w:szCs w:val="22"/>
          </w:rPr>
          <w:lastRenderedPageBreak/>
          <w:t>Registration No. 6230977</w:t>
        </w:r>
      </w:hyperlink>
      <w:r w:rsidRPr="00F16D8F">
        <w:rPr>
          <w:rFonts w:ascii="Georgia" w:hAnsi="Georgia"/>
          <w:color w:val="000000" w:themeColor="text1"/>
          <w:sz w:val="22"/>
          <w:szCs w:val="22"/>
        </w:rPr>
        <w:t xml:space="preserve"> (registered Dec. 29, 2020), does not guarantee him the ability to register a separate and fundamentally different mark. </w:t>
      </w:r>
    </w:p>
    <w:p w14:paraId="545A34FC" w14:textId="77777777" w:rsidR="003010EC" w:rsidRPr="00F16D8F" w:rsidRDefault="00000000">
      <w:pPr>
        <w:spacing w:before="400" w:after="0" w:line="275" w:lineRule="atLeast"/>
        <w:jc w:val="center"/>
        <w:rPr>
          <w:rFonts w:ascii="Georgia" w:hAnsi="Georgia"/>
          <w:b/>
          <w:bCs/>
          <w:color w:val="000000" w:themeColor="text1"/>
          <w:sz w:val="22"/>
          <w:szCs w:val="22"/>
        </w:rPr>
      </w:pPr>
      <w:bookmarkStart w:id="13" w:name="co_anchor_I5191c1f1841211f09b889397c184"/>
      <w:r w:rsidRPr="00F16D8F">
        <w:rPr>
          <w:rFonts w:ascii="Georgia" w:hAnsi="Georgia"/>
          <w:b/>
          <w:bCs/>
          <w:color w:val="000000" w:themeColor="text1"/>
          <w:sz w:val="22"/>
          <w:szCs w:val="22"/>
        </w:rPr>
        <w:t>II</w:t>
      </w:r>
    </w:p>
    <w:bookmarkEnd w:id="13"/>
    <w:p w14:paraId="72667D48" w14:textId="77777777" w:rsidR="004A27E3" w:rsidRPr="00F16D8F" w:rsidRDefault="00000000" w:rsidP="00F16D8F">
      <w:pPr>
        <w:spacing w:before="200"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Mr. Brunetti next appears to argue that, in affirming the examining attorney's refusals, the Board improperly created an “entirely novel” failure-to-function doctrine “wherein there are some words or phrases that just can never be registered for any goods or services because the terms are allegedly ‘too widely-used.’ ” Appellant's Br. 6–7 (emphases omitted).</w:t>
      </w:r>
      <w:bookmarkStart w:id="14" w:name="co_anchor_I51921011841211f09b889397c184"/>
    </w:p>
    <w:p w14:paraId="20430072" w14:textId="58B6A861" w:rsidR="003010EC" w:rsidRPr="00F16D8F" w:rsidRDefault="00000000" w:rsidP="004A27E3">
      <w:pPr>
        <w:spacing w:before="200" w:after="0" w:line="275" w:lineRule="atLeast"/>
        <w:jc w:val="center"/>
        <w:rPr>
          <w:rFonts w:ascii="Georgia" w:hAnsi="Georgia"/>
          <w:color w:val="000000" w:themeColor="text1"/>
          <w:sz w:val="22"/>
          <w:szCs w:val="22"/>
        </w:rPr>
      </w:pPr>
      <w:r w:rsidRPr="00F16D8F">
        <w:rPr>
          <w:rFonts w:ascii="Georgia" w:hAnsi="Georgia"/>
          <w:color w:val="000000" w:themeColor="text1"/>
          <w:sz w:val="22"/>
          <w:szCs w:val="22"/>
        </w:rPr>
        <w:t>A</w:t>
      </w:r>
    </w:p>
    <w:bookmarkEnd w:id="14"/>
    <w:p w14:paraId="4574E849" w14:textId="77777777" w:rsidR="003010EC" w:rsidRPr="00F16D8F" w:rsidRDefault="00000000" w:rsidP="00F16D8F">
      <w:pPr>
        <w:spacing w:before="200" w:after="0" w:line="275" w:lineRule="atLeast"/>
        <w:ind w:firstLine="480"/>
        <w:jc w:val="both"/>
        <w:rPr>
          <w:rFonts w:ascii="Georgia" w:hAnsi="Georgia"/>
          <w:color w:val="000000" w:themeColor="text1"/>
          <w:sz w:val="22"/>
          <w:szCs w:val="22"/>
        </w:rPr>
      </w:pPr>
      <w:r w:rsidRPr="00F16D8F">
        <w:rPr>
          <w:rFonts w:ascii="Georgia" w:hAnsi="Georgia"/>
          <w:color w:val="000000" w:themeColor="text1"/>
          <w:sz w:val="22"/>
          <w:szCs w:val="22"/>
        </w:rPr>
        <w:t xml:space="preserve">The registrability of a trademark is governed by the Lanham Act. </w:t>
      </w:r>
      <w:r w:rsidRPr="00F16D8F">
        <w:rPr>
          <w:rFonts w:ascii="Georgia" w:hAnsi="Georgia"/>
          <w:i/>
          <w:color w:val="000000" w:themeColor="text1"/>
          <w:sz w:val="22"/>
          <w:szCs w:val="22"/>
        </w:rPr>
        <w:t>See</w:t>
      </w:r>
      <w:r w:rsidRPr="00F16D8F">
        <w:rPr>
          <w:rFonts w:ascii="Georgia" w:hAnsi="Georgia"/>
          <w:color w:val="000000" w:themeColor="text1"/>
          <w:sz w:val="22"/>
          <w:szCs w:val="22"/>
        </w:rPr>
        <w:t xml:space="preserve"> </w:t>
      </w:r>
      <w:hyperlink r:id="rId34">
        <w:r w:rsidRPr="00F16D8F">
          <w:rPr>
            <w:rFonts w:ascii="Georgia" w:hAnsi="Georgia"/>
            <w:color w:val="000000" w:themeColor="text1"/>
            <w:sz w:val="22"/>
            <w:szCs w:val="22"/>
          </w:rPr>
          <w:t>15 U.S.C. §§ 1051</w:t>
        </w:r>
      </w:hyperlink>
      <w:r w:rsidRPr="00F16D8F">
        <w:rPr>
          <w:rFonts w:ascii="Georgia" w:hAnsi="Georgia"/>
          <w:color w:val="000000" w:themeColor="text1"/>
          <w:sz w:val="22"/>
          <w:szCs w:val="22"/>
        </w:rPr>
        <w:t xml:space="preserve">, </w:t>
      </w:r>
      <w:hyperlink r:id="rId35">
        <w:r w:rsidRPr="00F16D8F">
          <w:rPr>
            <w:rFonts w:ascii="Georgia" w:hAnsi="Georgia"/>
            <w:color w:val="000000" w:themeColor="text1"/>
            <w:sz w:val="22"/>
            <w:szCs w:val="22"/>
          </w:rPr>
          <w:t>1052</w:t>
        </w:r>
      </w:hyperlink>
      <w:r w:rsidRPr="00F16D8F">
        <w:rPr>
          <w:rFonts w:ascii="Georgia" w:hAnsi="Georgia"/>
          <w:color w:val="000000" w:themeColor="text1"/>
          <w:sz w:val="22"/>
          <w:szCs w:val="22"/>
        </w:rPr>
        <w:t>. By definition, a “trademark” must indicate a product's source:</w:t>
      </w:r>
    </w:p>
    <w:p w14:paraId="31000E50" w14:textId="77777777" w:rsidR="003010EC" w:rsidRPr="00F16D8F" w:rsidRDefault="00000000">
      <w:pPr>
        <w:spacing w:before="200" w:after="0" w:line="275" w:lineRule="atLeast"/>
        <w:ind w:left="480" w:right="480"/>
        <w:jc w:val="both"/>
        <w:rPr>
          <w:rFonts w:ascii="Georgia" w:hAnsi="Georgia"/>
          <w:color w:val="000000" w:themeColor="text1"/>
          <w:sz w:val="22"/>
          <w:szCs w:val="22"/>
        </w:rPr>
      </w:pPr>
      <w:r w:rsidRPr="00F16D8F">
        <w:rPr>
          <w:rFonts w:ascii="Georgia" w:hAnsi="Georgia"/>
          <w:color w:val="000000" w:themeColor="text1"/>
          <w:sz w:val="22"/>
          <w:szCs w:val="22"/>
        </w:rPr>
        <w:t>The term “trademark” includes any word, name, symbol, or device, or any combination thereof—(1) used by a person, or (2) which a person has a bona fide intention to use in commerce ..., to identify and distinguish his or her goods, including a unique product, from those manufactured or sold by others and to indicate the source of the goods, even if that source is unknown.</w:t>
      </w:r>
    </w:p>
    <w:p w14:paraId="6A31EC13" w14:textId="77777777" w:rsidR="003010EC" w:rsidRPr="00F16D8F" w:rsidRDefault="00000000">
      <w:pPr>
        <w:spacing w:before="200" w:after="0" w:line="275" w:lineRule="atLeast"/>
        <w:jc w:val="both"/>
        <w:rPr>
          <w:rFonts w:ascii="Georgia" w:hAnsi="Georgia"/>
          <w:color w:val="000000" w:themeColor="text1"/>
          <w:sz w:val="22"/>
          <w:szCs w:val="22"/>
        </w:rPr>
      </w:pPr>
      <w:hyperlink r:id="rId36">
        <w:r w:rsidRPr="00F16D8F">
          <w:rPr>
            <w:rFonts w:ascii="Georgia" w:hAnsi="Georgia"/>
            <w:color w:val="000000" w:themeColor="text1"/>
            <w:sz w:val="22"/>
            <w:szCs w:val="22"/>
          </w:rPr>
          <w:t>15 U.S.C. § 1127</w:t>
        </w:r>
      </w:hyperlink>
      <w:r w:rsidRPr="00F16D8F">
        <w:rPr>
          <w:rFonts w:ascii="Georgia" w:hAnsi="Georgia"/>
          <w:color w:val="000000" w:themeColor="text1"/>
          <w:sz w:val="22"/>
          <w:szCs w:val="22"/>
        </w:rPr>
        <w:t xml:space="preserve">. It is thus “a threshold requirement of registrability that [an applied-for] mark ‘identify and distinguish’ the goods and services of the applicant from those of others, as well as ‘indicate the source’ of those goods and services.” </w:t>
      </w:r>
      <w:hyperlink r:id="rId37" w:anchor="co_pp_sp_8173_1356">
        <w:r w:rsidRPr="00F16D8F">
          <w:rPr>
            <w:rFonts w:ascii="Georgia" w:hAnsi="Georgia"/>
            <w:i/>
            <w:color w:val="000000" w:themeColor="text1"/>
            <w:sz w:val="22"/>
            <w:szCs w:val="22"/>
          </w:rPr>
          <w:t>In re GO &amp; Assocs., LLC</w:t>
        </w:r>
        <w:r w:rsidRPr="00F16D8F">
          <w:rPr>
            <w:rFonts w:ascii="Georgia" w:hAnsi="Georgia"/>
            <w:color w:val="000000" w:themeColor="text1"/>
            <w:sz w:val="22"/>
            <w:szCs w:val="22"/>
          </w:rPr>
          <w:t>, 90 F.4th 1354, 1356 (Fed. Cir. 2024)</w:t>
        </w:r>
      </w:hyperlink>
      <w:r w:rsidRPr="00F16D8F">
        <w:rPr>
          <w:rFonts w:ascii="Georgia" w:hAnsi="Georgia"/>
          <w:color w:val="000000" w:themeColor="text1"/>
          <w:sz w:val="22"/>
          <w:szCs w:val="22"/>
        </w:rPr>
        <w:t xml:space="preserve"> (quoting </w:t>
      </w:r>
      <w:hyperlink r:id="rId38">
        <w:r w:rsidRPr="00F16D8F">
          <w:rPr>
            <w:rFonts w:ascii="Georgia" w:hAnsi="Georgia"/>
            <w:color w:val="000000" w:themeColor="text1"/>
            <w:sz w:val="22"/>
            <w:szCs w:val="22"/>
          </w:rPr>
          <w:t>15 U.S.C. § 1127</w:t>
        </w:r>
      </w:hyperlink>
      <w:r w:rsidRPr="00F16D8F">
        <w:rPr>
          <w:rFonts w:ascii="Georgia" w:hAnsi="Georgia"/>
          <w:color w:val="000000" w:themeColor="text1"/>
          <w:sz w:val="22"/>
          <w:szCs w:val="22"/>
        </w:rPr>
        <w:t xml:space="preserve">); </w:t>
      </w:r>
      <w:hyperlink r:id="rId39" w:anchor="co_pp_sp_780_146">
        <w:r w:rsidRPr="00F16D8F">
          <w:rPr>
            <w:rFonts w:ascii="Georgia" w:hAnsi="Georgia"/>
            <w:i/>
            <w:color w:val="000000" w:themeColor="text1"/>
            <w:sz w:val="22"/>
            <w:szCs w:val="22"/>
          </w:rPr>
          <w:t>Jack Daniel's Props., Inc. v. VIP Prods. LLC</w:t>
        </w:r>
        <w:r w:rsidRPr="00F16D8F">
          <w:rPr>
            <w:rFonts w:ascii="Georgia" w:hAnsi="Georgia"/>
            <w:color w:val="000000" w:themeColor="text1"/>
            <w:sz w:val="22"/>
            <w:szCs w:val="22"/>
          </w:rPr>
          <w:t xml:space="preserve">, 599 U.S. 140, 146, 143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1578, 216 L.Ed.2d 161 (2023)</w:t>
        </w:r>
      </w:hyperlink>
      <w:r w:rsidRPr="00F16D8F">
        <w:rPr>
          <w:rFonts w:ascii="Georgia" w:hAnsi="Georgia"/>
          <w:color w:val="000000" w:themeColor="text1"/>
          <w:sz w:val="22"/>
          <w:szCs w:val="22"/>
        </w:rPr>
        <w:t xml:space="preserve"> (“[A] trademark is not a trademark unless it identifies a product's source (this is a Nike) and distinguishes that source from others (not any other sneaker brand).”).</w:t>
      </w:r>
    </w:p>
    <w:p w14:paraId="183A8D04"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19408C73" w14:textId="29576740"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To distinguish one producer's goods or services from another's, and thus be a registerable trademark, a proposed mark must be “distinctive,” either inherently or through the acquisition of secondary meaning. </w:t>
      </w:r>
      <w:hyperlink r:id="rId40">
        <w:r w:rsidRPr="00F16D8F">
          <w:rPr>
            <w:rFonts w:ascii="Georgia" w:hAnsi="Georgia"/>
            <w:color w:val="000000" w:themeColor="text1"/>
            <w:sz w:val="22"/>
            <w:szCs w:val="22"/>
          </w:rPr>
          <w:t xml:space="preserve">1 J. Thomas McCarthy, </w:t>
        </w:r>
        <w:r w:rsidRPr="00F16D8F">
          <w:rPr>
            <w:rFonts w:ascii="Georgia" w:hAnsi="Georgia"/>
            <w:i/>
            <w:color w:val="000000" w:themeColor="text1"/>
            <w:sz w:val="22"/>
            <w:szCs w:val="22"/>
          </w:rPr>
          <w:t>McCarthy on Trademarks &amp; Unfair Competition</w:t>
        </w:r>
        <w:r w:rsidRPr="00F16D8F">
          <w:rPr>
            <w:rFonts w:ascii="Georgia" w:hAnsi="Georgia"/>
            <w:color w:val="000000" w:themeColor="text1"/>
            <w:sz w:val="22"/>
            <w:szCs w:val="22"/>
          </w:rPr>
          <w:t xml:space="preserve"> § 4:13 (5th ed.)</w:t>
        </w:r>
      </w:hyperlink>
      <w:r w:rsidRPr="00F16D8F">
        <w:rPr>
          <w:rFonts w:ascii="Georgia" w:hAnsi="Georgia"/>
          <w:color w:val="000000" w:themeColor="text1"/>
          <w:sz w:val="22"/>
          <w:szCs w:val="22"/>
        </w:rPr>
        <w:t xml:space="preserve"> (“McCarthy”). “Distinctiveness is often expressed on an increasing scale: Word marks ‘may be (1) generic; (2) descriptive; (3) suggestive; (4) arbitrary; or (5) fanciful.’ ” </w:t>
      </w:r>
      <w:hyperlink r:id="rId41" w:anchor="co_pp_sp_708_553">
        <w:r w:rsidRPr="00F16D8F">
          <w:rPr>
            <w:rFonts w:ascii="Georgia" w:hAnsi="Georgia"/>
            <w:i/>
            <w:color w:val="000000" w:themeColor="text1"/>
            <w:sz w:val="22"/>
            <w:szCs w:val="22"/>
          </w:rPr>
          <w:t>United States Pat. &amp; Trademark Off. v. Booking.com B. V.</w:t>
        </w:r>
        <w:r w:rsidRPr="00F16D8F">
          <w:rPr>
            <w:rFonts w:ascii="Georgia" w:hAnsi="Georgia"/>
            <w:color w:val="000000" w:themeColor="text1"/>
            <w:sz w:val="22"/>
            <w:szCs w:val="22"/>
          </w:rPr>
          <w:t xml:space="preserve">, 591 U.S. 549, 553, 140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2298, 207 L.Ed.2d 738 (2020)</w:t>
        </w:r>
      </w:hyperlink>
      <w:r w:rsidRPr="00F16D8F">
        <w:rPr>
          <w:rFonts w:ascii="Georgia" w:hAnsi="Georgia"/>
          <w:color w:val="000000" w:themeColor="text1"/>
          <w:sz w:val="22"/>
          <w:szCs w:val="22"/>
        </w:rPr>
        <w:t xml:space="preserve"> (quoting </w:t>
      </w:r>
      <w:hyperlink r:id="rId42" w:anchor="co_pp_sp_780_768">
        <w:r w:rsidRPr="00F16D8F">
          <w:rPr>
            <w:rFonts w:ascii="Georgia" w:hAnsi="Georgia"/>
            <w:i/>
            <w:color w:val="000000" w:themeColor="text1"/>
            <w:sz w:val="22"/>
            <w:szCs w:val="22"/>
          </w:rPr>
          <w:t>Two Pesos, Inc. v. Taco Cabana, Inc.</w:t>
        </w:r>
        <w:r w:rsidRPr="00F16D8F">
          <w:rPr>
            <w:rFonts w:ascii="Georgia" w:hAnsi="Georgia"/>
            <w:color w:val="000000" w:themeColor="text1"/>
            <w:sz w:val="22"/>
            <w:szCs w:val="22"/>
          </w:rPr>
          <w:t xml:space="preserve">, 505 U.S. 763, 768, 112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2753, 120 L.Ed.2d 615 (1992)</w:t>
        </w:r>
      </w:hyperlink>
      <w:r w:rsidRPr="00F16D8F">
        <w:rPr>
          <w:rFonts w:ascii="Georgia" w:hAnsi="Georgia"/>
          <w:color w:val="000000" w:themeColor="text1"/>
          <w:sz w:val="22"/>
          <w:szCs w:val="22"/>
        </w:rPr>
        <w:t xml:space="preserve">). “A mark that is, for example, generic or descriptive, fails to function as a source identifier, </w:t>
      </w:r>
      <w:r w:rsidRPr="00F16D8F">
        <w:rPr>
          <w:rFonts w:ascii="Georgia" w:hAnsi="Georgia"/>
          <w:color w:val="000000" w:themeColor="text1"/>
          <w:sz w:val="22"/>
          <w:szCs w:val="22"/>
        </w:rPr>
        <w:lastRenderedPageBreak/>
        <w:t xml:space="preserve">though descriptive marks can be registered if they have acquired secondary meaning in the perception of consumers.” </w:t>
      </w:r>
      <w:hyperlink r:id="rId43" w:anchor="co_pp_sp_8173_1351">
        <w:r w:rsidRPr="00F16D8F">
          <w:rPr>
            <w:rFonts w:ascii="Georgia" w:hAnsi="Georgia"/>
            <w:i/>
            <w:color w:val="000000" w:themeColor="text1"/>
            <w:sz w:val="22"/>
            <w:szCs w:val="22"/>
          </w:rPr>
          <w:t>In re Vox Populi Registry Ltd.</w:t>
        </w:r>
        <w:r w:rsidRPr="00F16D8F">
          <w:rPr>
            <w:rFonts w:ascii="Georgia" w:hAnsi="Georgia"/>
            <w:color w:val="000000" w:themeColor="text1"/>
            <w:sz w:val="22"/>
            <w:szCs w:val="22"/>
          </w:rPr>
          <w:t>, 25 F.4th 1348, 1351 (Fed. Cir. 2022)</w:t>
        </w:r>
      </w:hyperlink>
      <w:r w:rsidRPr="00F16D8F">
        <w:rPr>
          <w:rFonts w:ascii="Georgia" w:hAnsi="Georgia"/>
          <w:color w:val="000000" w:themeColor="text1"/>
          <w:sz w:val="22"/>
          <w:szCs w:val="22"/>
        </w:rPr>
        <w:t xml:space="preserve"> (citations omitted).</w:t>
      </w:r>
      <w:bookmarkStart w:id="15" w:name="co_fnRef_B00082057667919_ID0EVTAI_1"/>
      <w:r w:rsidR="004A27E3" w:rsidRPr="00F16D8F">
        <w:rPr>
          <w:rStyle w:val="FootnoteReference"/>
          <w:rFonts w:ascii="Georgia" w:hAnsi="Georgia"/>
          <w:color w:val="000000" w:themeColor="text1"/>
          <w:sz w:val="22"/>
          <w:szCs w:val="22"/>
        </w:rPr>
        <w:footnoteReference w:id="8"/>
      </w:r>
      <w:bookmarkEnd w:id="15"/>
      <w:r w:rsidR="004A27E3" w:rsidRPr="00F16D8F">
        <w:rPr>
          <w:rFonts w:ascii="Georgia" w:hAnsi="Georgia"/>
          <w:color w:val="000000" w:themeColor="text1"/>
          <w:sz w:val="22"/>
          <w:szCs w:val="22"/>
        </w:rPr>
        <w:t xml:space="preserve"> </w:t>
      </w:r>
    </w:p>
    <w:p w14:paraId="5C58E1E1"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30F77734" w14:textId="7F4EE4F5"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But “the source identifier requirement is broader than just whether a proposed mark is generic or descriptive.” </w:t>
      </w:r>
      <w:hyperlink r:id="rId44" w:anchor="co_pp_sp_8173_1351">
        <w:r w:rsidRPr="00F16D8F">
          <w:rPr>
            <w:rFonts w:ascii="Georgia" w:hAnsi="Georgia"/>
            <w:i/>
            <w:color w:val="000000" w:themeColor="text1"/>
            <w:sz w:val="22"/>
            <w:szCs w:val="22"/>
          </w:rPr>
          <w:t>Vox</w:t>
        </w:r>
        <w:r w:rsidRPr="00F16D8F">
          <w:rPr>
            <w:rFonts w:ascii="Georgia" w:hAnsi="Georgia"/>
            <w:color w:val="000000" w:themeColor="text1"/>
            <w:sz w:val="22"/>
            <w:szCs w:val="22"/>
          </w:rPr>
          <w:t>, 25 F.4th at 1351</w:t>
        </w:r>
      </w:hyperlink>
      <w:r w:rsidRPr="00F16D8F">
        <w:rPr>
          <w:rFonts w:ascii="Georgia" w:hAnsi="Georgia"/>
          <w:color w:val="000000" w:themeColor="text1"/>
          <w:sz w:val="22"/>
          <w:szCs w:val="22"/>
        </w:rPr>
        <w:t xml:space="preserve">. The Supreme Court and our court have recognized that a claimed mark that does not serve as a source identifier cannot be registered under the Lanham Act. </w:t>
      </w:r>
      <w:hyperlink r:id="rId45" w:anchor="co_pp_sp_780_162">
        <w:proofErr w:type="spellStart"/>
        <w:r w:rsidRPr="00F16D8F">
          <w:rPr>
            <w:rFonts w:ascii="Georgia" w:hAnsi="Georgia"/>
            <w:i/>
            <w:color w:val="000000" w:themeColor="text1"/>
            <w:sz w:val="22"/>
            <w:szCs w:val="22"/>
          </w:rPr>
          <w:t>Qualitex</w:t>
        </w:r>
        <w:proofErr w:type="spellEnd"/>
        <w:r w:rsidRPr="00F16D8F">
          <w:rPr>
            <w:rFonts w:ascii="Georgia" w:hAnsi="Georgia"/>
            <w:i/>
            <w:color w:val="000000" w:themeColor="text1"/>
            <w:sz w:val="22"/>
            <w:szCs w:val="22"/>
          </w:rPr>
          <w:t xml:space="preserve"> Co. v. Jacobson Prods. Co.</w:t>
        </w:r>
        <w:r w:rsidRPr="00F16D8F">
          <w:rPr>
            <w:rFonts w:ascii="Georgia" w:hAnsi="Georgia"/>
            <w:color w:val="000000" w:themeColor="text1"/>
            <w:sz w:val="22"/>
            <w:szCs w:val="22"/>
          </w:rPr>
          <w:t xml:space="preserve">, 514 U.S. 159, 162–64, 115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1300, 131 L.Ed.2d 248 (1995)</w:t>
        </w:r>
      </w:hyperlink>
      <w:r w:rsidRPr="00F16D8F">
        <w:rPr>
          <w:rFonts w:ascii="Georgia" w:hAnsi="Georgia"/>
          <w:color w:val="000000" w:themeColor="text1"/>
          <w:sz w:val="22"/>
          <w:szCs w:val="22"/>
        </w:rPr>
        <w:t xml:space="preserve"> (“It is the source-distinguishing ability of a mark ... that permits it to serve the[ ] basic purposes [of trademark law].”); </w:t>
      </w:r>
      <w:hyperlink r:id="rId46" w:anchor="co_pp_sp_8173_1356">
        <w:r w:rsidRPr="00F16D8F">
          <w:rPr>
            <w:rFonts w:ascii="Georgia" w:hAnsi="Georgia"/>
            <w:i/>
            <w:color w:val="000000" w:themeColor="text1"/>
            <w:sz w:val="22"/>
            <w:szCs w:val="22"/>
          </w:rPr>
          <w:t>GO</w:t>
        </w:r>
        <w:r w:rsidRPr="00F16D8F">
          <w:rPr>
            <w:rFonts w:ascii="Georgia" w:hAnsi="Georgia"/>
            <w:color w:val="000000" w:themeColor="text1"/>
            <w:sz w:val="22"/>
            <w:szCs w:val="22"/>
          </w:rPr>
          <w:t>, 90 F.4th at 1356</w:t>
        </w:r>
      </w:hyperlink>
      <w:r w:rsidRPr="00F16D8F">
        <w:rPr>
          <w:rFonts w:ascii="Georgia" w:hAnsi="Georgia"/>
          <w:color w:val="000000" w:themeColor="text1"/>
          <w:sz w:val="22"/>
          <w:szCs w:val="22"/>
        </w:rPr>
        <w:t xml:space="preserve"> (“If the nature of a proposed mark would not be perceived by consumers as identifying the source of a good or service, it is not registrable.”); </w:t>
      </w:r>
      <w:hyperlink r:id="rId47" w:anchor="co_pp_sp_8173_1350">
        <w:r w:rsidRPr="00F16D8F">
          <w:rPr>
            <w:rFonts w:ascii="Georgia" w:hAnsi="Georgia"/>
            <w:i/>
            <w:color w:val="000000" w:themeColor="text1"/>
            <w:sz w:val="22"/>
            <w:szCs w:val="22"/>
          </w:rPr>
          <w:t>Vox</w:t>
        </w:r>
        <w:r w:rsidRPr="00F16D8F">
          <w:rPr>
            <w:rFonts w:ascii="Georgia" w:hAnsi="Georgia"/>
            <w:color w:val="000000" w:themeColor="text1"/>
            <w:sz w:val="22"/>
            <w:szCs w:val="22"/>
          </w:rPr>
          <w:t>, 25 F.4th at 1350–51</w:t>
        </w:r>
      </w:hyperlink>
      <w:r w:rsidRPr="00F16D8F">
        <w:rPr>
          <w:rFonts w:ascii="Georgia" w:hAnsi="Georgia"/>
          <w:color w:val="000000" w:themeColor="text1"/>
          <w:sz w:val="22"/>
          <w:szCs w:val="22"/>
        </w:rPr>
        <w:t xml:space="preserve"> (“[T]he source identifier and descriptiveness inquiries are ‘complementary and opposite sides of the same coin to the extent that a mark ... is “merely descriptive” of the goods.’ ” (quoting </w:t>
      </w:r>
      <w:hyperlink r:id="rId48" w:anchor="co_pp_sp_350_613">
        <w:r w:rsidRPr="00F16D8F">
          <w:rPr>
            <w:rFonts w:ascii="Georgia" w:hAnsi="Georgia"/>
            <w:i/>
            <w:color w:val="000000" w:themeColor="text1"/>
            <w:sz w:val="22"/>
            <w:szCs w:val="22"/>
          </w:rPr>
          <w:t>In re Cooper</w:t>
        </w:r>
        <w:r w:rsidRPr="00F16D8F">
          <w:rPr>
            <w:rFonts w:ascii="Georgia" w:hAnsi="Georgia"/>
            <w:color w:val="000000" w:themeColor="text1"/>
            <w:sz w:val="22"/>
            <w:szCs w:val="22"/>
          </w:rPr>
          <w:t>, 254 F.2d 611, 613 (CCPA 1958)</w:t>
        </w:r>
      </w:hyperlink>
      <w:r w:rsidRPr="00F16D8F">
        <w:rPr>
          <w:rFonts w:ascii="Georgia" w:hAnsi="Georgia"/>
          <w:color w:val="000000" w:themeColor="text1"/>
          <w:sz w:val="22"/>
          <w:szCs w:val="22"/>
        </w:rPr>
        <w:t>). It is thus well-established that an applied-for mark that does not serve as a source identifier fails to function as a trademark and should be refused federal trademark registration.</w:t>
      </w:r>
    </w:p>
    <w:p w14:paraId="20A4CA01"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6CE6401C" w14:textId="31297165"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The source-identifier inquiry “typically focuses on how the mark is used in the marketplace and how it is perceived by consumers.” </w:t>
      </w:r>
      <w:hyperlink r:id="rId49" w:anchor="co_pp_sp_8173_1356">
        <w:r w:rsidRPr="00F16D8F">
          <w:rPr>
            <w:rFonts w:ascii="Georgia" w:hAnsi="Georgia"/>
            <w:i/>
            <w:color w:val="000000" w:themeColor="text1"/>
            <w:sz w:val="22"/>
            <w:szCs w:val="22"/>
          </w:rPr>
          <w:t>GO</w:t>
        </w:r>
        <w:r w:rsidRPr="00F16D8F">
          <w:rPr>
            <w:rFonts w:ascii="Georgia" w:hAnsi="Georgia"/>
            <w:color w:val="000000" w:themeColor="text1"/>
            <w:sz w:val="22"/>
            <w:szCs w:val="22"/>
          </w:rPr>
          <w:t>, 90 F.4th at 1356</w:t>
        </w:r>
      </w:hyperlink>
      <w:r w:rsidRPr="00F16D8F">
        <w:rPr>
          <w:rFonts w:ascii="Georgia" w:hAnsi="Georgia"/>
          <w:color w:val="000000" w:themeColor="text1"/>
          <w:sz w:val="22"/>
          <w:szCs w:val="22"/>
        </w:rPr>
        <w:t xml:space="preserve">. Whether or not a proposed mark functions as a source identifier is a question of fact that we review for substantial evidence. </w:t>
      </w:r>
      <w:hyperlink r:id="rId50" w:anchor="co_pp_sp_8173_1357">
        <w:r w:rsidRPr="00F16D8F">
          <w:rPr>
            <w:rFonts w:ascii="Georgia" w:hAnsi="Georgia"/>
            <w:i/>
            <w:color w:val="000000" w:themeColor="text1"/>
            <w:sz w:val="22"/>
            <w:szCs w:val="22"/>
          </w:rPr>
          <w:t>Id.</w:t>
        </w:r>
        <w:r w:rsidRPr="00F16D8F">
          <w:rPr>
            <w:rFonts w:ascii="Georgia" w:hAnsi="Georgia"/>
            <w:color w:val="000000" w:themeColor="text1"/>
            <w:sz w:val="22"/>
            <w:szCs w:val="22"/>
          </w:rPr>
          <w:t xml:space="preserve"> at 1357</w:t>
        </w:r>
      </w:hyperlink>
      <w:r w:rsidRPr="00F16D8F">
        <w:rPr>
          <w:rFonts w:ascii="Georgia" w:hAnsi="Georgia"/>
          <w:color w:val="000000" w:themeColor="text1"/>
          <w:sz w:val="22"/>
          <w:szCs w:val="22"/>
        </w:rPr>
        <w:t xml:space="preserve">. At least as an initial matter, the examining attorney bears the burden to establish a prima facie case of failure to function.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40–41.</w:t>
      </w:r>
      <w:bookmarkStart w:id="16" w:name="co_fnRef_B00092057667919_ID0EG3AI_1"/>
      <w:r w:rsidR="004A27E3" w:rsidRPr="00F16D8F">
        <w:rPr>
          <w:rStyle w:val="FootnoteReference"/>
          <w:rFonts w:ascii="Georgia" w:hAnsi="Georgia"/>
          <w:color w:val="000000" w:themeColor="text1"/>
          <w:sz w:val="22"/>
          <w:szCs w:val="22"/>
        </w:rPr>
        <w:footnoteReference w:id="9"/>
      </w:r>
      <w:bookmarkEnd w:id="16"/>
      <w:r w:rsidR="00F16D8F" w:rsidRPr="00F16D8F">
        <w:rPr>
          <w:rFonts w:ascii="Georgia" w:hAnsi="Georgia"/>
          <w:color w:val="000000" w:themeColor="text1"/>
          <w:sz w:val="22"/>
          <w:szCs w:val="22"/>
        </w:rPr>
        <w:t xml:space="preserve"> </w:t>
      </w:r>
    </w:p>
    <w:p w14:paraId="27A674FF" w14:textId="451D5B0B" w:rsidR="003010EC" w:rsidRPr="00F16D8F" w:rsidRDefault="00000000" w:rsidP="004A27E3">
      <w:pPr>
        <w:spacing w:after="0" w:line="275" w:lineRule="atLeast"/>
        <w:jc w:val="center"/>
        <w:rPr>
          <w:rFonts w:ascii="Georgia" w:hAnsi="Georgia"/>
          <w:color w:val="000000" w:themeColor="text1"/>
          <w:sz w:val="22"/>
          <w:szCs w:val="22"/>
        </w:rPr>
      </w:pPr>
      <w:bookmarkStart w:id="17" w:name="co_anchor_I5197dc71841211f09b889397c184"/>
      <w:r w:rsidRPr="00F16D8F">
        <w:rPr>
          <w:rFonts w:ascii="Georgia" w:hAnsi="Georgia"/>
          <w:color w:val="000000" w:themeColor="text1"/>
          <w:sz w:val="22"/>
          <w:szCs w:val="22"/>
        </w:rPr>
        <w:t>B</w:t>
      </w:r>
    </w:p>
    <w:bookmarkEnd w:id="17"/>
    <w:p w14:paraId="37E31049" w14:textId="77777777" w:rsidR="003010EC" w:rsidRPr="00F16D8F" w:rsidRDefault="00000000" w:rsidP="00F16D8F">
      <w:pPr>
        <w:spacing w:before="200"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lastRenderedPageBreak/>
        <w:t>Mr. Brunetti argues that the Board misconstrued the failure-to-function doctrine in holding that marks cannot be registered if they are “widely-used commonplace terms.” Appellant's Br. 25. Neither the examining attorney nor the Board made such a holding.</w:t>
      </w:r>
    </w:p>
    <w:p w14:paraId="1CF49C76"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6F230978" w14:textId="77777777"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The examining attorney explained that the basis for the refusals was that “the applied-for mark [was] a slogan or term that [did] not function as a trademark or service mark to indicate the source of applicant's goods and/or services and to identify and distinguish them from others.”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116; </w:t>
      </w:r>
      <w:r w:rsidRPr="00F16D8F">
        <w:rPr>
          <w:rFonts w:ascii="Georgia" w:hAnsi="Georgia"/>
          <w:i/>
          <w:color w:val="000000" w:themeColor="text1"/>
          <w:sz w:val="22"/>
          <w:szCs w:val="22"/>
        </w:rPr>
        <w:t>accord</w:t>
      </w:r>
      <w:r w:rsidRPr="00F16D8F">
        <w:rPr>
          <w:rFonts w:ascii="Georgia" w:hAnsi="Georgia"/>
          <w:color w:val="000000" w:themeColor="text1"/>
          <w:sz w:val="22"/>
          <w:szCs w:val="22"/>
        </w:rPr>
        <w:t xml:space="preserve">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191, 1552. The Board's affirmance similarly was based on the applied-for mark's failure to distinguish the goods and services of the user from those of others, i.e., its failure to function as a trademark. </w:t>
      </w:r>
      <w:r w:rsidRPr="00F16D8F">
        <w:rPr>
          <w:rFonts w:ascii="Georgia" w:hAnsi="Georgia"/>
          <w:i/>
          <w:color w:val="000000" w:themeColor="text1"/>
          <w:sz w:val="22"/>
          <w:szCs w:val="22"/>
        </w:rPr>
        <w:t>See, e.g.</w:t>
      </w:r>
      <w:r w:rsidRPr="00F16D8F">
        <w:rPr>
          <w:rFonts w:ascii="Georgia" w:hAnsi="Georgia"/>
          <w:color w:val="000000" w:themeColor="text1"/>
          <w:sz w:val="22"/>
          <w:szCs w:val="22"/>
        </w:rPr>
        <w:t xml:space="preserve">,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28–29, 63–64. The Board made clear that “commonality ... is not the test” for determining whether an applied-for mark functions as a trademark.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36; </w:t>
      </w:r>
      <w:r w:rsidRPr="00F16D8F">
        <w:rPr>
          <w:rFonts w:ascii="Georgia" w:hAnsi="Georgia"/>
          <w:i/>
          <w:color w:val="000000" w:themeColor="text1"/>
          <w:sz w:val="22"/>
          <w:szCs w:val="22"/>
        </w:rPr>
        <w:t>see also</w:t>
      </w:r>
      <w:r w:rsidRPr="00F16D8F">
        <w:rPr>
          <w:rFonts w:ascii="Georgia" w:hAnsi="Georgia"/>
          <w:color w:val="000000" w:themeColor="text1"/>
          <w:sz w:val="22"/>
          <w:szCs w:val="22"/>
        </w:rPr>
        <w:t xml:space="preserve">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45 n.79.</w:t>
      </w:r>
    </w:p>
    <w:p w14:paraId="2E2F400C"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65B8E526" w14:textId="72EDE494"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This is correct under our </w:t>
      </w:r>
      <w:proofErr w:type="gramStart"/>
      <w:r w:rsidRPr="00F16D8F">
        <w:rPr>
          <w:rFonts w:ascii="Georgia" w:hAnsi="Georgia"/>
          <w:color w:val="000000" w:themeColor="text1"/>
          <w:sz w:val="22"/>
          <w:szCs w:val="22"/>
        </w:rPr>
        <w:t>caselaw—</w:t>
      </w:r>
      <w:proofErr w:type="gramEnd"/>
      <w:r w:rsidRPr="00F16D8F">
        <w:rPr>
          <w:rFonts w:ascii="Georgia" w:hAnsi="Georgia"/>
          <w:color w:val="000000" w:themeColor="text1"/>
          <w:sz w:val="22"/>
          <w:szCs w:val="22"/>
        </w:rPr>
        <w:t xml:space="preserve">the fact that a mark is a commonplace word </w:t>
      </w:r>
      <w:proofErr w:type="gramStart"/>
      <w:r w:rsidRPr="00F16D8F">
        <w:rPr>
          <w:rFonts w:ascii="Georgia" w:hAnsi="Georgia"/>
          <w:color w:val="000000" w:themeColor="text1"/>
          <w:sz w:val="22"/>
          <w:szCs w:val="22"/>
        </w:rPr>
        <w:t>is itself</w:t>
      </w:r>
      <w:proofErr w:type="gramEnd"/>
      <w:r w:rsidRPr="00F16D8F">
        <w:rPr>
          <w:rFonts w:ascii="Georgia" w:hAnsi="Georgia"/>
          <w:color w:val="000000" w:themeColor="text1"/>
          <w:sz w:val="22"/>
          <w:szCs w:val="22"/>
        </w:rPr>
        <w:t xml:space="preserve"> not a ground for refusing registration. Courts have repeatedly explained that arbitrary or suggestive marks consisting of only a commonplace word or phrase, such as CAMEL for cigarettes, can be inherently distinctive and thus registered on the principal register.</w:t>
      </w:r>
      <w:bookmarkStart w:id="18" w:name="co_fnRef_B00102057667919_ID0EOABI_1"/>
      <w:r w:rsidR="004A27E3" w:rsidRPr="00F16D8F">
        <w:rPr>
          <w:rStyle w:val="FootnoteReference"/>
          <w:rFonts w:ascii="Georgia" w:hAnsi="Georgia"/>
          <w:color w:val="000000" w:themeColor="text1"/>
          <w:sz w:val="22"/>
          <w:szCs w:val="22"/>
        </w:rPr>
        <w:footnoteReference w:id="10"/>
      </w:r>
      <w:bookmarkEnd w:id="18"/>
      <w:r w:rsidRPr="00F16D8F">
        <w:rPr>
          <w:rFonts w:ascii="Georgia" w:hAnsi="Georgia"/>
          <w:color w:val="000000" w:themeColor="text1"/>
          <w:sz w:val="22"/>
          <w:szCs w:val="22"/>
        </w:rPr>
        <w:t xml:space="preserve"> </w:t>
      </w:r>
      <w:r w:rsidRPr="00F16D8F">
        <w:rPr>
          <w:rFonts w:ascii="Georgia" w:hAnsi="Georgia"/>
          <w:i/>
          <w:color w:val="000000" w:themeColor="text1"/>
          <w:sz w:val="22"/>
          <w:szCs w:val="22"/>
        </w:rPr>
        <w:t>See, e.g.</w:t>
      </w:r>
      <w:r w:rsidRPr="00F16D8F">
        <w:rPr>
          <w:rFonts w:ascii="Georgia" w:hAnsi="Georgia"/>
          <w:color w:val="000000" w:themeColor="text1"/>
          <w:sz w:val="22"/>
          <w:szCs w:val="22"/>
        </w:rPr>
        <w:t xml:space="preserve">, </w:t>
      </w:r>
      <w:hyperlink r:id="rId51" w:anchor="co_pp_sp_780_209">
        <w:r w:rsidRPr="00F16D8F">
          <w:rPr>
            <w:rFonts w:ascii="Georgia" w:hAnsi="Georgia"/>
            <w:i/>
            <w:color w:val="000000" w:themeColor="text1"/>
            <w:sz w:val="22"/>
            <w:szCs w:val="22"/>
          </w:rPr>
          <w:t>Wal-Mart Stores, Inc. v. Samara Bros.</w:t>
        </w:r>
        <w:r w:rsidRPr="00F16D8F">
          <w:rPr>
            <w:rFonts w:ascii="Georgia" w:hAnsi="Georgia"/>
            <w:color w:val="000000" w:themeColor="text1"/>
            <w:sz w:val="22"/>
            <w:szCs w:val="22"/>
          </w:rPr>
          <w:t xml:space="preserve">, 529 U.S. 205, 209–11, 120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1339, 146 L.Ed.2d 182 (2000)</w:t>
        </w:r>
      </w:hyperlink>
      <w:r w:rsidRPr="00F16D8F">
        <w:rPr>
          <w:rFonts w:ascii="Georgia" w:hAnsi="Georgia"/>
          <w:color w:val="000000" w:themeColor="text1"/>
          <w:sz w:val="22"/>
          <w:szCs w:val="22"/>
        </w:rPr>
        <w:t xml:space="preserve"> (noting inherent distinctiveness of “arbitrary” marks such as “Camel” cigarettes). The Board's decision appropriately acknowledged that the “commonality” of a word or phrase alone cannot form the basis of a refusal to register an applied-for mark. </w:t>
      </w:r>
      <w:r w:rsidRPr="00F16D8F">
        <w:rPr>
          <w:rFonts w:ascii="Georgia" w:hAnsi="Georgia"/>
          <w:i/>
          <w:color w:val="000000" w:themeColor="text1"/>
          <w:sz w:val="22"/>
          <w:szCs w:val="22"/>
        </w:rPr>
        <w:t>See</w:t>
      </w:r>
      <w:r w:rsidRPr="00F16D8F">
        <w:rPr>
          <w:rFonts w:ascii="Georgia" w:hAnsi="Georgia"/>
          <w:color w:val="000000" w:themeColor="text1"/>
          <w:sz w:val="22"/>
          <w:szCs w:val="22"/>
        </w:rPr>
        <w:t xml:space="preserve">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36;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45 n.79.</w:t>
      </w:r>
    </w:p>
    <w:p w14:paraId="013BC604"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2DA3243A" w14:textId="38FC0231"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Mr. Brunetti also suggests that the Board's decision cannot be sustained under the informational matter doctrine. The Board's failure-to-function analysis in this case is similar to, but not identical to, an informational matter refusal. The Board has held that “[s]logans and other terms that are considered to be merely informational in nature[ ] ... are not registrable.” </w:t>
      </w:r>
      <w:hyperlink r:id="rId52">
        <w:r w:rsidRPr="00F16D8F">
          <w:rPr>
            <w:rFonts w:ascii="Georgia" w:hAnsi="Georgia"/>
            <w:i/>
            <w:color w:val="000000" w:themeColor="text1"/>
            <w:sz w:val="22"/>
            <w:szCs w:val="22"/>
          </w:rPr>
          <w:t>In re Eagle Crest, Inc.</w:t>
        </w:r>
        <w:r w:rsidRPr="00F16D8F">
          <w:rPr>
            <w:rFonts w:ascii="Georgia" w:hAnsi="Georgia"/>
            <w:color w:val="000000" w:themeColor="text1"/>
            <w:sz w:val="22"/>
            <w:szCs w:val="22"/>
          </w:rPr>
          <w:t>, 96 U.S.P.Q.2d 1227, 2010 WL 3441109, at *2 (T.T.A.B. 2010)</w:t>
        </w:r>
      </w:hyperlink>
      <w:r w:rsidRPr="00F16D8F">
        <w:rPr>
          <w:rFonts w:ascii="Georgia" w:hAnsi="Georgia"/>
          <w:color w:val="000000" w:themeColor="text1"/>
          <w:sz w:val="22"/>
          <w:szCs w:val="22"/>
        </w:rPr>
        <w:t xml:space="preserve">. But in those cases, the </w:t>
      </w:r>
      <w:r w:rsidRPr="00F16D8F">
        <w:rPr>
          <w:rFonts w:ascii="Georgia" w:hAnsi="Georgia"/>
          <w:color w:val="000000" w:themeColor="text1"/>
          <w:sz w:val="22"/>
          <w:szCs w:val="22"/>
        </w:rPr>
        <w:lastRenderedPageBreak/>
        <w:t>proposed marks conveyed recognized information.</w:t>
      </w:r>
      <w:bookmarkStart w:id="19" w:name="co_fnRef_B00112057667919_ID0ELFBI_1"/>
      <w:r w:rsidR="004A27E3" w:rsidRPr="00F16D8F">
        <w:rPr>
          <w:rStyle w:val="FootnoteReference"/>
          <w:rFonts w:ascii="Georgia" w:hAnsi="Georgia"/>
          <w:color w:val="000000" w:themeColor="text1"/>
          <w:sz w:val="22"/>
          <w:szCs w:val="22"/>
        </w:rPr>
        <w:footnoteReference w:id="11"/>
      </w:r>
      <w:bookmarkEnd w:id="19"/>
      <w:r w:rsidRPr="00F16D8F">
        <w:rPr>
          <w:rFonts w:ascii="Georgia" w:hAnsi="Georgia"/>
          <w:color w:val="000000" w:themeColor="text1"/>
          <w:sz w:val="22"/>
          <w:szCs w:val="22"/>
        </w:rPr>
        <w:t xml:space="preserve"> In affirming the refusals here, the Board relied on its determination that the applied-for mark “is arguably one of the most expressive words in the English language” and that it is used “to convey a wide[ ] range of recognized concepts and sentiments.”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39. Unlike the proposed marks refused as merely informational matter, the applied-for mark in this case does not convey a single idea or a complete piece of information, nor did the Board analyze it as such. </w:t>
      </w:r>
    </w:p>
    <w:p w14:paraId="20F0D875" w14:textId="77777777" w:rsidR="003010EC" w:rsidRPr="00F16D8F" w:rsidRDefault="00000000">
      <w:pPr>
        <w:spacing w:before="400" w:after="0" w:line="275" w:lineRule="atLeast"/>
        <w:jc w:val="center"/>
        <w:rPr>
          <w:rFonts w:ascii="Georgia" w:hAnsi="Georgia"/>
          <w:b/>
          <w:bCs/>
          <w:color w:val="000000" w:themeColor="text1"/>
          <w:sz w:val="22"/>
          <w:szCs w:val="22"/>
        </w:rPr>
      </w:pPr>
      <w:bookmarkStart w:id="20" w:name="co_anchor_I519bfb21841211f09b889397c184"/>
      <w:r w:rsidRPr="00F16D8F">
        <w:rPr>
          <w:rFonts w:ascii="Georgia" w:hAnsi="Georgia"/>
          <w:b/>
          <w:bCs/>
          <w:color w:val="000000" w:themeColor="text1"/>
          <w:sz w:val="22"/>
          <w:szCs w:val="22"/>
        </w:rPr>
        <w:t>III</w:t>
      </w:r>
    </w:p>
    <w:bookmarkEnd w:id="20"/>
    <w:p w14:paraId="52ACC570" w14:textId="77777777" w:rsidR="003010EC" w:rsidRPr="00F16D8F" w:rsidRDefault="00000000" w:rsidP="00F16D8F">
      <w:pPr>
        <w:spacing w:before="200"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The broad spectrum of marks about which the Board is concerned here is clear enough. The Board focused on the applied-for mark's use as an “all-purpose word.”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38–39 (citation omitted); </w:t>
      </w:r>
      <w:r w:rsidRPr="00F16D8F">
        <w:rPr>
          <w:rFonts w:ascii="Georgia" w:hAnsi="Georgia"/>
          <w:i/>
          <w:color w:val="000000" w:themeColor="text1"/>
          <w:sz w:val="22"/>
          <w:szCs w:val="22"/>
        </w:rPr>
        <w:t>see also id.</w:t>
      </w:r>
      <w:r w:rsidRPr="00F16D8F">
        <w:rPr>
          <w:rFonts w:ascii="Georgia" w:hAnsi="Georgia"/>
          <w:color w:val="000000" w:themeColor="text1"/>
          <w:sz w:val="22"/>
          <w:szCs w:val="22"/>
        </w:rPr>
        <w:t xml:space="preserve"> (“FUCK is no ordinary word, but rather one that has acquired a multitude of recognized meanings since its first recorded use[ ] ....”). We refer to such words with many meanings as “all-purpose word marks.” We see no error in the Board's fact determination that the record demonstrates the “the ubiquity of the term FUCK as an expression to convey a wide[ ] range of recognized concepts and sentiments.”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39.</w:t>
      </w:r>
    </w:p>
    <w:p w14:paraId="491F37B9"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4DA98C79" w14:textId="24C783DA"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But Mr. Brunetti argues that the Board erred by allowing the registration of some all-purpose word marks while inexplicably denying registration of others, including registrations for the word FUCK, without any explanation as to the difference. For example, Mr. Brunetti argues that the PTO has registered other marks consisting only of a ubiquitous word that has a variety of meanings, such as LOVE, and that “all of the 100 most common words in English are registered.” Appellant's Br. 14–16 (emphasis omitted); </w:t>
      </w:r>
      <w:r w:rsidRPr="00F16D8F">
        <w:rPr>
          <w:rFonts w:ascii="Georgia" w:hAnsi="Georgia"/>
          <w:i/>
          <w:color w:val="000000" w:themeColor="text1"/>
          <w:sz w:val="22"/>
          <w:szCs w:val="22"/>
        </w:rPr>
        <w:t>see also</w:t>
      </w:r>
      <w:r w:rsidRPr="00F16D8F">
        <w:rPr>
          <w:rFonts w:ascii="Georgia" w:hAnsi="Georgia"/>
          <w:color w:val="000000" w:themeColor="text1"/>
          <w:sz w:val="22"/>
          <w:szCs w:val="22"/>
        </w:rPr>
        <w:t xml:space="preserve">, </w:t>
      </w:r>
      <w:r w:rsidRPr="00F16D8F">
        <w:rPr>
          <w:rFonts w:ascii="Georgia" w:hAnsi="Georgia"/>
          <w:i/>
          <w:color w:val="000000" w:themeColor="text1"/>
          <w:sz w:val="22"/>
          <w:szCs w:val="22"/>
        </w:rPr>
        <w:t>e.g.</w:t>
      </w:r>
      <w:r w:rsidRPr="00F16D8F">
        <w:rPr>
          <w:rFonts w:ascii="Georgia" w:hAnsi="Georgia"/>
          <w:color w:val="000000" w:themeColor="text1"/>
          <w:sz w:val="22"/>
          <w:szCs w:val="22"/>
        </w:rPr>
        <w:t xml:space="preserve">, </w:t>
      </w:r>
      <w:hyperlink r:id="rId53">
        <w:r w:rsidRPr="00F16D8F">
          <w:rPr>
            <w:rFonts w:ascii="Georgia" w:hAnsi="Georgia"/>
            <w:color w:val="000000" w:themeColor="text1"/>
            <w:sz w:val="22"/>
            <w:szCs w:val="22"/>
          </w:rPr>
          <w:t>U.S. Trademark Registration No. 2191439</w:t>
        </w:r>
      </w:hyperlink>
      <w:r w:rsidRPr="00F16D8F">
        <w:rPr>
          <w:rFonts w:ascii="Georgia" w:hAnsi="Georgia"/>
          <w:color w:val="000000" w:themeColor="text1"/>
          <w:sz w:val="22"/>
          <w:szCs w:val="22"/>
        </w:rPr>
        <w:t xml:space="preserve"> (LOVE in standard characters registered for “fresh fruit and vegetables” on September 22, 1998). In fact, he argues that the applied-for </w:t>
      </w:r>
      <w:r w:rsidRPr="00F16D8F">
        <w:rPr>
          <w:rFonts w:ascii="Georgia" w:hAnsi="Georgia"/>
          <w:color w:val="000000" w:themeColor="text1"/>
          <w:sz w:val="22"/>
          <w:szCs w:val="22"/>
        </w:rPr>
        <w:lastRenderedPageBreak/>
        <w:t xml:space="preserve">mark, FUCK in standard characters, has been registered by a third party for goods in International Class 28, “[s]now globes; [t]oy snow globes,” </w:t>
      </w:r>
      <w:hyperlink r:id="rId54">
        <w:r w:rsidRPr="00F16D8F">
          <w:rPr>
            <w:rFonts w:ascii="Georgia" w:hAnsi="Georgia"/>
            <w:color w:val="000000" w:themeColor="text1"/>
            <w:sz w:val="22"/>
            <w:szCs w:val="22"/>
          </w:rPr>
          <w:t>U.S. Trademark Registration No. 6172195</w:t>
        </w:r>
      </w:hyperlink>
      <w:r w:rsidRPr="00F16D8F">
        <w:rPr>
          <w:rFonts w:ascii="Georgia" w:hAnsi="Georgia"/>
          <w:color w:val="000000" w:themeColor="text1"/>
          <w:sz w:val="22"/>
          <w:szCs w:val="22"/>
        </w:rPr>
        <w:t xml:space="preserve"> (registered Oct. 13, 2020), and then by another party for goods in International Class 30, “[g]</w:t>
      </w:r>
      <w:proofErr w:type="spellStart"/>
      <w:r w:rsidRPr="00F16D8F">
        <w:rPr>
          <w:rFonts w:ascii="Georgia" w:hAnsi="Georgia"/>
          <w:color w:val="000000" w:themeColor="text1"/>
          <w:sz w:val="22"/>
          <w:szCs w:val="22"/>
        </w:rPr>
        <w:t>ummy</w:t>
      </w:r>
      <w:proofErr w:type="spellEnd"/>
      <w:r w:rsidRPr="00F16D8F">
        <w:rPr>
          <w:rFonts w:ascii="Georgia" w:hAnsi="Georgia"/>
          <w:color w:val="000000" w:themeColor="text1"/>
          <w:sz w:val="22"/>
          <w:szCs w:val="22"/>
        </w:rPr>
        <w:t xml:space="preserve"> candies,” </w:t>
      </w:r>
      <w:hyperlink r:id="rId55">
        <w:r w:rsidRPr="00F16D8F">
          <w:rPr>
            <w:rFonts w:ascii="Georgia" w:hAnsi="Georgia"/>
            <w:color w:val="000000" w:themeColor="text1"/>
            <w:sz w:val="22"/>
            <w:szCs w:val="22"/>
          </w:rPr>
          <w:t>U.S. Trademark Registration No. 7344225</w:t>
        </w:r>
      </w:hyperlink>
      <w:r w:rsidRPr="00F16D8F">
        <w:rPr>
          <w:rFonts w:ascii="Georgia" w:hAnsi="Georgia"/>
          <w:color w:val="000000" w:themeColor="text1"/>
          <w:sz w:val="22"/>
          <w:szCs w:val="22"/>
        </w:rPr>
        <w:t xml:space="preserve"> (registered Apr. 2, 2024), after the Board's decision in this case was published.</w:t>
      </w:r>
      <w:bookmarkStart w:id="21" w:name="co_fnRef_B00122057667919_ID0EYMBI_1"/>
      <w:r w:rsidR="004A27E3" w:rsidRPr="00F16D8F">
        <w:rPr>
          <w:rStyle w:val="FootnoteReference"/>
          <w:rFonts w:ascii="Georgia" w:hAnsi="Georgia"/>
          <w:color w:val="000000" w:themeColor="text1"/>
          <w:sz w:val="22"/>
          <w:szCs w:val="22"/>
        </w:rPr>
        <w:footnoteReference w:id="12"/>
      </w:r>
      <w:bookmarkEnd w:id="21"/>
      <w:r w:rsidR="004A27E3" w:rsidRPr="00F16D8F">
        <w:rPr>
          <w:rFonts w:ascii="Georgia" w:hAnsi="Georgia"/>
          <w:color w:val="000000" w:themeColor="text1"/>
          <w:sz w:val="22"/>
          <w:szCs w:val="22"/>
        </w:rPr>
        <w:t xml:space="preserve"> </w:t>
      </w:r>
    </w:p>
    <w:p w14:paraId="7C7ED6BE"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6F69C914" w14:textId="133E92A0"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On appeal, the PTO does not dispute the existence of these registrations. It admits that “the [PTO] has registered other marks including FUCK or other common words,” Appellee's Br. 15, but argues that our cases have consistently recognized that the PTO need not reconcile all past cases with the case under consideration. </w:t>
      </w:r>
      <w:r w:rsidRPr="00F16D8F">
        <w:rPr>
          <w:rFonts w:ascii="Georgia" w:hAnsi="Georgia"/>
          <w:i/>
          <w:color w:val="000000" w:themeColor="text1"/>
          <w:sz w:val="22"/>
          <w:szCs w:val="22"/>
        </w:rPr>
        <w:t>Id.</w:t>
      </w:r>
      <w:r w:rsidRPr="00F16D8F">
        <w:rPr>
          <w:rFonts w:ascii="Georgia" w:hAnsi="Georgia"/>
          <w:color w:val="000000" w:themeColor="text1"/>
          <w:sz w:val="22"/>
          <w:szCs w:val="22"/>
        </w:rPr>
        <w:t xml:space="preserve"> at 30–31.</w:t>
      </w:r>
    </w:p>
    <w:p w14:paraId="4853E42C"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55655901" w14:textId="3D69E72A"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We have recognized that a decision of the Board may not be challenged on the </w:t>
      </w:r>
      <w:proofErr w:type="gramStart"/>
      <w:r w:rsidRPr="00F16D8F">
        <w:rPr>
          <w:rFonts w:ascii="Georgia" w:hAnsi="Georgia"/>
          <w:color w:val="000000" w:themeColor="text1"/>
          <w:sz w:val="22"/>
          <w:szCs w:val="22"/>
        </w:rPr>
        <w:t>ground</w:t>
      </w:r>
      <w:proofErr w:type="gramEnd"/>
      <w:r w:rsidRPr="00F16D8F">
        <w:rPr>
          <w:rFonts w:ascii="Georgia" w:hAnsi="Georgia"/>
          <w:color w:val="000000" w:themeColor="text1"/>
          <w:sz w:val="22"/>
          <w:szCs w:val="22"/>
        </w:rPr>
        <w:t xml:space="preserve"> that examining attorneys in other cases may have made erroneous rulings. </w:t>
      </w:r>
      <w:r w:rsidRPr="00F16D8F">
        <w:rPr>
          <w:rFonts w:ascii="Georgia" w:hAnsi="Georgia"/>
          <w:i/>
          <w:color w:val="000000" w:themeColor="text1"/>
          <w:sz w:val="22"/>
          <w:szCs w:val="22"/>
        </w:rPr>
        <w:t>See, e.g.</w:t>
      </w:r>
      <w:r w:rsidRPr="00F16D8F">
        <w:rPr>
          <w:rFonts w:ascii="Georgia" w:hAnsi="Georgia"/>
          <w:color w:val="000000" w:themeColor="text1"/>
          <w:sz w:val="22"/>
          <w:szCs w:val="22"/>
        </w:rPr>
        <w:t xml:space="preserve">, </w:t>
      </w:r>
      <w:hyperlink r:id="rId56" w:anchor="co_pp_sp_506_600">
        <w:r w:rsidRPr="00F16D8F">
          <w:rPr>
            <w:rFonts w:ascii="Georgia" w:hAnsi="Georgia"/>
            <w:i/>
            <w:color w:val="000000" w:themeColor="text1"/>
            <w:sz w:val="22"/>
            <w:szCs w:val="22"/>
          </w:rPr>
          <w:t>In re Cordua Rests., Inc.</w:t>
        </w:r>
        <w:r w:rsidRPr="00F16D8F">
          <w:rPr>
            <w:rFonts w:ascii="Georgia" w:hAnsi="Georgia"/>
            <w:color w:val="000000" w:themeColor="text1"/>
            <w:sz w:val="22"/>
            <w:szCs w:val="22"/>
          </w:rPr>
          <w:t>, 823 F.3d 594, 600 (Fed. Cir. 2016)</w:t>
        </w:r>
      </w:hyperlink>
      <w:r w:rsidRPr="00F16D8F">
        <w:rPr>
          <w:rFonts w:ascii="Georgia" w:hAnsi="Georgia"/>
          <w:color w:val="000000" w:themeColor="text1"/>
          <w:sz w:val="22"/>
          <w:szCs w:val="22"/>
        </w:rPr>
        <w:t xml:space="preserve">; </w:t>
      </w:r>
      <w:hyperlink r:id="rId57" w:anchor="co_pp_sp_506_1342">
        <w:r w:rsidRPr="00F16D8F">
          <w:rPr>
            <w:rFonts w:ascii="Georgia" w:hAnsi="Georgia"/>
            <w:i/>
            <w:color w:val="000000" w:themeColor="text1"/>
            <w:sz w:val="22"/>
            <w:szCs w:val="22"/>
          </w:rPr>
          <w:t xml:space="preserve">In re </w:t>
        </w:r>
        <w:proofErr w:type="spellStart"/>
        <w:r w:rsidRPr="00F16D8F">
          <w:rPr>
            <w:rFonts w:ascii="Georgia" w:hAnsi="Georgia"/>
            <w:i/>
            <w:color w:val="000000" w:themeColor="text1"/>
            <w:sz w:val="22"/>
            <w:szCs w:val="22"/>
          </w:rPr>
          <w:t>Nett</w:t>
        </w:r>
        <w:proofErr w:type="spellEnd"/>
        <w:r w:rsidRPr="00F16D8F">
          <w:rPr>
            <w:rFonts w:ascii="Georgia" w:hAnsi="Georgia"/>
            <w:i/>
            <w:color w:val="000000" w:themeColor="text1"/>
            <w:sz w:val="22"/>
            <w:szCs w:val="22"/>
          </w:rPr>
          <w:t xml:space="preserve"> Designs</w:t>
        </w:r>
        <w:r w:rsidRPr="00F16D8F">
          <w:rPr>
            <w:rFonts w:ascii="Georgia" w:hAnsi="Georgia"/>
            <w:color w:val="000000" w:themeColor="text1"/>
            <w:sz w:val="22"/>
            <w:szCs w:val="22"/>
          </w:rPr>
          <w:t>, 236 F.3d 1339, 1342 (Fed. Cir. 2001)</w:t>
        </w:r>
      </w:hyperlink>
      <w:r w:rsidRPr="00F16D8F">
        <w:rPr>
          <w:rFonts w:ascii="Georgia" w:hAnsi="Georgia"/>
          <w:color w:val="000000" w:themeColor="text1"/>
          <w:sz w:val="22"/>
          <w:szCs w:val="22"/>
        </w:rPr>
        <w:t>.</w:t>
      </w:r>
      <w:bookmarkStart w:id="22" w:name="co_fnRef_B00132057667919_ID0E6QBI_1"/>
      <w:r w:rsidR="004A27E3" w:rsidRPr="00F16D8F">
        <w:rPr>
          <w:rStyle w:val="FootnoteReference"/>
          <w:rFonts w:ascii="Georgia" w:hAnsi="Georgia"/>
          <w:color w:val="000000" w:themeColor="text1"/>
          <w:sz w:val="22"/>
          <w:szCs w:val="22"/>
        </w:rPr>
        <w:footnoteReference w:id="13"/>
      </w:r>
      <w:bookmarkEnd w:id="22"/>
      <w:r w:rsidRPr="00F16D8F">
        <w:rPr>
          <w:rFonts w:ascii="Georgia" w:hAnsi="Georgia"/>
          <w:color w:val="000000" w:themeColor="text1"/>
          <w:sz w:val="22"/>
          <w:szCs w:val="22"/>
        </w:rPr>
        <w:t xml:space="preserve"> Understanding the basis and scope of this principle requires some understanding of the structure of PTO trademark examination. In 2022, there were over 700 examining attorneys charged with addressing trademark registration applications. </w:t>
      </w:r>
      <w:r w:rsidRPr="00F16D8F">
        <w:rPr>
          <w:rFonts w:ascii="Georgia" w:hAnsi="Georgia"/>
          <w:i/>
          <w:color w:val="000000" w:themeColor="text1"/>
          <w:sz w:val="22"/>
          <w:szCs w:val="22"/>
        </w:rPr>
        <w:t>See</w:t>
      </w:r>
      <w:r w:rsidRPr="00F16D8F">
        <w:rPr>
          <w:rFonts w:ascii="Georgia" w:hAnsi="Georgia"/>
          <w:color w:val="000000" w:themeColor="text1"/>
          <w:sz w:val="22"/>
          <w:szCs w:val="22"/>
        </w:rPr>
        <w:t xml:space="preserve"> U.S. Patent &amp; Trademark Office, Fiscal Year 2022 Agency Financial Report 20 (“2022 Financial Report”). If the examining attorney issues a final decision refusing registration of the application, appeal is available to the Board, </w:t>
      </w:r>
      <w:hyperlink r:id="rId58">
        <w:r w:rsidRPr="00F16D8F">
          <w:rPr>
            <w:rFonts w:ascii="Georgia" w:hAnsi="Georgia"/>
            <w:color w:val="000000" w:themeColor="text1"/>
            <w:sz w:val="22"/>
            <w:szCs w:val="22"/>
          </w:rPr>
          <w:t>15 U.S.C. § 1070</w:t>
        </w:r>
      </w:hyperlink>
      <w:r w:rsidRPr="00F16D8F">
        <w:rPr>
          <w:rFonts w:ascii="Georgia" w:hAnsi="Georgia"/>
          <w:color w:val="000000" w:themeColor="text1"/>
          <w:sz w:val="22"/>
          <w:szCs w:val="22"/>
        </w:rPr>
        <w:t xml:space="preserve">, which is comprised of administrative trademark judges and certain other high-level PTO officers, </w:t>
      </w:r>
      <w:r w:rsidRPr="00F16D8F">
        <w:rPr>
          <w:rFonts w:ascii="Georgia" w:hAnsi="Georgia"/>
          <w:i/>
          <w:color w:val="000000" w:themeColor="text1"/>
          <w:sz w:val="22"/>
          <w:szCs w:val="22"/>
        </w:rPr>
        <w:t>id.</w:t>
      </w:r>
      <w:r w:rsidRPr="00F16D8F">
        <w:rPr>
          <w:rFonts w:ascii="Georgia" w:hAnsi="Georgia"/>
          <w:color w:val="000000" w:themeColor="text1"/>
          <w:sz w:val="22"/>
          <w:szCs w:val="22"/>
        </w:rPr>
        <w:t xml:space="preserve"> § 1067(b). The Board issues precedential decisions (such as the decision here), which are binding on the Board, and nonprecedential decisions, which are not binding.</w:t>
      </w:r>
    </w:p>
    <w:p w14:paraId="2C146038"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3A117565" w14:textId="55C79110"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lastRenderedPageBreak/>
        <w:t xml:space="preserve">Our decisions recognize that, through examiner error, some marks are granted that should not have been granted, making it impossible to require the PTO to assure consistency among all examining attorney decisions. We have explained that “[t]he PTO is required to examine all trademark applications for compliance with each and every eligibility requirement, ... even if the PTO earlier mistakenly registered a similar or identical mark suffering the same defect.” </w:t>
      </w:r>
      <w:hyperlink r:id="rId59" w:anchor="co_pp_sp_506_600">
        <w:r w:rsidRPr="00F16D8F">
          <w:rPr>
            <w:rFonts w:ascii="Georgia" w:hAnsi="Georgia"/>
            <w:i/>
            <w:color w:val="000000" w:themeColor="text1"/>
            <w:sz w:val="22"/>
            <w:szCs w:val="22"/>
          </w:rPr>
          <w:t>Cordua</w:t>
        </w:r>
        <w:r w:rsidRPr="00F16D8F">
          <w:rPr>
            <w:rFonts w:ascii="Georgia" w:hAnsi="Georgia"/>
            <w:color w:val="000000" w:themeColor="text1"/>
            <w:sz w:val="22"/>
            <w:szCs w:val="22"/>
          </w:rPr>
          <w:t>, 823 F.3d at 600</w:t>
        </w:r>
      </w:hyperlink>
      <w:r w:rsidRPr="00F16D8F">
        <w:rPr>
          <w:rFonts w:ascii="Georgia" w:hAnsi="Georgia"/>
          <w:color w:val="000000" w:themeColor="text1"/>
          <w:sz w:val="22"/>
          <w:szCs w:val="22"/>
        </w:rPr>
        <w:t xml:space="preserve">; </w:t>
      </w:r>
      <w:r w:rsidRPr="00F16D8F">
        <w:rPr>
          <w:rFonts w:ascii="Georgia" w:hAnsi="Georgia"/>
          <w:i/>
          <w:color w:val="000000" w:themeColor="text1"/>
          <w:sz w:val="22"/>
          <w:szCs w:val="22"/>
        </w:rPr>
        <w:t xml:space="preserve">see also </w:t>
      </w:r>
      <w:hyperlink r:id="rId60" w:anchor="co_pp_sp_506_1342">
        <w:proofErr w:type="spellStart"/>
        <w:r w:rsidRPr="00F16D8F">
          <w:rPr>
            <w:rFonts w:ascii="Georgia" w:hAnsi="Georgia"/>
            <w:i/>
            <w:color w:val="000000" w:themeColor="text1"/>
            <w:sz w:val="22"/>
            <w:szCs w:val="22"/>
          </w:rPr>
          <w:t>Nett</w:t>
        </w:r>
        <w:proofErr w:type="spellEnd"/>
        <w:r w:rsidRPr="00F16D8F">
          <w:rPr>
            <w:rFonts w:ascii="Georgia" w:hAnsi="Georgia"/>
            <w:color w:val="000000" w:themeColor="text1"/>
            <w:sz w:val="22"/>
            <w:szCs w:val="22"/>
          </w:rPr>
          <w:t>, 236 F.3d at 1342</w:t>
        </w:r>
      </w:hyperlink>
      <w:r w:rsidRPr="00F16D8F">
        <w:rPr>
          <w:rFonts w:ascii="Georgia" w:hAnsi="Georgia"/>
          <w:color w:val="000000" w:themeColor="text1"/>
          <w:sz w:val="22"/>
          <w:szCs w:val="22"/>
        </w:rPr>
        <w:t xml:space="preserve"> (“Even if some prior registrations had some characteristics similar to [the application], the PTO's allowance of such prior registrations does not bind the Board or this court.”). To that end, we have explained that “[e]ach application for registration must be considered on its own merits.” </w:t>
      </w:r>
      <w:hyperlink r:id="rId61" w:anchor="co_pp_sp_350_1569">
        <w:r w:rsidRPr="00F16D8F">
          <w:rPr>
            <w:rFonts w:ascii="Georgia" w:hAnsi="Georgia"/>
            <w:i/>
            <w:color w:val="000000" w:themeColor="text1"/>
            <w:sz w:val="22"/>
            <w:szCs w:val="22"/>
          </w:rPr>
          <w:t>In re Merrill Lynch, Pierce, Fenner, &amp; Smith, Inc.</w:t>
        </w:r>
        <w:r w:rsidRPr="00F16D8F">
          <w:rPr>
            <w:rFonts w:ascii="Georgia" w:hAnsi="Georgia"/>
            <w:color w:val="000000" w:themeColor="text1"/>
            <w:sz w:val="22"/>
            <w:szCs w:val="22"/>
          </w:rPr>
          <w:t>, 828 F.2d 1567, 1569 (Fed. Cir. 1987)</w:t>
        </w:r>
      </w:hyperlink>
      <w:r w:rsidRPr="00F16D8F">
        <w:rPr>
          <w:rFonts w:ascii="Georgia" w:hAnsi="Georgia"/>
          <w:color w:val="000000" w:themeColor="text1"/>
          <w:sz w:val="22"/>
          <w:szCs w:val="22"/>
        </w:rPr>
        <w:t xml:space="preserve">; </w:t>
      </w:r>
      <w:r w:rsidRPr="00F16D8F">
        <w:rPr>
          <w:rFonts w:ascii="Georgia" w:hAnsi="Georgia"/>
          <w:i/>
          <w:color w:val="000000" w:themeColor="text1"/>
          <w:sz w:val="22"/>
          <w:szCs w:val="22"/>
        </w:rPr>
        <w:t xml:space="preserve">accord </w:t>
      </w:r>
      <w:hyperlink r:id="rId62" w:anchor="co_pp_sp_506_1342">
        <w:proofErr w:type="spellStart"/>
        <w:r w:rsidRPr="00F16D8F">
          <w:rPr>
            <w:rFonts w:ascii="Georgia" w:hAnsi="Georgia"/>
            <w:i/>
            <w:color w:val="000000" w:themeColor="text1"/>
            <w:sz w:val="22"/>
            <w:szCs w:val="22"/>
          </w:rPr>
          <w:t>Nett</w:t>
        </w:r>
        <w:proofErr w:type="spellEnd"/>
        <w:r w:rsidRPr="00F16D8F">
          <w:rPr>
            <w:rFonts w:ascii="Georgia" w:hAnsi="Georgia"/>
            <w:color w:val="000000" w:themeColor="text1"/>
            <w:sz w:val="22"/>
            <w:szCs w:val="22"/>
          </w:rPr>
          <w:t>, 236 F.3d at 1342</w:t>
        </w:r>
      </w:hyperlink>
      <w:r w:rsidRPr="00F16D8F">
        <w:rPr>
          <w:rFonts w:ascii="Georgia" w:hAnsi="Georgia"/>
          <w:color w:val="000000" w:themeColor="text1"/>
          <w:sz w:val="22"/>
          <w:szCs w:val="22"/>
        </w:rPr>
        <w:t xml:space="preserve">; </w:t>
      </w:r>
      <w:hyperlink r:id="rId63" w:anchor="co_pp_sp_350_1127">
        <w:r w:rsidRPr="00F16D8F">
          <w:rPr>
            <w:rFonts w:ascii="Georgia" w:hAnsi="Georgia"/>
            <w:i/>
            <w:color w:val="000000" w:themeColor="text1"/>
            <w:sz w:val="22"/>
            <w:szCs w:val="22"/>
          </w:rPr>
          <w:t>In re Owens-Corning Fiberglas Corp.</w:t>
        </w:r>
        <w:r w:rsidRPr="00F16D8F">
          <w:rPr>
            <w:rFonts w:ascii="Georgia" w:hAnsi="Georgia"/>
            <w:color w:val="000000" w:themeColor="text1"/>
            <w:sz w:val="22"/>
            <w:szCs w:val="22"/>
          </w:rPr>
          <w:t>, 774 F.2d 1116, 1127 (Fed. Cir. 1985)</w:t>
        </w:r>
      </w:hyperlink>
      <w:r w:rsidRPr="00F16D8F">
        <w:rPr>
          <w:rFonts w:ascii="Georgia" w:hAnsi="Georgia"/>
          <w:color w:val="000000" w:themeColor="text1"/>
          <w:sz w:val="22"/>
          <w:szCs w:val="22"/>
        </w:rPr>
        <w:t xml:space="preserve">; </w:t>
      </w:r>
      <w:hyperlink r:id="rId64" w:anchor="co_pp_sp_350_769">
        <w:r w:rsidRPr="00F16D8F">
          <w:rPr>
            <w:rFonts w:ascii="Georgia" w:hAnsi="Georgia"/>
            <w:i/>
            <w:color w:val="000000" w:themeColor="text1"/>
            <w:sz w:val="22"/>
            <w:szCs w:val="22"/>
          </w:rPr>
          <w:t>In re Loew's Theatres, Inc.</w:t>
        </w:r>
        <w:r w:rsidRPr="00F16D8F">
          <w:rPr>
            <w:rFonts w:ascii="Georgia" w:hAnsi="Georgia"/>
            <w:color w:val="000000" w:themeColor="text1"/>
            <w:sz w:val="22"/>
            <w:szCs w:val="22"/>
          </w:rPr>
          <w:t>, 769 F.2d 764, 769 (Fed. Cir.1985)</w:t>
        </w:r>
      </w:hyperlink>
      <w:r w:rsidRPr="00F16D8F">
        <w:rPr>
          <w:rFonts w:ascii="Georgia" w:hAnsi="Georgia"/>
          <w:color w:val="000000" w:themeColor="text1"/>
          <w:sz w:val="22"/>
          <w:szCs w:val="22"/>
        </w:rPr>
        <w:t>.</w:t>
      </w:r>
      <w:bookmarkStart w:id="23" w:name="co_fnRef_B00142057667919_ID0EVYBI_1"/>
      <w:r w:rsidR="004A27E3" w:rsidRPr="00F16D8F">
        <w:rPr>
          <w:rStyle w:val="FootnoteReference"/>
          <w:rFonts w:ascii="Georgia" w:hAnsi="Georgia"/>
          <w:color w:val="000000" w:themeColor="text1"/>
          <w:sz w:val="22"/>
          <w:szCs w:val="22"/>
        </w:rPr>
        <w:footnoteReference w:id="14"/>
      </w:r>
      <w:bookmarkEnd w:id="23"/>
      <w:r w:rsidRPr="00F16D8F">
        <w:rPr>
          <w:rFonts w:ascii="Georgia" w:hAnsi="Georgia"/>
          <w:color w:val="000000" w:themeColor="text1"/>
          <w:sz w:val="22"/>
          <w:szCs w:val="22"/>
        </w:rPr>
        <w:t xml:space="preserve"> This does not mean that the Board need not take account of prevailing practice. The Supreme Court recently in </w:t>
      </w:r>
      <w:hyperlink r:id="rId65">
        <w:r w:rsidRPr="00F16D8F">
          <w:rPr>
            <w:rFonts w:ascii="Georgia" w:hAnsi="Georgia"/>
            <w:i/>
            <w:color w:val="000000" w:themeColor="text1"/>
            <w:sz w:val="22"/>
            <w:szCs w:val="22"/>
          </w:rPr>
          <w:t>Booking.com</w:t>
        </w:r>
      </w:hyperlink>
      <w:r w:rsidRPr="00F16D8F">
        <w:rPr>
          <w:rFonts w:ascii="Georgia" w:hAnsi="Georgia"/>
          <w:color w:val="000000" w:themeColor="text1"/>
          <w:sz w:val="22"/>
          <w:szCs w:val="22"/>
        </w:rPr>
        <w:t xml:space="preserve"> explained that the PTO must consider its “own past practice” in developing a “comprehensive rule.” </w:t>
      </w:r>
      <w:hyperlink r:id="rId66" w:anchor="co_pp_sp_780_558">
        <w:r w:rsidRPr="00F16D8F">
          <w:rPr>
            <w:rFonts w:ascii="Georgia" w:hAnsi="Georgia"/>
            <w:color w:val="000000" w:themeColor="text1"/>
            <w:sz w:val="22"/>
            <w:szCs w:val="22"/>
          </w:rPr>
          <w:t xml:space="preserve">591 U.S. at 558, 140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2298</w:t>
        </w:r>
      </w:hyperlink>
      <w:r w:rsidRPr="00F16D8F">
        <w:rPr>
          <w:rFonts w:ascii="Georgia" w:hAnsi="Georgia"/>
          <w:color w:val="000000" w:themeColor="text1"/>
          <w:sz w:val="22"/>
          <w:szCs w:val="22"/>
        </w:rPr>
        <w:t>.</w:t>
      </w:r>
    </w:p>
    <w:p w14:paraId="4AD17164"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021538F5" w14:textId="6B9532B7"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Nor does this mean that the Board has no obligation to develop coherent and rational rules for the guidance of examining attorneys and the Board in other proceedings. Like other agencies, the Board “must examine the relevant data and articulate a satisfactory explanation for its action including a ‘rational connection between the facts found and the choice made.’ ” </w:t>
      </w:r>
      <w:hyperlink r:id="rId67" w:anchor="co_pp_sp_780_43">
        <w:r w:rsidRPr="00F16D8F">
          <w:rPr>
            <w:rFonts w:ascii="Georgia" w:hAnsi="Georgia"/>
            <w:i/>
            <w:color w:val="000000" w:themeColor="text1"/>
            <w:sz w:val="22"/>
            <w:szCs w:val="22"/>
          </w:rPr>
          <w:t>State Farm</w:t>
        </w:r>
        <w:r w:rsidRPr="00F16D8F">
          <w:rPr>
            <w:rFonts w:ascii="Georgia" w:hAnsi="Georgia"/>
            <w:color w:val="000000" w:themeColor="text1"/>
            <w:sz w:val="22"/>
            <w:szCs w:val="22"/>
          </w:rPr>
          <w:t xml:space="preserve">, 463 U.S. at 43, 103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2856</w:t>
        </w:r>
      </w:hyperlink>
      <w:r w:rsidRPr="00F16D8F">
        <w:rPr>
          <w:rFonts w:ascii="Georgia" w:hAnsi="Georgia"/>
          <w:color w:val="000000" w:themeColor="text1"/>
          <w:sz w:val="22"/>
          <w:szCs w:val="22"/>
        </w:rPr>
        <w:t xml:space="preserve"> (quoting </w:t>
      </w:r>
      <w:hyperlink r:id="rId68" w:anchor="co_pp_sp_780_168">
        <w:r w:rsidRPr="00F16D8F">
          <w:rPr>
            <w:rFonts w:ascii="Georgia" w:hAnsi="Georgia"/>
            <w:i/>
            <w:color w:val="000000" w:themeColor="text1"/>
            <w:sz w:val="22"/>
            <w:szCs w:val="22"/>
          </w:rPr>
          <w:t>Burlington Truck Lines v. United States</w:t>
        </w:r>
        <w:r w:rsidRPr="00F16D8F">
          <w:rPr>
            <w:rFonts w:ascii="Georgia" w:hAnsi="Georgia"/>
            <w:color w:val="000000" w:themeColor="text1"/>
            <w:sz w:val="22"/>
            <w:szCs w:val="22"/>
          </w:rPr>
          <w:t xml:space="preserve">, 371 U.S. 156, 168, 83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239, 9 L.Ed.2d 207 (1962)</w:t>
        </w:r>
      </w:hyperlink>
      <w:r w:rsidRPr="00F16D8F">
        <w:rPr>
          <w:rFonts w:ascii="Georgia" w:hAnsi="Georgia"/>
          <w:color w:val="000000" w:themeColor="text1"/>
          <w:sz w:val="22"/>
          <w:szCs w:val="22"/>
        </w:rPr>
        <w:t>).</w:t>
      </w:r>
    </w:p>
    <w:p w14:paraId="0336B512"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64CD3181" w14:textId="77777777"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lastRenderedPageBreak/>
        <w:t xml:space="preserve">In addition, to enable us in our role of judicial review, the Board must make “sufficient findings and reasoning to permit meaningful appellate scrutiny”—a requirement that applies with equal force to issues of law and issues of fact. </w:t>
      </w:r>
      <w:hyperlink r:id="rId69" w:anchor="co_pp_sp_506_1458">
        <w:r w:rsidRPr="00F16D8F">
          <w:rPr>
            <w:rFonts w:ascii="Georgia" w:hAnsi="Georgia"/>
            <w:i/>
            <w:color w:val="000000" w:themeColor="text1"/>
            <w:sz w:val="22"/>
            <w:szCs w:val="22"/>
          </w:rPr>
          <w:t>Gechter v. Davidson</w:t>
        </w:r>
        <w:r w:rsidRPr="00F16D8F">
          <w:rPr>
            <w:rFonts w:ascii="Georgia" w:hAnsi="Georgia"/>
            <w:color w:val="000000" w:themeColor="text1"/>
            <w:sz w:val="22"/>
            <w:szCs w:val="22"/>
          </w:rPr>
          <w:t>, 116 F.3d 1454, 1458 (Fed. Cir. 1997)</w:t>
        </w:r>
      </w:hyperlink>
      <w:r w:rsidRPr="00F16D8F">
        <w:rPr>
          <w:rFonts w:ascii="Georgia" w:hAnsi="Georgia"/>
          <w:color w:val="000000" w:themeColor="text1"/>
          <w:sz w:val="22"/>
          <w:szCs w:val="22"/>
        </w:rPr>
        <w:t xml:space="preserve"> (vacating decision of the Board of Patent Appeals and Interferences); </w:t>
      </w:r>
      <w:hyperlink r:id="rId70" w:anchor="co_pp_sp_506_1371">
        <w:proofErr w:type="spellStart"/>
        <w:r w:rsidRPr="00F16D8F">
          <w:rPr>
            <w:rFonts w:ascii="Georgia" w:hAnsi="Georgia"/>
            <w:i/>
            <w:color w:val="000000" w:themeColor="text1"/>
            <w:sz w:val="22"/>
            <w:szCs w:val="22"/>
          </w:rPr>
          <w:t>Nazomi</w:t>
        </w:r>
        <w:proofErr w:type="spellEnd"/>
        <w:r w:rsidRPr="00F16D8F">
          <w:rPr>
            <w:rFonts w:ascii="Georgia" w:hAnsi="Georgia"/>
            <w:i/>
            <w:color w:val="000000" w:themeColor="text1"/>
            <w:sz w:val="22"/>
            <w:szCs w:val="22"/>
          </w:rPr>
          <w:t xml:space="preserve"> Commc'ns, Inc. v. Arm Holdings, PLC</w:t>
        </w:r>
        <w:r w:rsidRPr="00F16D8F">
          <w:rPr>
            <w:rFonts w:ascii="Georgia" w:hAnsi="Georgia"/>
            <w:color w:val="000000" w:themeColor="text1"/>
            <w:sz w:val="22"/>
            <w:szCs w:val="22"/>
          </w:rPr>
          <w:t>, 403 F.3d 1364, 1371 (Fed. Cir. 2005)</w:t>
        </w:r>
      </w:hyperlink>
      <w:r w:rsidRPr="00F16D8F">
        <w:rPr>
          <w:rFonts w:ascii="Georgia" w:hAnsi="Georgia"/>
          <w:color w:val="000000" w:themeColor="text1"/>
          <w:sz w:val="22"/>
          <w:szCs w:val="22"/>
        </w:rPr>
        <w:t xml:space="preserve">; </w:t>
      </w:r>
      <w:r w:rsidRPr="00F16D8F">
        <w:rPr>
          <w:rFonts w:ascii="Georgia" w:hAnsi="Georgia"/>
          <w:i/>
          <w:color w:val="000000" w:themeColor="text1"/>
          <w:sz w:val="22"/>
          <w:szCs w:val="22"/>
        </w:rPr>
        <w:t xml:space="preserve">see also </w:t>
      </w:r>
      <w:hyperlink r:id="rId71" w:anchor="co_pp_sp_506_970">
        <w:r w:rsidRPr="00F16D8F">
          <w:rPr>
            <w:rFonts w:ascii="Georgia" w:hAnsi="Georgia"/>
            <w:i/>
            <w:color w:val="000000" w:themeColor="text1"/>
            <w:sz w:val="22"/>
            <w:szCs w:val="22"/>
          </w:rPr>
          <w:t>Princeton Vanguard, LLC v. Frito-Lay N. Am., Inc.</w:t>
        </w:r>
        <w:r w:rsidRPr="00F16D8F">
          <w:rPr>
            <w:rFonts w:ascii="Georgia" w:hAnsi="Georgia"/>
            <w:color w:val="000000" w:themeColor="text1"/>
            <w:sz w:val="22"/>
            <w:szCs w:val="22"/>
          </w:rPr>
          <w:t>, 786 F.3d 960, 970 (Fed. Cir. 2015)</w:t>
        </w:r>
      </w:hyperlink>
      <w:r w:rsidRPr="00F16D8F">
        <w:rPr>
          <w:rFonts w:ascii="Georgia" w:hAnsi="Georgia"/>
          <w:color w:val="000000" w:themeColor="text1"/>
          <w:sz w:val="22"/>
          <w:szCs w:val="22"/>
        </w:rPr>
        <w:t xml:space="preserve"> (explaining that judicial review under the substantial evidence standard “can only take place when the agency explains its decisions with sufficient precision, including the underlying </w:t>
      </w:r>
      <w:proofErr w:type="spellStart"/>
      <w:r w:rsidRPr="00F16D8F">
        <w:rPr>
          <w:rFonts w:ascii="Georgia" w:hAnsi="Georgia"/>
          <w:color w:val="000000" w:themeColor="text1"/>
          <w:sz w:val="22"/>
          <w:szCs w:val="22"/>
        </w:rPr>
        <w:t>factfindings</w:t>
      </w:r>
      <w:proofErr w:type="spellEnd"/>
      <w:r w:rsidRPr="00F16D8F">
        <w:rPr>
          <w:rFonts w:ascii="Georgia" w:hAnsi="Georgia"/>
          <w:color w:val="000000" w:themeColor="text1"/>
          <w:sz w:val="22"/>
          <w:szCs w:val="22"/>
        </w:rPr>
        <w:t xml:space="preserve"> and the agency's rationale” (quoting </w:t>
      </w:r>
      <w:hyperlink r:id="rId72" w:anchor="co_pp_sp_506_1357">
        <w:r w:rsidRPr="00F16D8F">
          <w:rPr>
            <w:rFonts w:ascii="Georgia" w:hAnsi="Georgia"/>
            <w:i/>
            <w:color w:val="000000" w:themeColor="text1"/>
            <w:sz w:val="22"/>
            <w:szCs w:val="22"/>
          </w:rPr>
          <w:t>Packard Press, Inc. v. Hewlett–Packard Co.,</w:t>
        </w:r>
        <w:r w:rsidRPr="00F16D8F">
          <w:rPr>
            <w:rFonts w:ascii="Georgia" w:hAnsi="Georgia"/>
            <w:color w:val="000000" w:themeColor="text1"/>
            <w:sz w:val="22"/>
            <w:szCs w:val="22"/>
          </w:rPr>
          <w:t xml:space="preserve"> 227 F.3d 1352, 1357 (Fed. Cir. 2000)</w:t>
        </w:r>
      </w:hyperlink>
      <w:r w:rsidRPr="00F16D8F">
        <w:rPr>
          <w:rFonts w:ascii="Georgia" w:hAnsi="Georgia"/>
          <w:color w:val="000000" w:themeColor="text1"/>
          <w:sz w:val="22"/>
          <w:szCs w:val="22"/>
        </w:rPr>
        <w:t xml:space="preserve">)); </w:t>
      </w:r>
      <w:hyperlink r:id="rId73" w:anchor="co_pp_sp_780_94">
        <w:r w:rsidRPr="00F16D8F">
          <w:rPr>
            <w:rFonts w:ascii="Georgia" w:hAnsi="Georgia"/>
            <w:i/>
            <w:color w:val="000000" w:themeColor="text1"/>
            <w:sz w:val="22"/>
            <w:szCs w:val="22"/>
          </w:rPr>
          <w:t>SEC v. Chenery Corp.</w:t>
        </w:r>
        <w:r w:rsidRPr="00F16D8F">
          <w:rPr>
            <w:rFonts w:ascii="Georgia" w:hAnsi="Georgia"/>
            <w:color w:val="000000" w:themeColor="text1"/>
            <w:sz w:val="22"/>
            <w:szCs w:val="22"/>
          </w:rPr>
          <w:t xml:space="preserve">, 318 U.S. 80, 94, 63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xml:space="preserve">. 454, 87 </w:t>
        </w:r>
        <w:proofErr w:type="spellStart"/>
        <w:r w:rsidRPr="00F16D8F">
          <w:rPr>
            <w:rFonts w:ascii="Georgia" w:hAnsi="Georgia"/>
            <w:color w:val="000000" w:themeColor="text1"/>
            <w:sz w:val="22"/>
            <w:szCs w:val="22"/>
          </w:rPr>
          <w:t>L.Ed</w:t>
        </w:r>
        <w:proofErr w:type="spellEnd"/>
        <w:r w:rsidRPr="00F16D8F">
          <w:rPr>
            <w:rFonts w:ascii="Georgia" w:hAnsi="Georgia"/>
            <w:color w:val="000000" w:themeColor="text1"/>
            <w:sz w:val="22"/>
            <w:szCs w:val="22"/>
          </w:rPr>
          <w:t>. 626 (1943)</w:t>
        </w:r>
      </w:hyperlink>
      <w:r w:rsidRPr="00F16D8F">
        <w:rPr>
          <w:rFonts w:ascii="Georgia" w:hAnsi="Georgia"/>
          <w:color w:val="000000" w:themeColor="text1"/>
          <w:sz w:val="22"/>
          <w:szCs w:val="22"/>
        </w:rPr>
        <w:t xml:space="preserve"> (“[T]he orderly functioning of the process of review requires that the grounds upon which the administrative agency acted [be] clearly disclosed and adequately sustained.”); </w:t>
      </w:r>
      <w:hyperlink r:id="rId74" w:anchor="co_pp_sp_780_374">
        <w:r w:rsidRPr="00F16D8F">
          <w:rPr>
            <w:rFonts w:ascii="Georgia" w:hAnsi="Georgia"/>
            <w:i/>
            <w:color w:val="000000" w:themeColor="text1"/>
            <w:sz w:val="22"/>
            <w:szCs w:val="22"/>
          </w:rPr>
          <w:t>Allentown Mack</w:t>
        </w:r>
        <w:r w:rsidRPr="00F16D8F">
          <w:rPr>
            <w:rFonts w:ascii="Georgia" w:hAnsi="Georgia"/>
            <w:color w:val="000000" w:themeColor="text1"/>
            <w:sz w:val="22"/>
            <w:szCs w:val="22"/>
          </w:rPr>
          <w:t xml:space="preserve">, 522 U.S. at 374, 118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818</w:t>
        </w:r>
      </w:hyperlink>
      <w:r w:rsidRPr="00F16D8F">
        <w:rPr>
          <w:rFonts w:ascii="Georgia" w:hAnsi="Georgia"/>
          <w:color w:val="000000" w:themeColor="text1"/>
          <w:sz w:val="22"/>
          <w:szCs w:val="22"/>
        </w:rPr>
        <w:t xml:space="preserve"> (“[A]</w:t>
      </w:r>
      <w:proofErr w:type="spellStart"/>
      <w:r w:rsidRPr="00F16D8F">
        <w:rPr>
          <w:rFonts w:ascii="Georgia" w:hAnsi="Georgia"/>
          <w:color w:val="000000" w:themeColor="text1"/>
          <w:sz w:val="22"/>
          <w:szCs w:val="22"/>
        </w:rPr>
        <w:t>djudication</w:t>
      </w:r>
      <w:proofErr w:type="spellEnd"/>
      <w:r w:rsidRPr="00F16D8F">
        <w:rPr>
          <w:rFonts w:ascii="Georgia" w:hAnsi="Georgia"/>
          <w:color w:val="000000" w:themeColor="text1"/>
          <w:sz w:val="22"/>
          <w:szCs w:val="22"/>
        </w:rPr>
        <w:t xml:space="preserve"> is subject to the requirement of reasoned </w:t>
      </w:r>
      <w:proofErr w:type="spellStart"/>
      <w:r w:rsidRPr="00F16D8F">
        <w:rPr>
          <w:rFonts w:ascii="Georgia" w:hAnsi="Georgia"/>
          <w:color w:val="000000" w:themeColor="text1"/>
          <w:sz w:val="22"/>
          <w:szCs w:val="22"/>
        </w:rPr>
        <w:t>decisionmaking</w:t>
      </w:r>
      <w:proofErr w:type="spellEnd"/>
      <w:r w:rsidRPr="00F16D8F">
        <w:rPr>
          <w:rFonts w:ascii="Georgia" w:hAnsi="Georgia"/>
          <w:color w:val="000000" w:themeColor="text1"/>
          <w:sz w:val="22"/>
          <w:szCs w:val="22"/>
        </w:rPr>
        <w:t xml:space="preserve"> ....”).</w:t>
      </w:r>
    </w:p>
    <w:p w14:paraId="2EF11B05"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72A655FF" w14:textId="60F7BC40"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For all these reasons, the Board must provide rational guidance that is sufficiently explained. </w:t>
      </w:r>
      <w:r w:rsidRPr="00F16D8F">
        <w:rPr>
          <w:rFonts w:ascii="Georgia" w:hAnsi="Georgia"/>
          <w:i/>
          <w:color w:val="000000" w:themeColor="text1"/>
          <w:sz w:val="22"/>
          <w:szCs w:val="22"/>
        </w:rPr>
        <w:t>See, e.g.</w:t>
      </w:r>
      <w:r w:rsidRPr="00F16D8F">
        <w:rPr>
          <w:rFonts w:ascii="Georgia" w:hAnsi="Georgia"/>
          <w:color w:val="000000" w:themeColor="text1"/>
          <w:sz w:val="22"/>
          <w:szCs w:val="22"/>
        </w:rPr>
        <w:t xml:space="preserve">, </w:t>
      </w:r>
      <w:hyperlink r:id="rId75" w:anchor="co_pp_sp_780_43">
        <w:r w:rsidRPr="00F16D8F">
          <w:rPr>
            <w:rFonts w:ascii="Georgia" w:hAnsi="Georgia"/>
            <w:i/>
            <w:color w:val="000000" w:themeColor="text1"/>
            <w:sz w:val="22"/>
            <w:szCs w:val="22"/>
          </w:rPr>
          <w:t>State Farm</w:t>
        </w:r>
        <w:r w:rsidRPr="00F16D8F">
          <w:rPr>
            <w:rFonts w:ascii="Georgia" w:hAnsi="Georgia"/>
            <w:color w:val="000000" w:themeColor="text1"/>
            <w:sz w:val="22"/>
            <w:szCs w:val="22"/>
          </w:rPr>
          <w:t xml:space="preserve">, 463 U.S. at 43, 103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2856</w:t>
        </w:r>
      </w:hyperlink>
      <w:r w:rsidRPr="00F16D8F">
        <w:rPr>
          <w:rFonts w:ascii="Georgia" w:hAnsi="Georgia"/>
          <w:color w:val="000000" w:themeColor="text1"/>
          <w:sz w:val="22"/>
          <w:szCs w:val="22"/>
        </w:rPr>
        <w:t xml:space="preserve">. That guidance is missing here. The Board consistently dismissed Mr. Brunetti's reliance on other registered marks by explaining that “the cited third-party registrations for other single word marks, perceived in a vacuum without any contextual information, are not relevant to our determination of whether FUCK functions as a mark for the applied[-]for goods and services.”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36.</w:t>
      </w:r>
      <w:bookmarkStart w:id="24" w:name="co_fnRef_B00152057667919_ID0EDECI_1"/>
      <w:r w:rsidR="004A27E3" w:rsidRPr="00F16D8F">
        <w:rPr>
          <w:rStyle w:val="FootnoteReference"/>
          <w:rFonts w:ascii="Georgia" w:hAnsi="Georgia"/>
          <w:color w:val="000000" w:themeColor="text1"/>
          <w:sz w:val="22"/>
          <w:szCs w:val="22"/>
        </w:rPr>
        <w:footnoteReference w:id="15"/>
      </w:r>
      <w:bookmarkEnd w:id="24"/>
      <w:r w:rsidRPr="00F16D8F">
        <w:rPr>
          <w:rFonts w:ascii="Georgia" w:hAnsi="Georgia"/>
          <w:color w:val="000000" w:themeColor="text1"/>
          <w:sz w:val="22"/>
          <w:szCs w:val="22"/>
        </w:rPr>
        <w:t xml:space="preserve"> But the Board did not explain what such contextual information might be. The Board also contemplated that Mr. Brunetti could “come forward with competent evidence that consumers would perceive the proposed mark as a source identifier” to rebut the examining attorney's prima facie showing.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41. Again, the Board did not indicate what that evidence would be. The Board determined that Mr. Brunetti failed to meet a standard, but it did not articulate what that standard would be. In other words, the Board's decision is unclear as to the circumstances under which all-purpose word marks can be registered and which are “inherently incapable of being regarded as [a] source indicator[ ].”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34–35.</w:t>
      </w:r>
    </w:p>
    <w:p w14:paraId="723E06E7"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0691DEEF" w14:textId="77777777"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The Board's reasoning in this case suggests that the Board has concluded that it need not articulate a viable registration standard. The apparent </w:t>
      </w:r>
      <w:r w:rsidRPr="00F16D8F">
        <w:rPr>
          <w:rFonts w:ascii="Georgia" w:hAnsi="Georgia"/>
          <w:color w:val="000000" w:themeColor="text1"/>
          <w:sz w:val="22"/>
          <w:szCs w:val="22"/>
        </w:rPr>
        <w:lastRenderedPageBreak/>
        <w:t xml:space="preserve">inconsistency of past examining attorneys’ decisions with respect to the registration of all-purpose word marks is itself strong evidence of the failure to articulate coherent rules and engage in reasoned </w:t>
      </w:r>
      <w:proofErr w:type="spellStart"/>
      <w:r w:rsidRPr="00F16D8F">
        <w:rPr>
          <w:rFonts w:ascii="Georgia" w:hAnsi="Georgia"/>
          <w:color w:val="000000" w:themeColor="text1"/>
          <w:sz w:val="22"/>
          <w:szCs w:val="22"/>
        </w:rPr>
        <w:t>decisionmaking</w:t>
      </w:r>
      <w:proofErr w:type="spellEnd"/>
      <w:r w:rsidRPr="00F16D8F">
        <w:rPr>
          <w:rFonts w:ascii="Georgia" w:hAnsi="Georgia"/>
          <w:color w:val="000000" w:themeColor="text1"/>
          <w:sz w:val="22"/>
          <w:szCs w:val="22"/>
        </w:rPr>
        <w:t>.</w:t>
      </w:r>
    </w:p>
    <w:p w14:paraId="252218C5"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281CFBE9" w14:textId="0E7BC912"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The Board's reasoning sounds in fact very much as though it has taken an “I know it when I see it” approach to failure-to-function refusals. Such an approach is inconsistent with the Board's mandate to engage in reasoned </w:t>
      </w:r>
      <w:proofErr w:type="spellStart"/>
      <w:r w:rsidRPr="00F16D8F">
        <w:rPr>
          <w:rFonts w:ascii="Georgia" w:hAnsi="Georgia"/>
          <w:color w:val="000000" w:themeColor="text1"/>
          <w:sz w:val="22"/>
          <w:szCs w:val="22"/>
        </w:rPr>
        <w:t>decisionmaking</w:t>
      </w:r>
      <w:proofErr w:type="spellEnd"/>
      <w:r w:rsidRPr="00F16D8F">
        <w:rPr>
          <w:rFonts w:ascii="Georgia" w:hAnsi="Georgia"/>
          <w:color w:val="000000" w:themeColor="text1"/>
          <w:sz w:val="22"/>
          <w:szCs w:val="22"/>
        </w:rPr>
        <w:t xml:space="preserve"> under the APA. </w:t>
      </w:r>
      <w:hyperlink r:id="rId76" w:anchor="co_pp_sp_506_660">
        <w:r w:rsidRPr="00F16D8F">
          <w:rPr>
            <w:rFonts w:ascii="Georgia" w:hAnsi="Georgia"/>
            <w:i/>
            <w:color w:val="000000" w:themeColor="text1"/>
            <w:sz w:val="22"/>
            <w:szCs w:val="22"/>
          </w:rPr>
          <w:t>Pearson v. Shalala</w:t>
        </w:r>
        <w:r w:rsidRPr="00F16D8F">
          <w:rPr>
            <w:rFonts w:ascii="Georgia" w:hAnsi="Georgia"/>
            <w:color w:val="000000" w:themeColor="text1"/>
            <w:sz w:val="22"/>
            <w:szCs w:val="22"/>
          </w:rPr>
          <w:t>, 164 F.3d 650, 660–61 (D.C. Cir. 1999)</w:t>
        </w:r>
      </w:hyperlink>
      <w:r w:rsidRPr="00F16D8F">
        <w:rPr>
          <w:rFonts w:ascii="Georgia" w:hAnsi="Georgia"/>
          <w:color w:val="000000" w:themeColor="text1"/>
          <w:sz w:val="22"/>
          <w:szCs w:val="22"/>
        </w:rPr>
        <w:t xml:space="preserve"> (holding invalid FDA's interpretation of regulation where FDA took “I know it when I see it” approach to the term “significant scientific agreement”); </w:t>
      </w:r>
      <w:hyperlink r:id="rId77" w:anchor="co_pp_sp_506_949">
        <w:proofErr w:type="spellStart"/>
        <w:r w:rsidRPr="00F16D8F">
          <w:rPr>
            <w:rFonts w:ascii="Georgia" w:hAnsi="Georgia"/>
            <w:i/>
            <w:color w:val="000000" w:themeColor="text1"/>
            <w:sz w:val="22"/>
            <w:szCs w:val="22"/>
          </w:rPr>
          <w:t>Stanojkova</w:t>
        </w:r>
        <w:proofErr w:type="spellEnd"/>
        <w:r w:rsidRPr="00F16D8F">
          <w:rPr>
            <w:rFonts w:ascii="Georgia" w:hAnsi="Georgia"/>
            <w:i/>
            <w:color w:val="000000" w:themeColor="text1"/>
            <w:sz w:val="22"/>
            <w:szCs w:val="22"/>
          </w:rPr>
          <w:t xml:space="preserve"> v. Holder</w:t>
        </w:r>
        <w:r w:rsidRPr="00F16D8F">
          <w:rPr>
            <w:rFonts w:ascii="Georgia" w:hAnsi="Georgia"/>
            <w:color w:val="000000" w:themeColor="text1"/>
            <w:sz w:val="22"/>
            <w:szCs w:val="22"/>
          </w:rPr>
          <w:t>, 645 F.3d 943, 949 (7th Cir. 2011)</w:t>
        </w:r>
      </w:hyperlink>
      <w:r w:rsidRPr="00F16D8F">
        <w:rPr>
          <w:rFonts w:ascii="Georgia" w:hAnsi="Georgia"/>
          <w:color w:val="000000" w:themeColor="text1"/>
          <w:sz w:val="22"/>
          <w:szCs w:val="22"/>
        </w:rPr>
        <w:t xml:space="preserve">, </w:t>
      </w:r>
      <w:r w:rsidRPr="00F16D8F">
        <w:rPr>
          <w:rFonts w:ascii="Georgia" w:hAnsi="Georgia"/>
          <w:i/>
          <w:color w:val="000000" w:themeColor="text1"/>
          <w:sz w:val="22"/>
          <w:szCs w:val="22"/>
        </w:rPr>
        <w:t>as amended</w:t>
      </w:r>
      <w:r w:rsidRPr="00F16D8F">
        <w:rPr>
          <w:rFonts w:ascii="Georgia" w:hAnsi="Georgia"/>
          <w:color w:val="000000" w:themeColor="text1"/>
          <w:sz w:val="22"/>
          <w:szCs w:val="22"/>
        </w:rPr>
        <w:t xml:space="preserve"> (Aug. 16, 2011) (explaining that “I know it when I see it” approach of the Board of Immigration Appeals resulted in “capricious adjudication”); </w:t>
      </w:r>
      <w:r w:rsidRPr="00F16D8F">
        <w:rPr>
          <w:rFonts w:ascii="Georgia" w:hAnsi="Georgia"/>
          <w:i/>
          <w:color w:val="000000" w:themeColor="text1"/>
          <w:sz w:val="22"/>
          <w:szCs w:val="22"/>
        </w:rPr>
        <w:t xml:space="preserve">see also </w:t>
      </w:r>
      <w:hyperlink r:id="rId78" w:anchor="co_pp_sp_506_1210">
        <w:r w:rsidRPr="00F16D8F">
          <w:rPr>
            <w:rFonts w:ascii="Georgia" w:hAnsi="Georgia"/>
            <w:i/>
            <w:color w:val="000000" w:themeColor="text1"/>
            <w:sz w:val="22"/>
            <w:szCs w:val="22"/>
          </w:rPr>
          <w:t>In re Scheer,</w:t>
        </w:r>
        <w:r w:rsidRPr="00F16D8F">
          <w:rPr>
            <w:rFonts w:ascii="Georgia" w:hAnsi="Georgia"/>
            <w:color w:val="000000" w:themeColor="text1"/>
            <w:sz w:val="22"/>
            <w:szCs w:val="22"/>
          </w:rPr>
          <w:t xml:space="preserve"> 819 F.3d 1206, 1210 (9th Cir. 2016)</w:t>
        </w:r>
      </w:hyperlink>
      <w:r w:rsidRPr="00F16D8F">
        <w:rPr>
          <w:rFonts w:ascii="Georgia" w:hAnsi="Georgia"/>
          <w:color w:val="000000" w:themeColor="text1"/>
          <w:sz w:val="22"/>
          <w:szCs w:val="22"/>
        </w:rPr>
        <w:t xml:space="preserve"> (“It is fair to say that the ‘I know it when I see it approach’ of [a prior precedent] has led to predictably unpredictable results.”).</w:t>
      </w:r>
      <w:bookmarkStart w:id="25" w:name="co_fnRef_B00162057667919_ID0EYJCI_1"/>
      <w:r w:rsidR="004A27E3" w:rsidRPr="00F16D8F">
        <w:rPr>
          <w:rStyle w:val="FootnoteReference"/>
          <w:rFonts w:ascii="Georgia" w:hAnsi="Georgia"/>
          <w:color w:val="000000" w:themeColor="text1"/>
          <w:sz w:val="22"/>
          <w:szCs w:val="22"/>
        </w:rPr>
        <w:footnoteReference w:id="16"/>
      </w:r>
      <w:bookmarkEnd w:id="25"/>
      <w:r w:rsidR="00F16D8F" w:rsidRPr="00F16D8F">
        <w:rPr>
          <w:rFonts w:ascii="Georgia" w:hAnsi="Georgia"/>
          <w:color w:val="000000" w:themeColor="text1"/>
          <w:sz w:val="22"/>
          <w:szCs w:val="22"/>
        </w:rPr>
        <w:t xml:space="preserve"> </w:t>
      </w:r>
    </w:p>
    <w:p w14:paraId="7AF8D1EA"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568FF932" w14:textId="77777777"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We note that in </w:t>
      </w:r>
      <w:proofErr w:type="gramStart"/>
      <w:r w:rsidRPr="00F16D8F">
        <w:rPr>
          <w:rFonts w:ascii="Georgia" w:hAnsi="Georgia"/>
          <w:color w:val="000000" w:themeColor="text1"/>
          <w:sz w:val="22"/>
          <w:szCs w:val="22"/>
        </w:rPr>
        <w:t>concluding</w:t>
      </w:r>
      <w:proofErr w:type="gramEnd"/>
      <w:r w:rsidRPr="00F16D8F">
        <w:rPr>
          <w:rFonts w:ascii="Georgia" w:hAnsi="Georgia"/>
          <w:color w:val="000000" w:themeColor="text1"/>
          <w:sz w:val="22"/>
          <w:szCs w:val="22"/>
        </w:rPr>
        <w:t xml:space="preserve"> that the examining attorney established a prima facie case that consumers would not perceive the applied-for mark as indicating the source of the applied-for goods and services, the Board relied in part on the fact that the applied-for mark has been used by other entities in the past on commercial listings for goods falling within the claimed categories. </w:t>
      </w:r>
      <w:r w:rsidRPr="00F16D8F">
        <w:rPr>
          <w:rFonts w:ascii="Georgia" w:hAnsi="Georgia"/>
          <w:i/>
          <w:color w:val="000000" w:themeColor="text1"/>
          <w:sz w:val="22"/>
          <w:szCs w:val="22"/>
        </w:rPr>
        <w:t>See</w:t>
      </w:r>
      <w:r w:rsidRPr="00F16D8F">
        <w:rPr>
          <w:rFonts w:ascii="Georgia" w:hAnsi="Georgia"/>
          <w:color w:val="000000" w:themeColor="text1"/>
          <w:sz w:val="22"/>
          <w:szCs w:val="22"/>
        </w:rPr>
        <w:t xml:space="preserve">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18–26. As the Board explained, the “record in this case demonstrates that a variety of sources prominently display the term FUCK on a wide range of consumer merchandise and household items, including the kinds of goods identified in [Mr. Brunetti's] Applications ....”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44. The Board's reliance on this factor—prior third-party use of the applied-for mark for the applied-for goods or services in the marketplace—was appropriate under our </w:t>
      </w:r>
      <w:proofErr w:type="gramStart"/>
      <w:r w:rsidRPr="00F16D8F">
        <w:rPr>
          <w:rFonts w:ascii="Georgia" w:hAnsi="Georgia"/>
          <w:color w:val="000000" w:themeColor="text1"/>
          <w:sz w:val="22"/>
          <w:szCs w:val="22"/>
        </w:rPr>
        <w:t>caselaw</w:t>
      </w:r>
      <w:proofErr w:type="gramEnd"/>
      <w:r w:rsidRPr="00F16D8F">
        <w:rPr>
          <w:rFonts w:ascii="Georgia" w:hAnsi="Georgia"/>
          <w:color w:val="000000" w:themeColor="text1"/>
          <w:sz w:val="22"/>
          <w:szCs w:val="22"/>
        </w:rPr>
        <w:t xml:space="preserve">. </w:t>
      </w:r>
      <w:r w:rsidRPr="00F16D8F">
        <w:rPr>
          <w:rFonts w:ascii="Georgia" w:hAnsi="Georgia"/>
          <w:i/>
          <w:color w:val="000000" w:themeColor="text1"/>
          <w:sz w:val="22"/>
          <w:szCs w:val="22"/>
        </w:rPr>
        <w:t xml:space="preserve">See </w:t>
      </w:r>
      <w:hyperlink r:id="rId79" w:anchor="co_pp_sp_8173_1357">
        <w:r w:rsidRPr="00F16D8F">
          <w:rPr>
            <w:rFonts w:ascii="Georgia" w:hAnsi="Georgia"/>
            <w:i/>
            <w:color w:val="000000" w:themeColor="text1"/>
            <w:sz w:val="22"/>
            <w:szCs w:val="22"/>
          </w:rPr>
          <w:t>GO</w:t>
        </w:r>
        <w:r w:rsidRPr="00F16D8F">
          <w:rPr>
            <w:rFonts w:ascii="Georgia" w:hAnsi="Georgia"/>
            <w:color w:val="000000" w:themeColor="text1"/>
            <w:sz w:val="22"/>
            <w:szCs w:val="22"/>
          </w:rPr>
          <w:t>, 90 F.4th at 1357</w:t>
        </w:r>
      </w:hyperlink>
      <w:r w:rsidRPr="00F16D8F">
        <w:rPr>
          <w:rFonts w:ascii="Georgia" w:hAnsi="Georgia"/>
          <w:color w:val="000000" w:themeColor="text1"/>
          <w:sz w:val="22"/>
          <w:szCs w:val="22"/>
        </w:rPr>
        <w:t xml:space="preserve"> (concluding that “the Board properly considered both [the applicant's] uses and third-party uses when assessing how the public would likely perceive the [applied-</w:t>
      </w:r>
      <w:r w:rsidRPr="00F16D8F">
        <w:rPr>
          <w:rFonts w:ascii="Georgia" w:hAnsi="Georgia"/>
          <w:color w:val="000000" w:themeColor="text1"/>
          <w:sz w:val="22"/>
          <w:szCs w:val="22"/>
        </w:rPr>
        <w:lastRenderedPageBreak/>
        <w:t xml:space="preserve">for] mark”). It was also proper for the Board to consider that Mr. Brunetti could not “appropriate the term exclusively ..., denying others the ability to use [the applied-for mark] freely.” S. </w:t>
      </w:r>
      <w:proofErr w:type="spellStart"/>
      <w:r w:rsidRPr="00F16D8F">
        <w:rPr>
          <w:rFonts w:ascii="Georgia" w:hAnsi="Georgia"/>
          <w:color w:val="000000" w:themeColor="text1"/>
          <w:sz w:val="22"/>
          <w:szCs w:val="22"/>
        </w:rPr>
        <w:t>App'x</w:t>
      </w:r>
      <w:proofErr w:type="spellEnd"/>
      <w:r w:rsidRPr="00F16D8F">
        <w:rPr>
          <w:rFonts w:ascii="Georgia" w:hAnsi="Georgia"/>
          <w:color w:val="000000" w:themeColor="text1"/>
          <w:sz w:val="22"/>
          <w:szCs w:val="22"/>
        </w:rPr>
        <w:t xml:space="preserve"> 46.</w:t>
      </w:r>
    </w:p>
    <w:p w14:paraId="6C57D8C4"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530C3091" w14:textId="246B3A05"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But the Board's reliance on third-party use does not create a coherent standard. We conclude the Board failed to provide sufficient precision in its rationale for why some commonplace words can serve as a mark, but others, such as FUCK, cannot. The Board's lack of clarity in this regard is especially troubling given the increasing number of failure-to-function refusals in recent years.</w:t>
      </w:r>
      <w:bookmarkStart w:id="26" w:name="co_fnRef_B00172057667919_ID0ELQCI_1"/>
      <w:r w:rsidR="004A27E3" w:rsidRPr="00F16D8F">
        <w:rPr>
          <w:rStyle w:val="FootnoteReference"/>
          <w:rFonts w:ascii="Georgia" w:hAnsi="Georgia"/>
          <w:color w:val="000000" w:themeColor="text1"/>
          <w:sz w:val="22"/>
          <w:szCs w:val="22"/>
        </w:rPr>
        <w:footnoteReference w:id="17"/>
      </w:r>
      <w:hyperlink w:anchor="co_footnote_B00172057667919_1">
        <w:r w:rsidRPr="00F16D8F">
          <w:rPr>
            <w:rFonts w:ascii="Georgia" w:hAnsi="Georgia"/>
            <w:color w:val="000000" w:themeColor="text1"/>
            <w:sz w:val="22"/>
            <w:szCs w:val="22"/>
            <w:vertAlign w:val="superscript"/>
          </w:rPr>
          <w:t>17</w:t>
        </w:r>
      </w:hyperlink>
      <w:bookmarkEnd w:id="26"/>
      <w:r w:rsidRPr="00F16D8F">
        <w:rPr>
          <w:rFonts w:ascii="Georgia" w:hAnsi="Georgia"/>
          <w:color w:val="000000" w:themeColor="text1"/>
          <w:sz w:val="22"/>
          <w:szCs w:val="22"/>
        </w:rPr>
        <w:t xml:space="preserve"> Without a clearer explanation, we are unable to determine whether substantial evidence supports the Board's determination that the applied-for mark fails to function as a source identifier. Accordingly, </w:t>
      </w:r>
      <w:proofErr w:type="gramStart"/>
      <w:r w:rsidRPr="00F16D8F">
        <w:rPr>
          <w:rFonts w:ascii="Georgia" w:hAnsi="Georgia"/>
          <w:color w:val="000000" w:themeColor="text1"/>
          <w:sz w:val="22"/>
          <w:szCs w:val="22"/>
        </w:rPr>
        <w:t>remand</w:t>
      </w:r>
      <w:proofErr w:type="gramEnd"/>
      <w:r w:rsidRPr="00F16D8F">
        <w:rPr>
          <w:rFonts w:ascii="Georgia" w:hAnsi="Georgia"/>
          <w:color w:val="000000" w:themeColor="text1"/>
          <w:sz w:val="22"/>
          <w:szCs w:val="22"/>
        </w:rPr>
        <w:t xml:space="preserve"> is required. </w:t>
      </w:r>
      <w:r w:rsidRPr="00F16D8F">
        <w:rPr>
          <w:rFonts w:ascii="Georgia" w:hAnsi="Georgia"/>
          <w:i/>
          <w:color w:val="000000" w:themeColor="text1"/>
          <w:sz w:val="22"/>
          <w:szCs w:val="22"/>
        </w:rPr>
        <w:t>See, e.g.</w:t>
      </w:r>
      <w:r w:rsidRPr="00F16D8F">
        <w:rPr>
          <w:rFonts w:ascii="Georgia" w:hAnsi="Georgia"/>
          <w:color w:val="000000" w:themeColor="text1"/>
          <w:sz w:val="22"/>
          <w:szCs w:val="22"/>
        </w:rPr>
        <w:t xml:space="preserve">, </w:t>
      </w:r>
      <w:hyperlink r:id="rId80" w:anchor="co_pp_sp_506_970">
        <w:r w:rsidRPr="00F16D8F">
          <w:rPr>
            <w:rFonts w:ascii="Georgia" w:hAnsi="Georgia"/>
            <w:i/>
            <w:color w:val="000000" w:themeColor="text1"/>
            <w:sz w:val="22"/>
            <w:szCs w:val="22"/>
          </w:rPr>
          <w:t>Princeton Vanguard</w:t>
        </w:r>
        <w:r w:rsidRPr="00F16D8F">
          <w:rPr>
            <w:rFonts w:ascii="Georgia" w:hAnsi="Georgia"/>
            <w:color w:val="000000" w:themeColor="text1"/>
            <w:sz w:val="22"/>
            <w:szCs w:val="22"/>
          </w:rPr>
          <w:t>, 786 F.3d at 970–71</w:t>
        </w:r>
      </w:hyperlink>
      <w:r w:rsidRPr="00F16D8F">
        <w:rPr>
          <w:rFonts w:ascii="Georgia" w:hAnsi="Georgia"/>
          <w:color w:val="000000" w:themeColor="text1"/>
          <w:sz w:val="22"/>
          <w:szCs w:val="22"/>
        </w:rPr>
        <w:t>.</w:t>
      </w:r>
    </w:p>
    <w:p w14:paraId="4EEBD63C" w14:textId="77777777" w:rsidR="003010EC" w:rsidRPr="00F16D8F" w:rsidRDefault="00000000">
      <w:pPr>
        <w:spacing w:before="400" w:after="0" w:line="275" w:lineRule="atLeast"/>
        <w:jc w:val="center"/>
        <w:rPr>
          <w:rFonts w:ascii="Georgia" w:hAnsi="Georgia"/>
          <w:b/>
          <w:bCs/>
          <w:color w:val="000000" w:themeColor="text1"/>
          <w:sz w:val="22"/>
          <w:szCs w:val="22"/>
        </w:rPr>
      </w:pPr>
      <w:bookmarkStart w:id="27" w:name="co_anchor_I51ac75e1841211f09b889397c184"/>
      <w:r w:rsidRPr="00F16D8F">
        <w:rPr>
          <w:rFonts w:ascii="Georgia" w:hAnsi="Georgia"/>
          <w:b/>
          <w:bCs/>
          <w:color w:val="000000" w:themeColor="text1"/>
          <w:sz w:val="22"/>
          <w:szCs w:val="22"/>
        </w:rPr>
        <w:t>Conclusion</w:t>
      </w:r>
    </w:p>
    <w:bookmarkEnd w:id="27"/>
    <w:p w14:paraId="48868C58" w14:textId="4C6F258D" w:rsidR="003010EC" w:rsidRPr="00F16D8F" w:rsidRDefault="00000000" w:rsidP="00F16D8F">
      <w:pPr>
        <w:spacing w:before="200"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We have considered Mr. Brunetti's remaining arguments and find them unpersuasive. We vacate the Board's decision and remand for further proceedings consistent with this opinion.</w:t>
      </w:r>
    </w:p>
    <w:p w14:paraId="6CC2EFEC"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4617A6B7" w14:textId="7B8AFA19"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b/>
          <w:color w:val="000000" w:themeColor="text1"/>
          <w:sz w:val="22"/>
          <w:szCs w:val="22"/>
        </w:rPr>
        <w:t>VACATED AND REMANDED</w:t>
      </w:r>
    </w:p>
    <w:p w14:paraId="4C733D4B" w14:textId="77777777" w:rsidR="00F16D8F" w:rsidRDefault="00F16D8F">
      <w:pPr>
        <w:spacing w:before="400" w:after="0" w:line="275" w:lineRule="atLeast"/>
        <w:rPr>
          <w:rFonts w:ascii="Georgia" w:hAnsi="Georgia"/>
          <w:b/>
          <w:bCs/>
          <w:color w:val="000000" w:themeColor="text1"/>
          <w:sz w:val="22"/>
          <w:szCs w:val="22"/>
        </w:rPr>
      </w:pPr>
      <w:bookmarkStart w:id="28" w:name="co_anchor_I51ad6042841211f09b889397c184"/>
      <w:bookmarkStart w:id="29" w:name="co_dissent_opinion_1"/>
    </w:p>
    <w:p w14:paraId="219C363D" w14:textId="77777777" w:rsidR="00F16D8F" w:rsidRDefault="00F16D8F">
      <w:pPr>
        <w:spacing w:before="400" w:after="0" w:line="275" w:lineRule="atLeast"/>
        <w:rPr>
          <w:rFonts w:ascii="Georgia" w:hAnsi="Georgia"/>
          <w:b/>
          <w:bCs/>
          <w:color w:val="000000" w:themeColor="text1"/>
          <w:sz w:val="22"/>
          <w:szCs w:val="22"/>
        </w:rPr>
      </w:pPr>
    </w:p>
    <w:p w14:paraId="14467F5B" w14:textId="77777777" w:rsidR="00F16D8F" w:rsidRPr="00F16D8F" w:rsidRDefault="00000000" w:rsidP="00F16D8F">
      <w:pPr>
        <w:spacing w:before="400" w:after="0" w:line="275" w:lineRule="atLeast"/>
        <w:rPr>
          <w:rFonts w:ascii="Georgia" w:hAnsi="Georgia"/>
          <w:color w:val="000000" w:themeColor="text1"/>
          <w:sz w:val="22"/>
          <w:szCs w:val="22"/>
        </w:rPr>
      </w:pPr>
      <w:hyperlink r:id="rId81">
        <w:r w:rsidRPr="00F16D8F">
          <w:rPr>
            <w:rFonts w:ascii="Georgia" w:hAnsi="Georgia"/>
            <w:color w:val="000000" w:themeColor="text1"/>
            <w:sz w:val="22"/>
            <w:szCs w:val="22"/>
          </w:rPr>
          <w:t>Lourie</w:t>
        </w:r>
      </w:hyperlink>
      <w:r w:rsidRPr="00F16D8F">
        <w:rPr>
          <w:rFonts w:ascii="Georgia" w:hAnsi="Georgia"/>
          <w:color w:val="000000" w:themeColor="text1"/>
          <w:sz w:val="22"/>
          <w:szCs w:val="22"/>
        </w:rPr>
        <w:t>, Circuit Judge, dissenting.</w:t>
      </w:r>
      <w:bookmarkStart w:id="30" w:name="co_anchor_I51ad6042841211f09b889397c2"/>
      <w:bookmarkEnd w:id="28"/>
      <w:bookmarkEnd w:id="29"/>
    </w:p>
    <w:p w14:paraId="57025BE9" w14:textId="6B5AC50D" w:rsidR="003010EC" w:rsidRPr="00F16D8F" w:rsidRDefault="00000000" w:rsidP="00F16D8F">
      <w:pPr>
        <w:spacing w:before="400" w:after="0" w:line="275" w:lineRule="atLeast"/>
        <w:ind w:firstLine="720"/>
        <w:rPr>
          <w:rFonts w:ascii="Georgia" w:hAnsi="Georgia"/>
          <w:color w:val="000000" w:themeColor="text1"/>
          <w:sz w:val="22"/>
          <w:szCs w:val="22"/>
        </w:rPr>
      </w:pPr>
      <w:r w:rsidRPr="00F16D8F">
        <w:rPr>
          <w:rFonts w:ascii="Georgia" w:hAnsi="Georgia"/>
          <w:color w:val="000000" w:themeColor="text1"/>
          <w:sz w:val="22"/>
          <w:szCs w:val="22"/>
        </w:rPr>
        <w:t xml:space="preserve">“[A] trademark is not a trademark unless it ... tells the public who is responsible for a product.” </w:t>
      </w:r>
      <w:hyperlink r:id="rId82" w:anchor="co_pp_sp_780_146">
        <w:r w:rsidRPr="00F16D8F">
          <w:rPr>
            <w:rFonts w:ascii="Georgia" w:hAnsi="Georgia"/>
            <w:i/>
            <w:color w:val="000000" w:themeColor="text1"/>
            <w:sz w:val="22"/>
            <w:szCs w:val="22"/>
          </w:rPr>
          <w:t>Jack Daniel's Props., Inc. v. VIP Prods. LLC</w:t>
        </w:r>
        <w:r w:rsidRPr="00F16D8F">
          <w:rPr>
            <w:rFonts w:ascii="Georgia" w:hAnsi="Georgia"/>
            <w:color w:val="000000" w:themeColor="text1"/>
            <w:sz w:val="22"/>
            <w:szCs w:val="22"/>
          </w:rPr>
          <w:t xml:space="preserve">, 599 U.S. 140, 146, 143 </w:t>
        </w:r>
        <w:proofErr w:type="spellStart"/>
        <w:r w:rsidRPr="00F16D8F">
          <w:rPr>
            <w:rFonts w:ascii="Georgia" w:hAnsi="Georgia"/>
            <w:color w:val="000000" w:themeColor="text1"/>
            <w:sz w:val="22"/>
            <w:szCs w:val="22"/>
          </w:rPr>
          <w:t>S.Ct</w:t>
        </w:r>
        <w:proofErr w:type="spellEnd"/>
        <w:r w:rsidRPr="00F16D8F">
          <w:rPr>
            <w:rFonts w:ascii="Georgia" w:hAnsi="Georgia"/>
            <w:color w:val="000000" w:themeColor="text1"/>
            <w:sz w:val="22"/>
            <w:szCs w:val="22"/>
          </w:rPr>
          <w:t>. 1578, 216 L.Ed.2d 161 (2023)</w:t>
        </w:r>
      </w:hyperlink>
      <w:r w:rsidRPr="00F16D8F">
        <w:rPr>
          <w:rFonts w:ascii="Georgia" w:hAnsi="Georgia"/>
          <w:color w:val="000000" w:themeColor="text1"/>
          <w:sz w:val="22"/>
          <w:szCs w:val="22"/>
        </w:rPr>
        <w:t xml:space="preserve">; </w:t>
      </w:r>
      <w:r w:rsidRPr="00F16D8F">
        <w:rPr>
          <w:rFonts w:ascii="Georgia" w:hAnsi="Georgia"/>
          <w:i/>
          <w:color w:val="000000" w:themeColor="text1"/>
          <w:sz w:val="22"/>
          <w:szCs w:val="22"/>
        </w:rPr>
        <w:t>see</w:t>
      </w:r>
      <w:r w:rsidRPr="00F16D8F">
        <w:rPr>
          <w:rFonts w:ascii="Georgia" w:hAnsi="Georgia"/>
          <w:color w:val="000000" w:themeColor="text1"/>
          <w:sz w:val="22"/>
          <w:szCs w:val="22"/>
        </w:rPr>
        <w:t xml:space="preserve"> </w:t>
      </w:r>
      <w:hyperlink r:id="rId83">
        <w:r w:rsidRPr="00F16D8F">
          <w:rPr>
            <w:rFonts w:ascii="Georgia" w:hAnsi="Georgia"/>
            <w:color w:val="000000" w:themeColor="text1"/>
            <w:sz w:val="22"/>
            <w:szCs w:val="22"/>
          </w:rPr>
          <w:t>15 U.S.C. § 1127</w:t>
        </w:r>
      </w:hyperlink>
      <w:r w:rsidRPr="00F16D8F">
        <w:rPr>
          <w:rFonts w:ascii="Georgia" w:hAnsi="Georgia"/>
          <w:color w:val="000000" w:themeColor="text1"/>
          <w:sz w:val="22"/>
          <w:szCs w:val="22"/>
        </w:rPr>
        <w:t xml:space="preserve"> (a trademark must “indicate the source” of the applicant's goods and “distinguish [the applicant's] goods ... from those manufactured or sold by others”). </w:t>
      </w:r>
      <w:r w:rsidRPr="00F16D8F">
        <w:rPr>
          <w:rFonts w:ascii="Georgia" w:hAnsi="Georgia"/>
          <w:color w:val="000000" w:themeColor="text1"/>
          <w:sz w:val="22"/>
          <w:szCs w:val="22"/>
        </w:rPr>
        <w:lastRenderedPageBreak/>
        <w:t xml:space="preserve">Substantial evidence supports </w:t>
      </w:r>
      <w:proofErr w:type="gramStart"/>
      <w:r w:rsidRPr="00F16D8F">
        <w:rPr>
          <w:rFonts w:ascii="Georgia" w:hAnsi="Georgia"/>
          <w:color w:val="000000" w:themeColor="text1"/>
          <w:sz w:val="22"/>
          <w:szCs w:val="22"/>
        </w:rPr>
        <w:t>a conclusion</w:t>
      </w:r>
      <w:proofErr w:type="gramEnd"/>
      <w:r w:rsidRPr="00F16D8F">
        <w:rPr>
          <w:rFonts w:ascii="Georgia" w:hAnsi="Georgia"/>
          <w:color w:val="000000" w:themeColor="text1"/>
          <w:sz w:val="22"/>
          <w:szCs w:val="22"/>
        </w:rPr>
        <w:t xml:space="preserve"> that the f-word cannot do so for the classes of goods in Brunetti's applications. I therefore respectfully dissent.</w:t>
      </w:r>
    </w:p>
    <w:bookmarkEnd w:id="30"/>
    <w:p w14:paraId="108CE279"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478C1CBB" w14:textId="77777777"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As the record shows, the word is widely used to express an innumerable range of “well-recognized familiar sentiments.” </w:t>
      </w:r>
      <w:hyperlink r:id="rId84" w:anchor="co_pp_sp_999_21">
        <w:r w:rsidRPr="00F16D8F">
          <w:rPr>
            <w:rFonts w:ascii="Georgia" w:hAnsi="Georgia"/>
            <w:i/>
            <w:color w:val="000000" w:themeColor="text1"/>
            <w:sz w:val="22"/>
            <w:szCs w:val="22"/>
          </w:rPr>
          <w:t>In re Brunetti</w:t>
        </w:r>
        <w:r w:rsidRPr="00F16D8F">
          <w:rPr>
            <w:rFonts w:ascii="Georgia" w:hAnsi="Georgia"/>
            <w:color w:val="000000" w:themeColor="text1"/>
            <w:sz w:val="22"/>
            <w:szCs w:val="22"/>
          </w:rPr>
          <w:t>, No. 88308426, 2022 WL 3644733, at *21 (T.T.A.B. Aug. 22, 2022)</w:t>
        </w:r>
      </w:hyperlink>
      <w:r w:rsidRPr="00F16D8F">
        <w:rPr>
          <w:rFonts w:ascii="Georgia" w:hAnsi="Georgia"/>
          <w:color w:val="000000" w:themeColor="text1"/>
          <w:sz w:val="22"/>
          <w:szCs w:val="22"/>
        </w:rPr>
        <w:t xml:space="preserve"> (the word is used generally as an “intensifier to express extremes of emotion, negative and positive (e.g., shock), to note disdain, sadness, confusion, panic, boredom, annoyance, disgust, or pleasure; to insult or offend; and to evoke other emotions”) (cleaned up). And the word is frequently used in connection with the classes of goods in Brunetti's applications. </w:t>
      </w:r>
      <w:r w:rsidRPr="00F16D8F">
        <w:rPr>
          <w:rFonts w:ascii="Georgia" w:hAnsi="Georgia"/>
          <w:i/>
          <w:color w:val="000000" w:themeColor="text1"/>
          <w:sz w:val="22"/>
          <w:szCs w:val="22"/>
        </w:rPr>
        <w:t>E.g.</w:t>
      </w:r>
      <w:r w:rsidRPr="00F16D8F">
        <w:rPr>
          <w:rFonts w:ascii="Georgia" w:hAnsi="Georgia"/>
          <w:color w:val="000000" w:themeColor="text1"/>
          <w:sz w:val="22"/>
          <w:szCs w:val="22"/>
        </w:rPr>
        <w:t xml:space="preserve">, </w:t>
      </w:r>
      <w:hyperlink r:id="rId85">
        <w:r w:rsidRPr="00F16D8F">
          <w:rPr>
            <w:rFonts w:ascii="Georgia" w:hAnsi="Georgia"/>
            <w:i/>
            <w:color w:val="000000" w:themeColor="text1"/>
            <w:sz w:val="22"/>
            <w:szCs w:val="22"/>
          </w:rPr>
          <w:t>id.</w:t>
        </w:r>
        <w:r w:rsidRPr="00F16D8F">
          <w:rPr>
            <w:rFonts w:ascii="Georgia" w:hAnsi="Georgia"/>
            <w:color w:val="000000" w:themeColor="text1"/>
            <w:sz w:val="22"/>
            <w:szCs w:val="22"/>
          </w:rPr>
          <w:t xml:space="preserve"> at *10–11</w:t>
        </w:r>
      </w:hyperlink>
      <w:r w:rsidRPr="00F16D8F">
        <w:rPr>
          <w:rFonts w:ascii="Georgia" w:hAnsi="Georgia"/>
          <w:color w:val="000000" w:themeColor="text1"/>
          <w:sz w:val="22"/>
          <w:szCs w:val="22"/>
        </w:rPr>
        <w:t xml:space="preserve"> (showing the word used on bags, jewelry, cellphone cases, etc.). Because of its ubiquity, consumers cannot specifically associate the word with Brunetti's brand. </w:t>
      </w:r>
      <w:r w:rsidRPr="00F16D8F">
        <w:rPr>
          <w:rFonts w:ascii="Georgia" w:hAnsi="Georgia"/>
          <w:i/>
          <w:color w:val="000000" w:themeColor="text1"/>
          <w:sz w:val="22"/>
          <w:szCs w:val="22"/>
        </w:rPr>
        <w:t xml:space="preserve">See </w:t>
      </w:r>
      <w:hyperlink r:id="rId86">
        <w:r w:rsidRPr="00F16D8F">
          <w:rPr>
            <w:rFonts w:ascii="Georgia" w:hAnsi="Georgia"/>
            <w:i/>
            <w:color w:val="000000" w:themeColor="text1"/>
            <w:sz w:val="22"/>
            <w:szCs w:val="22"/>
          </w:rPr>
          <w:t>id.</w:t>
        </w:r>
        <w:r w:rsidRPr="00F16D8F">
          <w:rPr>
            <w:rFonts w:ascii="Georgia" w:hAnsi="Georgia"/>
            <w:color w:val="000000" w:themeColor="text1"/>
            <w:sz w:val="22"/>
            <w:szCs w:val="22"/>
          </w:rPr>
          <w:t xml:space="preserve"> at *21–22</w:t>
        </w:r>
      </w:hyperlink>
      <w:r w:rsidRPr="00F16D8F">
        <w:rPr>
          <w:rFonts w:ascii="Georgia" w:hAnsi="Georgia"/>
          <w:color w:val="000000" w:themeColor="text1"/>
          <w:sz w:val="22"/>
          <w:szCs w:val="22"/>
        </w:rPr>
        <w:t>.</w:t>
      </w:r>
    </w:p>
    <w:p w14:paraId="65371416"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0D0A8E40" w14:textId="77777777"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Brunetti argues that the widely-used words and phrases that the PTO has registered, “love” and “f[ ] </w:t>
      </w:r>
      <w:hyperlink r:id="rId87">
        <w:r w:rsidRPr="00F16D8F">
          <w:rPr>
            <w:rFonts w:ascii="Georgia" w:hAnsi="Georgia"/>
            <w:color w:val="000000" w:themeColor="text1"/>
            <w:sz w:val="22"/>
            <w:szCs w:val="22"/>
          </w:rPr>
          <w:t>cancer</w:t>
        </w:r>
      </w:hyperlink>
      <w:r w:rsidRPr="00F16D8F">
        <w:rPr>
          <w:rFonts w:ascii="Georgia" w:hAnsi="Georgia"/>
          <w:color w:val="000000" w:themeColor="text1"/>
          <w:sz w:val="22"/>
          <w:szCs w:val="22"/>
        </w:rPr>
        <w:t xml:space="preserve">,” support his position. But those examples demonstrate why Brunetti's applications were correctly rejected here. “Love,” as Brunetti points out, is one of the most common words in the English language. Critically though, “love” does not carry a wide variety of meanings. Rather, it is used to convey primarily one thing—a strong feeling of attachment. “F[ ] </w:t>
      </w:r>
      <w:hyperlink r:id="rId88">
        <w:r w:rsidRPr="00F16D8F">
          <w:rPr>
            <w:rFonts w:ascii="Georgia" w:hAnsi="Georgia"/>
            <w:color w:val="000000" w:themeColor="text1"/>
            <w:sz w:val="22"/>
            <w:szCs w:val="22"/>
          </w:rPr>
          <w:t>cancer</w:t>
        </w:r>
      </w:hyperlink>
      <w:r w:rsidRPr="00F16D8F">
        <w:rPr>
          <w:rFonts w:ascii="Georgia" w:hAnsi="Georgia"/>
          <w:color w:val="000000" w:themeColor="text1"/>
          <w:sz w:val="22"/>
          <w:szCs w:val="22"/>
        </w:rPr>
        <w:t>” is similarly limited. By adding the word “</w:t>
      </w:r>
      <w:hyperlink r:id="rId89">
        <w:r w:rsidRPr="00F16D8F">
          <w:rPr>
            <w:rFonts w:ascii="Georgia" w:hAnsi="Georgia"/>
            <w:color w:val="000000" w:themeColor="text1"/>
            <w:sz w:val="22"/>
            <w:szCs w:val="22"/>
          </w:rPr>
          <w:t>cancer</w:t>
        </w:r>
      </w:hyperlink>
      <w:r w:rsidRPr="00F16D8F">
        <w:rPr>
          <w:rFonts w:ascii="Georgia" w:hAnsi="Georgia"/>
          <w:color w:val="000000" w:themeColor="text1"/>
          <w:sz w:val="22"/>
          <w:szCs w:val="22"/>
        </w:rPr>
        <w:t>,” the meaning of the phrase is substantially narrowed to signify a passionate displeasure for the disease. Such words and phrases are not so ubiquitous as to be incapable of acting as a source identifier. This case is different. The f-word is primarily an explicative, expressive of a variety of definitions, or none at all.</w:t>
      </w:r>
    </w:p>
    <w:p w14:paraId="68FFE332"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3BBBECFA" w14:textId="77777777"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The </w:t>
      </w:r>
      <w:proofErr w:type="gramStart"/>
      <w:r w:rsidRPr="00F16D8F">
        <w:rPr>
          <w:rFonts w:ascii="Georgia" w:hAnsi="Georgia"/>
          <w:color w:val="000000" w:themeColor="text1"/>
          <w:sz w:val="22"/>
          <w:szCs w:val="22"/>
        </w:rPr>
        <w:t>majority well</w:t>
      </w:r>
      <w:proofErr w:type="gramEnd"/>
      <w:r w:rsidRPr="00F16D8F">
        <w:rPr>
          <w:rFonts w:ascii="Georgia" w:hAnsi="Georgia"/>
          <w:color w:val="000000" w:themeColor="text1"/>
          <w:sz w:val="22"/>
          <w:szCs w:val="22"/>
        </w:rPr>
        <w:t xml:space="preserve"> points out shortcomings in the Board's analysis of the failure to function issue. But anyone living in today's society of degraded language can readily tell that the f-word does not indicate the source of the proposed trademarked goods and distinguish them from goods of another. If the Board's overall analysis needs sharpening, this case, which has been pending for most of a decade, surely isn't one in which we need more help from the Board to know the right answer under the law. There will be better cases in which we need more guidance from the Board in order to properly review its decisions.</w:t>
      </w:r>
    </w:p>
    <w:p w14:paraId="337EF74E"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p w14:paraId="28E245ED" w14:textId="77777777" w:rsidR="003010EC" w:rsidRPr="00F16D8F" w:rsidRDefault="00000000" w:rsidP="00F16D8F">
      <w:pPr>
        <w:spacing w:after="0" w:line="275" w:lineRule="atLeast"/>
        <w:ind w:firstLine="720"/>
        <w:jc w:val="both"/>
        <w:rPr>
          <w:rFonts w:ascii="Georgia" w:hAnsi="Georgia"/>
          <w:color w:val="000000" w:themeColor="text1"/>
          <w:sz w:val="22"/>
          <w:szCs w:val="22"/>
        </w:rPr>
      </w:pPr>
      <w:r w:rsidRPr="00F16D8F">
        <w:rPr>
          <w:rFonts w:ascii="Georgia" w:hAnsi="Georgia"/>
          <w:color w:val="000000" w:themeColor="text1"/>
          <w:sz w:val="22"/>
          <w:szCs w:val="22"/>
        </w:rPr>
        <w:t xml:space="preserve">For the above reasons, I dissent from the majority's decision to </w:t>
      </w:r>
      <w:proofErr w:type="gramStart"/>
      <w:r w:rsidRPr="00F16D8F">
        <w:rPr>
          <w:rFonts w:ascii="Georgia" w:hAnsi="Georgia"/>
          <w:color w:val="000000" w:themeColor="text1"/>
          <w:sz w:val="22"/>
          <w:szCs w:val="22"/>
        </w:rPr>
        <w:t>vacate</w:t>
      </w:r>
      <w:proofErr w:type="gramEnd"/>
      <w:r w:rsidRPr="00F16D8F">
        <w:rPr>
          <w:rFonts w:ascii="Georgia" w:hAnsi="Georgia"/>
          <w:color w:val="000000" w:themeColor="text1"/>
          <w:sz w:val="22"/>
          <w:szCs w:val="22"/>
        </w:rPr>
        <w:t xml:space="preserve"> a decision that should be affirmed.</w:t>
      </w:r>
    </w:p>
    <w:p w14:paraId="0BA15FBB" w14:textId="77777777" w:rsidR="003010EC" w:rsidRPr="00F16D8F" w:rsidRDefault="00000000">
      <w:pPr>
        <w:spacing w:after="0" w:line="275" w:lineRule="atLeast"/>
        <w:jc w:val="both"/>
        <w:rPr>
          <w:rFonts w:ascii="Georgia" w:hAnsi="Georgia"/>
          <w:color w:val="000000" w:themeColor="text1"/>
          <w:sz w:val="22"/>
          <w:szCs w:val="22"/>
        </w:rPr>
      </w:pPr>
      <w:r w:rsidRPr="00F16D8F">
        <w:rPr>
          <w:rFonts w:ascii="Georgia" w:hAnsi="Georgia"/>
          <w:color w:val="000000" w:themeColor="text1"/>
          <w:sz w:val="22"/>
          <w:szCs w:val="22"/>
        </w:rPr>
        <w:t> </w:t>
      </w:r>
    </w:p>
    <w:sectPr w:rsidR="003010EC" w:rsidRPr="00F16D8F" w:rsidSect="00F16D8F">
      <w:headerReference w:type="even" r:id="rId90"/>
      <w:headerReference w:type="default" r:id="rId91"/>
      <w:footerReference w:type="even" r:id="rId92"/>
      <w:footerReference w:type="default" r:id="rId93"/>
      <w:pgSz w:w="12240" w:h="15840" w:code="1"/>
      <w:pgMar w:top="2160" w:right="2160" w:bottom="2160" w:left="216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44A0" w14:textId="77777777" w:rsidR="005B6DFC" w:rsidRDefault="005B6DFC">
      <w:pPr>
        <w:spacing w:after="0" w:line="240" w:lineRule="auto"/>
      </w:pPr>
      <w:r>
        <w:separator/>
      </w:r>
    </w:p>
  </w:endnote>
  <w:endnote w:type="continuationSeparator" w:id="0">
    <w:p w14:paraId="1F5A121F" w14:textId="77777777" w:rsidR="005B6DFC" w:rsidRDefault="005B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227029"/>
      <w:docPartObj>
        <w:docPartGallery w:val="Page Numbers (Bottom of Page)"/>
        <w:docPartUnique/>
      </w:docPartObj>
    </w:sdtPr>
    <w:sdtContent>
      <w:sdt>
        <w:sdtPr>
          <w:id w:val="1728636285"/>
          <w:docPartObj>
            <w:docPartGallery w:val="Page Numbers (Top of Page)"/>
            <w:docPartUnique/>
          </w:docPartObj>
        </w:sdtPr>
        <w:sdtContent>
          <w:p w14:paraId="6BA0E3B4" w14:textId="0ABF690B" w:rsidR="00F16D8F" w:rsidRDefault="00F16D8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324829"/>
      <w:docPartObj>
        <w:docPartGallery w:val="Page Numbers (Bottom of Page)"/>
        <w:docPartUnique/>
      </w:docPartObj>
    </w:sdtPr>
    <w:sdtContent>
      <w:sdt>
        <w:sdtPr>
          <w:id w:val="679082255"/>
          <w:docPartObj>
            <w:docPartGallery w:val="Page Numbers (Top of Page)"/>
            <w:docPartUnique/>
          </w:docPartObj>
        </w:sdtPr>
        <w:sdtContent>
          <w:p w14:paraId="0F54E170" w14:textId="6B906849" w:rsidR="00F16D8F" w:rsidRDefault="00F16D8F">
            <w:pPr>
              <w:pStyle w:val="Footer"/>
              <w:jc w:val="center"/>
            </w:pPr>
            <w:r w:rsidRPr="00F16D8F">
              <w:rPr>
                <w:rFonts w:ascii="Georgia" w:hAnsi="Georgia"/>
                <w:sz w:val="22"/>
                <w:szCs w:val="22"/>
              </w:rPr>
              <w:t xml:space="preserve">Page </w:t>
            </w:r>
            <w:r w:rsidRPr="00F16D8F">
              <w:rPr>
                <w:rFonts w:ascii="Georgia" w:hAnsi="Georgia"/>
                <w:sz w:val="22"/>
                <w:szCs w:val="22"/>
              </w:rPr>
              <w:fldChar w:fldCharType="begin"/>
            </w:r>
            <w:r w:rsidRPr="00F16D8F">
              <w:rPr>
                <w:rFonts w:ascii="Georgia" w:hAnsi="Georgia"/>
                <w:sz w:val="22"/>
                <w:szCs w:val="22"/>
              </w:rPr>
              <w:instrText xml:space="preserve"> PAGE </w:instrText>
            </w:r>
            <w:r w:rsidRPr="00F16D8F">
              <w:rPr>
                <w:rFonts w:ascii="Georgia" w:hAnsi="Georgia"/>
                <w:sz w:val="22"/>
                <w:szCs w:val="22"/>
              </w:rPr>
              <w:fldChar w:fldCharType="separate"/>
            </w:r>
            <w:r w:rsidRPr="00F16D8F">
              <w:rPr>
                <w:rFonts w:ascii="Georgia" w:hAnsi="Georgia"/>
                <w:noProof/>
                <w:sz w:val="22"/>
                <w:szCs w:val="22"/>
              </w:rPr>
              <w:t>2</w:t>
            </w:r>
            <w:r w:rsidRPr="00F16D8F">
              <w:rPr>
                <w:rFonts w:ascii="Georgia" w:hAnsi="Georgia"/>
                <w:sz w:val="22"/>
                <w:szCs w:val="22"/>
              </w:rPr>
              <w:fldChar w:fldCharType="end"/>
            </w:r>
            <w:r w:rsidRPr="00F16D8F">
              <w:rPr>
                <w:rFonts w:ascii="Georgia" w:hAnsi="Georgia"/>
                <w:sz w:val="22"/>
                <w:szCs w:val="22"/>
              </w:rPr>
              <w:t xml:space="preserve"> of </w:t>
            </w:r>
            <w:r w:rsidRPr="00F16D8F">
              <w:rPr>
                <w:rFonts w:ascii="Georgia" w:hAnsi="Georgia"/>
                <w:sz w:val="22"/>
                <w:szCs w:val="22"/>
              </w:rPr>
              <w:fldChar w:fldCharType="begin"/>
            </w:r>
            <w:r w:rsidRPr="00F16D8F">
              <w:rPr>
                <w:rFonts w:ascii="Georgia" w:hAnsi="Georgia"/>
                <w:sz w:val="22"/>
                <w:szCs w:val="22"/>
              </w:rPr>
              <w:instrText xml:space="preserve"> NUMPAGES  </w:instrText>
            </w:r>
            <w:r w:rsidRPr="00F16D8F">
              <w:rPr>
                <w:rFonts w:ascii="Georgia" w:hAnsi="Georgia"/>
                <w:sz w:val="22"/>
                <w:szCs w:val="22"/>
              </w:rPr>
              <w:fldChar w:fldCharType="separate"/>
            </w:r>
            <w:r w:rsidRPr="00F16D8F">
              <w:rPr>
                <w:rFonts w:ascii="Georgia" w:hAnsi="Georgia"/>
                <w:noProof/>
                <w:sz w:val="22"/>
                <w:szCs w:val="22"/>
              </w:rPr>
              <w:t>2</w:t>
            </w:r>
            <w:r w:rsidRPr="00F16D8F">
              <w:rPr>
                <w:rFonts w:ascii="Georgia" w:hAnsi="Georgia"/>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E1CB" w14:textId="77777777" w:rsidR="005B6DFC" w:rsidRDefault="005B6DFC">
      <w:pPr>
        <w:spacing w:after="0" w:line="240" w:lineRule="auto"/>
      </w:pPr>
      <w:r>
        <w:separator/>
      </w:r>
    </w:p>
  </w:footnote>
  <w:footnote w:type="continuationSeparator" w:id="0">
    <w:p w14:paraId="02E22747" w14:textId="77777777" w:rsidR="005B6DFC" w:rsidRDefault="005B6DFC">
      <w:pPr>
        <w:spacing w:after="0" w:line="240" w:lineRule="auto"/>
      </w:pPr>
      <w:r>
        <w:continuationSeparator/>
      </w:r>
    </w:p>
  </w:footnote>
  <w:footnote w:id="1">
    <w:p w14:paraId="0B4341E5" w14:textId="3BCADAB9" w:rsidR="004A27E3" w:rsidRPr="00F16D8F" w:rsidRDefault="004A27E3" w:rsidP="00F16D8F">
      <w:pPr>
        <w:spacing w:after="0" w:line="240" w:lineRule="auto"/>
        <w:jc w:val="both"/>
        <w:rPr>
          <w:rFonts w:ascii="Georgia" w:hAnsi="Georgia"/>
          <w:color w:val="000000" w:themeColor="text1"/>
          <w:sz w:val="20"/>
          <w:szCs w:val="20"/>
        </w:rPr>
      </w:pPr>
      <w:r w:rsidRPr="00F16D8F">
        <w:rPr>
          <w:rStyle w:val="FootnoteReference"/>
          <w:rFonts w:ascii="Georgia" w:hAnsi="Georgia"/>
          <w:color w:val="000000" w:themeColor="text1"/>
          <w:sz w:val="20"/>
          <w:szCs w:val="20"/>
        </w:rPr>
        <w:footnoteRef/>
      </w:r>
      <w:r w:rsidRPr="00F16D8F">
        <w:rPr>
          <w:rFonts w:ascii="Georgia" w:hAnsi="Georgia"/>
          <w:color w:val="000000" w:themeColor="text1"/>
          <w:sz w:val="20"/>
          <w:szCs w:val="20"/>
        </w:rPr>
        <w:t xml:space="preserve"> </w:t>
      </w:r>
      <w:r w:rsidRPr="00F16D8F">
        <w:rPr>
          <w:rFonts w:ascii="Georgia" w:hAnsi="Georgia"/>
          <w:color w:val="000000" w:themeColor="text1"/>
          <w:sz w:val="20"/>
          <w:szCs w:val="20"/>
        </w:rPr>
        <w:t>Application Serial No. 88308426 for goods in International Class 9.</w:t>
      </w:r>
    </w:p>
  </w:footnote>
  <w:footnote w:id="2">
    <w:p w14:paraId="1FB9A592" w14:textId="38B9B439" w:rsidR="004A27E3" w:rsidRPr="00F16D8F" w:rsidRDefault="004A27E3" w:rsidP="00F16D8F">
      <w:pPr>
        <w:spacing w:after="0" w:line="240" w:lineRule="auto"/>
        <w:jc w:val="both"/>
        <w:rPr>
          <w:rFonts w:ascii="Georgia" w:hAnsi="Georgia"/>
          <w:color w:val="000000" w:themeColor="text1"/>
          <w:sz w:val="20"/>
          <w:szCs w:val="20"/>
        </w:rPr>
      </w:pPr>
      <w:r w:rsidRPr="00F16D8F">
        <w:rPr>
          <w:rStyle w:val="FootnoteReference"/>
          <w:rFonts w:ascii="Georgia" w:hAnsi="Georgia"/>
          <w:color w:val="000000" w:themeColor="text1"/>
          <w:sz w:val="20"/>
          <w:szCs w:val="20"/>
        </w:rPr>
        <w:footnoteRef/>
      </w:r>
      <w:r w:rsidRPr="00F16D8F">
        <w:rPr>
          <w:rFonts w:ascii="Georgia" w:hAnsi="Georgia"/>
          <w:color w:val="000000" w:themeColor="text1"/>
          <w:sz w:val="20"/>
          <w:szCs w:val="20"/>
        </w:rPr>
        <w:t xml:space="preserve"> </w:t>
      </w:r>
      <w:r w:rsidRPr="00F16D8F">
        <w:rPr>
          <w:rFonts w:ascii="Georgia" w:hAnsi="Georgia"/>
          <w:color w:val="000000" w:themeColor="text1"/>
          <w:sz w:val="20"/>
          <w:szCs w:val="20"/>
        </w:rPr>
        <w:t>Application Serial No. 88308434 for goods in International Class 14.</w:t>
      </w:r>
    </w:p>
  </w:footnote>
  <w:footnote w:id="3">
    <w:p w14:paraId="22785B65" w14:textId="2B5236D1" w:rsidR="004A27E3" w:rsidRPr="00F16D8F" w:rsidRDefault="004A27E3" w:rsidP="00F16D8F">
      <w:pPr>
        <w:pStyle w:val="FootnoteText"/>
        <w:jc w:val="both"/>
        <w:rPr>
          <w:rFonts w:ascii="Georgia" w:hAnsi="Georgia"/>
          <w:color w:val="000000" w:themeColor="text1"/>
        </w:rPr>
      </w:pPr>
      <w:r w:rsidRPr="00F16D8F">
        <w:rPr>
          <w:rStyle w:val="FootnoteReference"/>
          <w:rFonts w:ascii="Georgia" w:hAnsi="Georgia"/>
          <w:color w:val="000000" w:themeColor="text1"/>
        </w:rPr>
        <w:footnoteRef/>
      </w:r>
      <w:r w:rsidRPr="00F16D8F">
        <w:rPr>
          <w:rFonts w:ascii="Georgia" w:hAnsi="Georgia"/>
          <w:color w:val="000000" w:themeColor="text1"/>
        </w:rPr>
        <w:t xml:space="preserve"> </w:t>
      </w:r>
      <w:r w:rsidRPr="00F16D8F">
        <w:rPr>
          <w:rFonts w:ascii="Georgia" w:hAnsi="Georgia"/>
          <w:color w:val="000000" w:themeColor="text1"/>
        </w:rPr>
        <w:t>Application Serial No. 88308451 for goods in International Class 18.</w:t>
      </w:r>
    </w:p>
  </w:footnote>
  <w:footnote w:id="4">
    <w:p w14:paraId="18EC3AE8" w14:textId="0D09D845" w:rsidR="004A27E3" w:rsidRPr="00F16D8F" w:rsidRDefault="004A27E3" w:rsidP="00F16D8F">
      <w:pPr>
        <w:pStyle w:val="FootnoteText"/>
        <w:jc w:val="both"/>
        <w:rPr>
          <w:rFonts w:ascii="Georgia" w:hAnsi="Georgia"/>
          <w:color w:val="000000" w:themeColor="text1"/>
        </w:rPr>
      </w:pPr>
      <w:r w:rsidRPr="00F16D8F">
        <w:rPr>
          <w:rStyle w:val="FootnoteReference"/>
          <w:rFonts w:ascii="Georgia" w:hAnsi="Georgia"/>
          <w:color w:val="000000" w:themeColor="text1"/>
        </w:rPr>
        <w:footnoteRef/>
      </w:r>
      <w:r w:rsidRPr="00F16D8F">
        <w:rPr>
          <w:rFonts w:ascii="Georgia" w:hAnsi="Georgia"/>
          <w:color w:val="000000" w:themeColor="text1"/>
        </w:rPr>
        <w:t xml:space="preserve"> </w:t>
      </w:r>
      <w:r w:rsidRPr="00F16D8F">
        <w:rPr>
          <w:rFonts w:ascii="Georgia" w:hAnsi="Georgia"/>
          <w:color w:val="000000" w:themeColor="text1"/>
        </w:rPr>
        <w:t>Application Serial No. 88310900 for services in International Class 35.</w:t>
      </w:r>
    </w:p>
  </w:footnote>
  <w:footnote w:id="5">
    <w:p w14:paraId="3FBCEAF8" w14:textId="19B5023A" w:rsidR="004A27E3" w:rsidRPr="00F16D8F" w:rsidRDefault="004A27E3" w:rsidP="00F16D8F">
      <w:pPr>
        <w:pStyle w:val="FootnoteText"/>
        <w:jc w:val="both"/>
        <w:rPr>
          <w:rFonts w:ascii="Georgia" w:hAnsi="Georgia"/>
          <w:color w:val="000000" w:themeColor="text1"/>
        </w:rPr>
      </w:pPr>
      <w:r w:rsidRPr="00F16D8F">
        <w:rPr>
          <w:rStyle w:val="FootnoteReference"/>
          <w:rFonts w:ascii="Georgia" w:hAnsi="Georgia"/>
          <w:color w:val="000000" w:themeColor="text1"/>
        </w:rPr>
        <w:footnoteRef/>
      </w:r>
      <w:r w:rsidRPr="00F16D8F">
        <w:rPr>
          <w:rFonts w:ascii="Georgia" w:hAnsi="Georgia"/>
          <w:color w:val="000000" w:themeColor="text1"/>
        </w:rPr>
        <w:t xml:space="preserve"> </w:t>
      </w:r>
      <w:r w:rsidRPr="00F16D8F">
        <w:rPr>
          <w:rFonts w:ascii="Georgia" w:hAnsi="Georgia"/>
          <w:color w:val="000000" w:themeColor="text1"/>
        </w:rPr>
        <w:t xml:space="preserve">Citations to “S. </w:t>
      </w:r>
      <w:proofErr w:type="spellStart"/>
      <w:r w:rsidRPr="00F16D8F">
        <w:rPr>
          <w:rFonts w:ascii="Georgia" w:hAnsi="Georgia"/>
          <w:color w:val="000000" w:themeColor="text1"/>
        </w:rPr>
        <w:t>App'x</w:t>
      </w:r>
      <w:proofErr w:type="spellEnd"/>
      <w:r w:rsidRPr="00F16D8F">
        <w:rPr>
          <w:rFonts w:ascii="Georgia" w:hAnsi="Georgia"/>
          <w:color w:val="000000" w:themeColor="text1"/>
        </w:rPr>
        <w:t>” refer to the supplemental appendix filed by the government with its Response Brief.</w:t>
      </w:r>
    </w:p>
  </w:footnote>
  <w:footnote w:id="6">
    <w:p w14:paraId="2EC03439" w14:textId="1CF73BF5" w:rsidR="004A27E3" w:rsidRPr="00F16D8F" w:rsidRDefault="004A27E3" w:rsidP="00F16D8F">
      <w:pPr>
        <w:pStyle w:val="FootnoteText"/>
        <w:jc w:val="both"/>
        <w:rPr>
          <w:rFonts w:ascii="Georgia" w:hAnsi="Georgia"/>
          <w:color w:val="000000" w:themeColor="text1"/>
        </w:rPr>
      </w:pPr>
      <w:r w:rsidRPr="00F16D8F">
        <w:rPr>
          <w:rStyle w:val="FootnoteReference"/>
          <w:rFonts w:ascii="Georgia" w:hAnsi="Georgia"/>
          <w:color w:val="000000" w:themeColor="text1"/>
        </w:rPr>
        <w:footnoteRef/>
      </w:r>
      <w:r w:rsidRPr="00F16D8F">
        <w:rPr>
          <w:rFonts w:ascii="Georgia" w:hAnsi="Georgia"/>
          <w:color w:val="000000" w:themeColor="text1"/>
        </w:rPr>
        <w:t xml:space="preserve"> </w:t>
      </w:r>
      <w:r w:rsidRPr="00F16D8F">
        <w:rPr>
          <w:rFonts w:ascii="Georgia" w:hAnsi="Georgia"/>
          <w:color w:val="000000" w:themeColor="text1"/>
        </w:rPr>
        <w:t>The applications were initially refused on the ground that the proposed mark “[c]</w:t>
      </w:r>
      <w:proofErr w:type="spellStart"/>
      <w:r w:rsidRPr="00F16D8F">
        <w:rPr>
          <w:rFonts w:ascii="Georgia" w:hAnsi="Georgia"/>
          <w:color w:val="000000" w:themeColor="text1"/>
        </w:rPr>
        <w:t>onsists</w:t>
      </w:r>
      <w:proofErr w:type="spellEnd"/>
      <w:r w:rsidRPr="00F16D8F">
        <w:rPr>
          <w:rFonts w:ascii="Georgia" w:hAnsi="Georgia"/>
          <w:color w:val="000000" w:themeColor="text1"/>
        </w:rPr>
        <w:t xml:space="preserve"> of or comprises immoral[ ] ... or scandalous matter.” </w:t>
      </w:r>
      <w:hyperlink r:id="rId1" w:anchor="co_pp_8b3b0000958a4">
        <w:r w:rsidRPr="00F16D8F">
          <w:rPr>
            <w:rFonts w:ascii="Georgia" w:hAnsi="Georgia"/>
            <w:color w:val="000000" w:themeColor="text1"/>
          </w:rPr>
          <w:t>15 U.S.C. § 1052(a)</w:t>
        </w:r>
      </w:hyperlink>
      <w:r w:rsidRPr="00F16D8F">
        <w:rPr>
          <w:rFonts w:ascii="Georgia" w:hAnsi="Georgia"/>
          <w:color w:val="000000" w:themeColor="text1"/>
        </w:rPr>
        <w:t xml:space="preserve">. The Supreme Court subsequently held, in a separate case involving Mr. Brunetti, that </w:t>
      </w:r>
      <w:hyperlink r:id="rId2" w:anchor="co_pp_8b3b0000958a4">
        <w:r w:rsidRPr="00F16D8F">
          <w:rPr>
            <w:rFonts w:ascii="Georgia" w:hAnsi="Georgia"/>
            <w:color w:val="000000" w:themeColor="text1"/>
          </w:rPr>
          <w:t>section 1052(a)</w:t>
        </w:r>
      </w:hyperlink>
      <w:r w:rsidRPr="00F16D8F">
        <w:rPr>
          <w:rFonts w:ascii="Georgia" w:hAnsi="Georgia"/>
          <w:color w:val="000000" w:themeColor="text1"/>
        </w:rPr>
        <w:t xml:space="preserve">’s bar on registering immoral or scandalous matter was unconstitutional. </w:t>
      </w:r>
      <w:hyperlink r:id="rId3" w:anchor="co_pp_sp_780_390">
        <w:r w:rsidRPr="00F16D8F">
          <w:rPr>
            <w:rFonts w:ascii="Georgia" w:hAnsi="Georgia"/>
            <w:i/>
            <w:color w:val="000000" w:themeColor="text1"/>
          </w:rPr>
          <w:t>Iancu v. Brunetti</w:t>
        </w:r>
        <w:r w:rsidRPr="00F16D8F">
          <w:rPr>
            <w:rFonts w:ascii="Georgia" w:hAnsi="Georgia"/>
            <w:color w:val="000000" w:themeColor="text1"/>
          </w:rPr>
          <w:t xml:space="preserve">, 588 U.S. 388, 390, 139 </w:t>
        </w:r>
        <w:proofErr w:type="spellStart"/>
        <w:r w:rsidRPr="00F16D8F">
          <w:rPr>
            <w:rFonts w:ascii="Georgia" w:hAnsi="Georgia"/>
            <w:color w:val="000000" w:themeColor="text1"/>
          </w:rPr>
          <w:t>S.Ct</w:t>
        </w:r>
        <w:proofErr w:type="spellEnd"/>
        <w:r w:rsidRPr="00F16D8F">
          <w:rPr>
            <w:rFonts w:ascii="Georgia" w:hAnsi="Georgia"/>
            <w:color w:val="000000" w:themeColor="text1"/>
          </w:rPr>
          <w:t>. 2294, 204 L.Ed.2d 714 (2019)</w:t>
        </w:r>
      </w:hyperlink>
      <w:r w:rsidRPr="00F16D8F">
        <w:rPr>
          <w:rFonts w:ascii="Georgia" w:hAnsi="Georgia"/>
          <w:color w:val="000000" w:themeColor="text1"/>
        </w:rPr>
        <w:t>. The examining attorney then reexamined the applications, leading to the decisions under review here.</w:t>
      </w:r>
    </w:p>
  </w:footnote>
  <w:footnote w:id="7">
    <w:p w14:paraId="185A18B7" w14:textId="37E9DEF5" w:rsidR="004A27E3" w:rsidRPr="00F16D8F" w:rsidRDefault="004A27E3" w:rsidP="00F16D8F">
      <w:pPr>
        <w:pStyle w:val="FootnoteText"/>
        <w:jc w:val="both"/>
        <w:rPr>
          <w:rFonts w:ascii="Georgia" w:hAnsi="Georgia"/>
          <w:color w:val="000000" w:themeColor="text1"/>
        </w:rPr>
      </w:pPr>
      <w:r w:rsidRPr="00F16D8F">
        <w:rPr>
          <w:rStyle w:val="FootnoteReference"/>
          <w:rFonts w:ascii="Georgia" w:hAnsi="Georgia"/>
          <w:color w:val="000000" w:themeColor="text1"/>
        </w:rPr>
        <w:footnoteRef/>
      </w:r>
      <w:r w:rsidRPr="00F16D8F">
        <w:rPr>
          <w:rFonts w:ascii="Georgia" w:hAnsi="Georgia"/>
          <w:color w:val="000000" w:themeColor="text1"/>
        </w:rPr>
        <w:t xml:space="preserve"> </w:t>
      </w:r>
      <w:r w:rsidRPr="00F16D8F">
        <w:rPr>
          <w:rFonts w:ascii="Georgia" w:hAnsi="Georgia"/>
          <w:color w:val="000000" w:themeColor="text1"/>
        </w:rPr>
        <w:t xml:space="preserve">The record and legal issues applicable to each application are substantively similar. The Board thus primarily referred to Mr. Brunetti's application for jewelry, watches, and related property, S. </w:t>
      </w:r>
      <w:proofErr w:type="spellStart"/>
      <w:r w:rsidRPr="00F16D8F">
        <w:rPr>
          <w:rFonts w:ascii="Georgia" w:hAnsi="Georgia"/>
          <w:color w:val="000000" w:themeColor="text1"/>
        </w:rPr>
        <w:t>App'x</w:t>
      </w:r>
      <w:proofErr w:type="spellEnd"/>
      <w:r w:rsidRPr="00F16D8F">
        <w:rPr>
          <w:rFonts w:ascii="Georgia" w:hAnsi="Georgia"/>
          <w:color w:val="000000" w:themeColor="text1"/>
        </w:rPr>
        <w:t xml:space="preserve"> 4 n.6, and we follow suit.</w:t>
      </w:r>
    </w:p>
  </w:footnote>
  <w:footnote w:id="8">
    <w:p w14:paraId="043C8791" w14:textId="28016C97" w:rsidR="004A27E3" w:rsidRPr="00F16D8F" w:rsidRDefault="004A27E3" w:rsidP="00F16D8F">
      <w:pPr>
        <w:spacing w:after="0" w:line="240" w:lineRule="auto"/>
        <w:jc w:val="both"/>
        <w:rPr>
          <w:rFonts w:ascii="Georgia" w:hAnsi="Georgia"/>
          <w:color w:val="000000" w:themeColor="text1"/>
          <w:sz w:val="20"/>
          <w:szCs w:val="20"/>
        </w:rPr>
      </w:pPr>
      <w:r w:rsidRPr="00F16D8F">
        <w:rPr>
          <w:rStyle w:val="FootnoteReference"/>
          <w:rFonts w:ascii="Georgia" w:hAnsi="Georgia"/>
          <w:color w:val="000000" w:themeColor="text1"/>
          <w:sz w:val="20"/>
          <w:szCs w:val="20"/>
        </w:rPr>
        <w:footnoteRef/>
      </w:r>
      <w:r w:rsidRPr="00F16D8F">
        <w:rPr>
          <w:rFonts w:ascii="Georgia" w:hAnsi="Georgia"/>
          <w:color w:val="000000" w:themeColor="text1"/>
          <w:sz w:val="20"/>
          <w:szCs w:val="20"/>
        </w:rPr>
        <w:t xml:space="preserve"> </w:t>
      </w:r>
      <w:r w:rsidRPr="00F16D8F">
        <w:rPr>
          <w:rFonts w:ascii="Georgia" w:hAnsi="Georgia"/>
          <w:color w:val="000000" w:themeColor="text1"/>
          <w:sz w:val="20"/>
          <w:szCs w:val="20"/>
        </w:rPr>
        <w:t xml:space="preserve">“To establish secondary meaning, a manufacturer must show that, in the minds of the public, the primary significance of a product feature or term is to identify the source of the product rather than the product itself.” </w:t>
      </w:r>
      <w:hyperlink r:id="rId4" w:anchor="co_pp_sp_708_851">
        <w:r w:rsidRPr="00F16D8F">
          <w:rPr>
            <w:rFonts w:ascii="Georgia" w:hAnsi="Georgia"/>
            <w:i/>
            <w:color w:val="000000" w:themeColor="text1"/>
            <w:sz w:val="20"/>
            <w:szCs w:val="20"/>
          </w:rPr>
          <w:t xml:space="preserve">Inwood </w:t>
        </w:r>
        <w:proofErr w:type="spellStart"/>
        <w:r w:rsidRPr="00F16D8F">
          <w:rPr>
            <w:rFonts w:ascii="Georgia" w:hAnsi="Georgia"/>
            <w:i/>
            <w:color w:val="000000" w:themeColor="text1"/>
            <w:sz w:val="20"/>
            <w:szCs w:val="20"/>
          </w:rPr>
          <w:t>Lab'ys</w:t>
        </w:r>
        <w:proofErr w:type="spellEnd"/>
        <w:r w:rsidRPr="00F16D8F">
          <w:rPr>
            <w:rFonts w:ascii="Georgia" w:hAnsi="Georgia"/>
            <w:i/>
            <w:color w:val="000000" w:themeColor="text1"/>
            <w:sz w:val="20"/>
            <w:szCs w:val="20"/>
          </w:rPr>
          <w:t xml:space="preserve">, Inc. v. Ives </w:t>
        </w:r>
        <w:proofErr w:type="spellStart"/>
        <w:r w:rsidRPr="00F16D8F">
          <w:rPr>
            <w:rFonts w:ascii="Georgia" w:hAnsi="Georgia"/>
            <w:i/>
            <w:color w:val="000000" w:themeColor="text1"/>
            <w:sz w:val="20"/>
            <w:szCs w:val="20"/>
          </w:rPr>
          <w:t>Lab'ys</w:t>
        </w:r>
        <w:proofErr w:type="spellEnd"/>
        <w:r w:rsidRPr="00F16D8F">
          <w:rPr>
            <w:rFonts w:ascii="Georgia" w:hAnsi="Georgia"/>
            <w:i/>
            <w:color w:val="000000" w:themeColor="text1"/>
            <w:sz w:val="20"/>
            <w:szCs w:val="20"/>
          </w:rPr>
          <w:t>, Inc.</w:t>
        </w:r>
        <w:r w:rsidRPr="00F16D8F">
          <w:rPr>
            <w:rFonts w:ascii="Georgia" w:hAnsi="Georgia"/>
            <w:color w:val="000000" w:themeColor="text1"/>
            <w:sz w:val="20"/>
            <w:szCs w:val="20"/>
          </w:rPr>
          <w:t xml:space="preserve">, 456 U.S. 844, 851 n.11, 102 </w:t>
        </w:r>
        <w:proofErr w:type="spellStart"/>
        <w:r w:rsidRPr="00F16D8F">
          <w:rPr>
            <w:rFonts w:ascii="Georgia" w:hAnsi="Georgia"/>
            <w:color w:val="000000" w:themeColor="text1"/>
            <w:sz w:val="20"/>
            <w:szCs w:val="20"/>
          </w:rPr>
          <w:t>S.Ct</w:t>
        </w:r>
        <w:proofErr w:type="spellEnd"/>
        <w:r w:rsidRPr="00F16D8F">
          <w:rPr>
            <w:rFonts w:ascii="Georgia" w:hAnsi="Georgia"/>
            <w:color w:val="000000" w:themeColor="text1"/>
            <w:sz w:val="20"/>
            <w:szCs w:val="20"/>
          </w:rPr>
          <w:t>. 2182, 72 L.Ed.2d 606 (1982)</w:t>
        </w:r>
      </w:hyperlink>
      <w:r w:rsidRPr="00F16D8F">
        <w:rPr>
          <w:rFonts w:ascii="Georgia" w:hAnsi="Georgia"/>
          <w:color w:val="000000" w:themeColor="text1"/>
          <w:sz w:val="20"/>
          <w:szCs w:val="20"/>
        </w:rPr>
        <w:t xml:space="preserve">. The Supreme Court has explained that a mark that otherwise fails to indicate a source may become source-identifying by attaining secondary meaning. </w:t>
      </w:r>
      <w:r w:rsidRPr="00F16D8F">
        <w:rPr>
          <w:rFonts w:ascii="Georgia" w:hAnsi="Georgia"/>
          <w:i/>
          <w:color w:val="000000" w:themeColor="text1"/>
          <w:sz w:val="20"/>
          <w:szCs w:val="20"/>
        </w:rPr>
        <w:t>See, e.g.</w:t>
      </w:r>
      <w:r w:rsidRPr="00F16D8F">
        <w:rPr>
          <w:rFonts w:ascii="Georgia" w:hAnsi="Georgia"/>
          <w:color w:val="000000" w:themeColor="text1"/>
          <w:sz w:val="20"/>
          <w:szCs w:val="20"/>
        </w:rPr>
        <w:t xml:space="preserve">, </w:t>
      </w:r>
      <w:hyperlink r:id="rId5" w:anchor="co_pp_sp_780_166">
        <w:proofErr w:type="spellStart"/>
        <w:r w:rsidRPr="00F16D8F">
          <w:rPr>
            <w:rFonts w:ascii="Georgia" w:hAnsi="Georgia"/>
            <w:i/>
            <w:color w:val="000000" w:themeColor="text1"/>
            <w:sz w:val="20"/>
            <w:szCs w:val="20"/>
          </w:rPr>
          <w:t>Qualitex</w:t>
        </w:r>
        <w:proofErr w:type="spellEnd"/>
        <w:r w:rsidRPr="00F16D8F">
          <w:rPr>
            <w:rFonts w:ascii="Georgia" w:hAnsi="Georgia"/>
            <w:color w:val="000000" w:themeColor="text1"/>
            <w:sz w:val="20"/>
            <w:szCs w:val="20"/>
          </w:rPr>
          <w:t xml:space="preserve">, 514 U.S. at 166, 115 </w:t>
        </w:r>
        <w:proofErr w:type="spellStart"/>
        <w:r w:rsidRPr="00F16D8F">
          <w:rPr>
            <w:rFonts w:ascii="Georgia" w:hAnsi="Georgia"/>
            <w:color w:val="000000" w:themeColor="text1"/>
            <w:sz w:val="20"/>
            <w:szCs w:val="20"/>
          </w:rPr>
          <w:t>S.Ct</w:t>
        </w:r>
        <w:proofErr w:type="spellEnd"/>
        <w:r w:rsidRPr="00F16D8F">
          <w:rPr>
            <w:rFonts w:ascii="Georgia" w:hAnsi="Georgia"/>
            <w:color w:val="000000" w:themeColor="text1"/>
            <w:sz w:val="20"/>
            <w:szCs w:val="20"/>
          </w:rPr>
          <w:t>. 1300</w:t>
        </w:r>
      </w:hyperlink>
      <w:r w:rsidRPr="00F16D8F">
        <w:rPr>
          <w:rFonts w:ascii="Georgia" w:hAnsi="Georgia"/>
          <w:color w:val="000000" w:themeColor="text1"/>
          <w:sz w:val="20"/>
          <w:szCs w:val="20"/>
        </w:rPr>
        <w:t xml:space="preserve"> (explaining that a color alone can “distinguish[ ] a firm's goods and </w:t>
      </w:r>
      <w:proofErr w:type="spellStart"/>
      <w:r w:rsidRPr="00F16D8F">
        <w:rPr>
          <w:rFonts w:ascii="Georgia" w:hAnsi="Georgia"/>
          <w:color w:val="000000" w:themeColor="text1"/>
          <w:sz w:val="20"/>
          <w:szCs w:val="20"/>
        </w:rPr>
        <w:t>identif</w:t>
      </w:r>
      <w:proofErr w:type="spellEnd"/>
      <w:r w:rsidRPr="00F16D8F">
        <w:rPr>
          <w:rFonts w:ascii="Georgia" w:hAnsi="Georgia"/>
          <w:color w:val="000000" w:themeColor="text1"/>
          <w:sz w:val="20"/>
          <w:szCs w:val="20"/>
        </w:rPr>
        <w:t>[y]” if it develops secondary meaning).</w:t>
      </w:r>
    </w:p>
  </w:footnote>
  <w:footnote w:id="9">
    <w:p w14:paraId="17868B22" w14:textId="78D53FE7" w:rsidR="004A27E3" w:rsidRPr="00F16D8F" w:rsidRDefault="004A27E3" w:rsidP="00F16D8F">
      <w:pPr>
        <w:spacing w:after="0" w:line="240" w:lineRule="auto"/>
        <w:jc w:val="both"/>
        <w:rPr>
          <w:rFonts w:ascii="Georgia" w:hAnsi="Georgia"/>
          <w:color w:val="000000" w:themeColor="text1"/>
          <w:sz w:val="20"/>
          <w:szCs w:val="20"/>
        </w:rPr>
      </w:pPr>
      <w:r w:rsidRPr="00F16D8F">
        <w:rPr>
          <w:rStyle w:val="FootnoteReference"/>
          <w:rFonts w:ascii="Georgia" w:hAnsi="Georgia"/>
          <w:color w:val="000000" w:themeColor="text1"/>
          <w:sz w:val="20"/>
          <w:szCs w:val="20"/>
        </w:rPr>
        <w:footnoteRef/>
      </w:r>
      <w:r w:rsidRPr="00F16D8F">
        <w:rPr>
          <w:rFonts w:ascii="Georgia" w:hAnsi="Georgia"/>
          <w:color w:val="000000" w:themeColor="text1"/>
          <w:sz w:val="20"/>
          <w:szCs w:val="20"/>
        </w:rPr>
        <w:t xml:space="preserve"> </w:t>
      </w:r>
      <w:r w:rsidRPr="00F16D8F">
        <w:rPr>
          <w:rFonts w:ascii="Georgia" w:hAnsi="Georgia"/>
          <w:color w:val="000000" w:themeColor="text1"/>
          <w:sz w:val="20"/>
          <w:szCs w:val="20"/>
        </w:rPr>
        <w:t>The Board explained that “[t]he Examining Attorney is required to establish a reasonable predicate for his position—i.e., a prima facie case—that FUCK is not registrable” and, after the examining attorney made such a showing, Mr. Brunetti was required to rebut it by “com[</w:t>
      </w:r>
      <w:proofErr w:type="spellStart"/>
      <w:r w:rsidRPr="00F16D8F">
        <w:rPr>
          <w:rFonts w:ascii="Georgia" w:hAnsi="Georgia"/>
          <w:color w:val="000000" w:themeColor="text1"/>
          <w:sz w:val="20"/>
          <w:szCs w:val="20"/>
        </w:rPr>
        <w:t>ing</w:t>
      </w:r>
      <w:proofErr w:type="spellEnd"/>
      <w:r w:rsidRPr="00F16D8F">
        <w:rPr>
          <w:rFonts w:ascii="Georgia" w:hAnsi="Georgia"/>
          <w:color w:val="000000" w:themeColor="text1"/>
          <w:sz w:val="20"/>
          <w:szCs w:val="20"/>
        </w:rPr>
        <w:t xml:space="preserve">] forth with competent evidence that consumers would perceive the proposed mark as a source identifier.” S. </w:t>
      </w:r>
      <w:proofErr w:type="spellStart"/>
      <w:r w:rsidRPr="00F16D8F">
        <w:rPr>
          <w:rFonts w:ascii="Georgia" w:hAnsi="Georgia"/>
          <w:color w:val="000000" w:themeColor="text1"/>
          <w:sz w:val="20"/>
          <w:szCs w:val="20"/>
        </w:rPr>
        <w:t>App'x</w:t>
      </w:r>
      <w:proofErr w:type="spellEnd"/>
      <w:r w:rsidRPr="00F16D8F">
        <w:rPr>
          <w:rFonts w:ascii="Georgia" w:hAnsi="Georgia"/>
          <w:color w:val="000000" w:themeColor="text1"/>
          <w:sz w:val="20"/>
          <w:szCs w:val="20"/>
        </w:rPr>
        <w:t xml:space="preserve"> 40–41. Neither party here disputes that the examining attorney had the initial burden to establish a prima facie case of failure to function. Because we conclude the Board erred in assessing the examining attorney's prima facie case, we do not address the correctness of the Board's burden-shifting framework.</w:t>
      </w:r>
    </w:p>
  </w:footnote>
  <w:footnote w:id="10">
    <w:p w14:paraId="6B07FF1A" w14:textId="01F6C4F0" w:rsidR="004A27E3" w:rsidRPr="00F16D8F" w:rsidRDefault="004A27E3" w:rsidP="00F16D8F">
      <w:pPr>
        <w:spacing w:after="0" w:line="240" w:lineRule="auto"/>
        <w:jc w:val="both"/>
        <w:rPr>
          <w:rFonts w:ascii="Georgia" w:hAnsi="Georgia"/>
          <w:color w:val="000000" w:themeColor="text1"/>
          <w:sz w:val="20"/>
          <w:szCs w:val="20"/>
        </w:rPr>
      </w:pPr>
      <w:r w:rsidRPr="00F16D8F">
        <w:rPr>
          <w:rStyle w:val="FootnoteReference"/>
          <w:rFonts w:ascii="Georgia" w:hAnsi="Georgia"/>
          <w:color w:val="000000" w:themeColor="text1"/>
          <w:sz w:val="20"/>
          <w:szCs w:val="20"/>
        </w:rPr>
        <w:footnoteRef/>
      </w:r>
      <w:r w:rsidRPr="00F16D8F">
        <w:rPr>
          <w:rFonts w:ascii="Georgia" w:hAnsi="Georgia"/>
          <w:color w:val="000000" w:themeColor="text1"/>
          <w:sz w:val="20"/>
          <w:szCs w:val="20"/>
        </w:rPr>
        <w:t xml:space="preserve"> </w:t>
      </w:r>
      <w:r w:rsidRPr="00F16D8F">
        <w:rPr>
          <w:rFonts w:ascii="Georgia" w:hAnsi="Georgia"/>
          <w:color w:val="000000" w:themeColor="text1"/>
          <w:sz w:val="20"/>
          <w:szCs w:val="20"/>
        </w:rPr>
        <w:t xml:space="preserve">Arbitrary word marks are “words in common linguistic use but which, when used with the goods or services in issue, neither suggest nor describe any ingredient, quality or characteristic of those goods or services,” such as “APPLE for computers and other electronic goods” and “SHELL for gasoline.” </w:t>
      </w:r>
      <w:hyperlink r:id="rId6">
        <w:r w:rsidRPr="00F16D8F">
          <w:rPr>
            <w:rFonts w:ascii="Georgia" w:hAnsi="Georgia"/>
            <w:color w:val="000000" w:themeColor="text1"/>
            <w:sz w:val="20"/>
            <w:szCs w:val="20"/>
          </w:rPr>
          <w:t>1 McCarthy § 11:11</w:t>
        </w:r>
      </w:hyperlink>
      <w:r w:rsidRPr="00F16D8F">
        <w:rPr>
          <w:rFonts w:ascii="Georgia" w:hAnsi="Georgia"/>
          <w:color w:val="000000" w:themeColor="text1"/>
          <w:sz w:val="20"/>
          <w:szCs w:val="20"/>
        </w:rPr>
        <w:t xml:space="preserve">. “Marks[ ] ... that are ‘ “arbitrary” (“Camel” cigarettes), “fanciful” (“Kodak” film), or “suggestive” (“Tide” laundry detergent)’[ ] may be placed on the principal trademark register because they are ‘inherently distinctive.’ ” </w:t>
      </w:r>
      <w:hyperlink r:id="rId7" w:anchor="co_pp_sp_780_553">
        <w:r w:rsidRPr="00F16D8F">
          <w:rPr>
            <w:rFonts w:ascii="Georgia" w:hAnsi="Georgia"/>
            <w:i/>
            <w:color w:val="000000" w:themeColor="text1"/>
            <w:sz w:val="20"/>
            <w:szCs w:val="20"/>
          </w:rPr>
          <w:t>Booking.com</w:t>
        </w:r>
        <w:r w:rsidRPr="00F16D8F">
          <w:rPr>
            <w:rFonts w:ascii="Georgia" w:hAnsi="Georgia"/>
            <w:color w:val="000000" w:themeColor="text1"/>
            <w:sz w:val="20"/>
            <w:szCs w:val="20"/>
          </w:rPr>
          <w:t xml:space="preserve">, 591 U.S. at 553, 140 </w:t>
        </w:r>
        <w:proofErr w:type="spellStart"/>
        <w:r w:rsidRPr="00F16D8F">
          <w:rPr>
            <w:rFonts w:ascii="Georgia" w:hAnsi="Georgia"/>
            <w:color w:val="000000" w:themeColor="text1"/>
            <w:sz w:val="20"/>
            <w:szCs w:val="20"/>
          </w:rPr>
          <w:t>S.Ct</w:t>
        </w:r>
        <w:proofErr w:type="spellEnd"/>
        <w:r w:rsidRPr="00F16D8F">
          <w:rPr>
            <w:rFonts w:ascii="Georgia" w:hAnsi="Georgia"/>
            <w:color w:val="000000" w:themeColor="text1"/>
            <w:sz w:val="20"/>
            <w:szCs w:val="20"/>
          </w:rPr>
          <w:t>. 2298</w:t>
        </w:r>
      </w:hyperlink>
      <w:r w:rsidRPr="00F16D8F">
        <w:rPr>
          <w:rFonts w:ascii="Georgia" w:hAnsi="Georgia"/>
          <w:color w:val="000000" w:themeColor="text1"/>
          <w:sz w:val="20"/>
          <w:szCs w:val="20"/>
        </w:rPr>
        <w:t xml:space="preserve"> (quoting </w:t>
      </w:r>
      <w:hyperlink r:id="rId8" w:anchor="co_pp_sp_780_210">
        <w:r w:rsidRPr="00F16D8F">
          <w:rPr>
            <w:rFonts w:ascii="Georgia" w:hAnsi="Georgia"/>
            <w:i/>
            <w:color w:val="000000" w:themeColor="text1"/>
            <w:sz w:val="20"/>
            <w:szCs w:val="20"/>
          </w:rPr>
          <w:t>Wal-Mart</w:t>
        </w:r>
        <w:r w:rsidRPr="00F16D8F">
          <w:rPr>
            <w:rFonts w:ascii="Georgia" w:hAnsi="Georgia"/>
            <w:color w:val="000000" w:themeColor="text1"/>
            <w:sz w:val="20"/>
            <w:szCs w:val="20"/>
          </w:rPr>
          <w:t xml:space="preserve">, 529 U.S. at 210–11, 120 </w:t>
        </w:r>
        <w:proofErr w:type="spellStart"/>
        <w:r w:rsidRPr="00F16D8F">
          <w:rPr>
            <w:rFonts w:ascii="Georgia" w:hAnsi="Georgia"/>
            <w:color w:val="000000" w:themeColor="text1"/>
            <w:sz w:val="20"/>
            <w:szCs w:val="20"/>
          </w:rPr>
          <w:t>S.Ct</w:t>
        </w:r>
        <w:proofErr w:type="spellEnd"/>
        <w:r w:rsidRPr="00F16D8F">
          <w:rPr>
            <w:rFonts w:ascii="Georgia" w:hAnsi="Georgia"/>
            <w:color w:val="000000" w:themeColor="text1"/>
            <w:sz w:val="20"/>
            <w:szCs w:val="20"/>
          </w:rPr>
          <w:t>. 1339</w:t>
        </w:r>
      </w:hyperlink>
      <w:r w:rsidRPr="00F16D8F">
        <w:rPr>
          <w:rFonts w:ascii="Georgia" w:hAnsi="Georgia"/>
          <w:color w:val="000000" w:themeColor="text1"/>
          <w:sz w:val="20"/>
          <w:szCs w:val="20"/>
        </w:rPr>
        <w:t>).</w:t>
      </w:r>
    </w:p>
  </w:footnote>
  <w:footnote w:id="11">
    <w:p w14:paraId="40B6C452" w14:textId="2C4DD390" w:rsidR="004A27E3" w:rsidRPr="00F16D8F" w:rsidRDefault="004A27E3" w:rsidP="00F16D8F">
      <w:pPr>
        <w:spacing w:after="0" w:line="240" w:lineRule="auto"/>
        <w:jc w:val="both"/>
        <w:rPr>
          <w:rFonts w:ascii="Georgia" w:hAnsi="Georgia"/>
          <w:color w:val="000000" w:themeColor="text1"/>
          <w:sz w:val="20"/>
          <w:szCs w:val="20"/>
        </w:rPr>
      </w:pPr>
      <w:r w:rsidRPr="00F16D8F">
        <w:rPr>
          <w:rStyle w:val="FootnoteReference"/>
          <w:rFonts w:ascii="Georgia" w:hAnsi="Georgia"/>
          <w:color w:val="000000" w:themeColor="text1"/>
          <w:sz w:val="20"/>
          <w:szCs w:val="20"/>
        </w:rPr>
        <w:footnoteRef/>
      </w:r>
      <w:r w:rsidRPr="00F16D8F">
        <w:rPr>
          <w:rFonts w:ascii="Georgia" w:hAnsi="Georgia"/>
          <w:color w:val="000000" w:themeColor="text1"/>
          <w:sz w:val="20"/>
          <w:szCs w:val="20"/>
        </w:rPr>
        <w:t xml:space="preserve"> </w:t>
      </w:r>
      <w:r w:rsidRPr="00F16D8F">
        <w:rPr>
          <w:rFonts w:ascii="Georgia" w:hAnsi="Georgia"/>
          <w:i/>
          <w:color w:val="000000" w:themeColor="text1"/>
          <w:sz w:val="20"/>
          <w:szCs w:val="20"/>
        </w:rPr>
        <w:t xml:space="preserve">See </w:t>
      </w:r>
      <w:hyperlink r:id="rId9" w:anchor="co_pp_sp_999_5">
        <w:r w:rsidRPr="00F16D8F">
          <w:rPr>
            <w:rFonts w:ascii="Georgia" w:hAnsi="Georgia"/>
            <w:i/>
            <w:color w:val="000000" w:themeColor="text1"/>
            <w:sz w:val="20"/>
            <w:szCs w:val="20"/>
          </w:rPr>
          <w:t>Eagle Crest</w:t>
        </w:r>
        <w:r w:rsidRPr="00F16D8F">
          <w:rPr>
            <w:rFonts w:ascii="Georgia" w:hAnsi="Georgia"/>
            <w:color w:val="000000" w:themeColor="text1"/>
            <w:sz w:val="20"/>
            <w:szCs w:val="20"/>
          </w:rPr>
          <w:t>, 2010 WL 3441109, at *5</w:t>
        </w:r>
      </w:hyperlink>
      <w:r w:rsidRPr="00F16D8F">
        <w:rPr>
          <w:rFonts w:ascii="Georgia" w:hAnsi="Georgia"/>
          <w:color w:val="000000" w:themeColor="text1"/>
          <w:sz w:val="20"/>
          <w:szCs w:val="20"/>
        </w:rPr>
        <w:t xml:space="preserve"> (refusing registration of ONCE A MARINE, ALWAYS A MARINE for clothing because “[t]he primary function of this familiar Marine slogan ... is[ ] to express support, admiration, or affiliation with the Marines”); </w:t>
      </w:r>
      <w:hyperlink r:id="rId10">
        <w:r w:rsidRPr="00F16D8F">
          <w:rPr>
            <w:rFonts w:ascii="Georgia" w:hAnsi="Georgia"/>
            <w:i/>
            <w:color w:val="000000" w:themeColor="text1"/>
            <w:sz w:val="20"/>
            <w:szCs w:val="20"/>
          </w:rPr>
          <w:t>D.C. One Wholesaler, Inc. v. Chien</w:t>
        </w:r>
        <w:r w:rsidRPr="00F16D8F">
          <w:rPr>
            <w:rFonts w:ascii="Georgia" w:hAnsi="Georgia"/>
            <w:color w:val="000000" w:themeColor="text1"/>
            <w:sz w:val="20"/>
            <w:szCs w:val="20"/>
          </w:rPr>
          <w:t>, 120 U.S.P.Q.2d 1710, 2016 WL 7010638, at *7 (T.T.A.B. 2016)</w:t>
        </w:r>
      </w:hyperlink>
      <w:r w:rsidRPr="00F16D8F">
        <w:rPr>
          <w:rFonts w:ascii="Georgia" w:hAnsi="Georgia"/>
          <w:color w:val="000000" w:themeColor="text1"/>
          <w:sz w:val="20"/>
          <w:szCs w:val="20"/>
        </w:rPr>
        <w:t xml:space="preserve"> (refusing registration of I </w:t>
      </w:r>
      <w:r w:rsidRPr="00F16D8F">
        <w:rPr>
          <w:rFonts w:ascii="Segoe UI Symbol" w:hAnsi="Segoe UI Symbol" w:cs="Segoe UI Symbol"/>
          <w:color w:val="000000" w:themeColor="text1"/>
          <w:sz w:val="20"/>
          <w:szCs w:val="20"/>
        </w:rPr>
        <w:t>♥</w:t>
      </w:r>
      <w:r w:rsidRPr="00F16D8F">
        <w:rPr>
          <w:rFonts w:ascii="Georgia" w:hAnsi="Georgia"/>
          <w:color w:val="000000" w:themeColor="text1"/>
          <w:sz w:val="20"/>
          <w:szCs w:val="20"/>
        </w:rPr>
        <w:t xml:space="preserve"> DC for bags, clothing, and plush toys </w:t>
      </w:r>
      <w:r w:rsidRPr="00F16D8F">
        <w:rPr>
          <w:rFonts w:ascii="Georgia" w:hAnsi="Georgia" w:cs="Georgia"/>
          <w:color w:val="000000" w:themeColor="text1"/>
          <w:sz w:val="20"/>
          <w:szCs w:val="20"/>
        </w:rPr>
        <w:t>“</w:t>
      </w:r>
      <w:r w:rsidRPr="00F16D8F">
        <w:rPr>
          <w:rFonts w:ascii="Georgia" w:hAnsi="Georgia"/>
          <w:color w:val="000000" w:themeColor="text1"/>
          <w:sz w:val="20"/>
          <w:szCs w:val="20"/>
        </w:rPr>
        <w:t>[b]</w:t>
      </w:r>
      <w:proofErr w:type="spellStart"/>
      <w:r w:rsidRPr="00F16D8F">
        <w:rPr>
          <w:rFonts w:ascii="Georgia" w:hAnsi="Georgia"/>
          <w:color w:val="000000" w:themeColor="text1"/>
          <w:sz w:val="20"/>
          <w:szCs w:val="20"/>
        </w:rPr>
        <w:t>ecause</w:t>
      </w:r>
      <w:proofErr w:type="spellEnd"/>
      <w:r w:rsidRPr="00F16D8F">
        <w:rPr>
          <w:rFonts w:ascii="Georgia" w:hAnsi="Georgia"/>
          <w:color w:val="000000" w:themeColor="text1"/>
          <w:sz w:val="20"/>
          <w:szCs w:val="20"/>
        </w:rPr>
        <w:t xml:space="preserve"> the nature of the phrase will be perceived as informational[ ] and ... because the ubiquity of the phrase ... has given it a significance as an expression of enthusiasm</w:t>
      </w:r>
      <w:r w:rsidRPr="00F16D8F">
        <w:rPr>
          <w:rFonts w:ascii="Georgia" w:hAnsi="Georgia" w:cs="Georgia"/>
          <w:color w:val="000000" w:themeColor="text1"/>
          <w:sz w:val="20"/>
          <w:szCs w:val="20"/>
        </w:rPr>
        <w:t>”</w:t>
      </w:r>
      <w:r w:rsidRPr="00F16D8F">
        <w:rPr>
          <w:rFonts w:ascii="Georgia" w:hAnsi="Georgia"/>
          <w:color w:val="000000" w:themeColor="text1"/>
          <w:sz w:val="20"/>
          <w:szCs w:val="20"/>
        </w:rPr>
        <w:t xml:space="preserve">); </w:t>
      </w:r>
      <w:hyperlink r:id="rId11">
        <w:r w:rsidRPr="00F16D8F">
          <w:rPr>
            <w:rFonts w:ascii="Georgia" w:hAnsi="Georgia"/>
            <w:i/>
            <w:color w:val="000000" w:themeColor="text1"/>
            <w:sz w:val="20"/>
            <w:szCs w:val="20"/>
          </w:rPr>
          <w:t>In re Volvo Cars of N. Am., Inc.</w:t>
        </w:r>
        <w:r w:rsidRPr="00F16D8F">
          <w:rPr>
            <w:rFonts w:ascii="Georgia" w:hAnsi="Georgia"/>
            <w:color w:val="000000" w:themeColor="text1"/>
            <w:sz w:val="20"/>
            <w:szCs w:val="20"/>
          </w:rPr>
          <w:t>, 46 U.S.P.Q.2d 1455, 1998 WL 239298, at *5 (T.T.A.B. 1998)</w:t>
        </w:r>
      </w:hyperlink>
      <w:r w:rsidRPr="00F16D8F">
        <w:rPr>
          <w:rFonts w:ascii="Georgia" w:hAnsi="Georgia"/>
          <w:color w:val="000000" w:themeColor="text1"/>
          <w:sz w:val="20"/>
          <w:szCs w:val="20"/>
        </w:rPr>
        <w:t xml:space="preserve"> (refusing registration of DRIVE SAFELY for cars and car parts because the phrase “would be regarded simply as a familiar safety admonition, particularly when used in connection with automobiles”); Trademark Manual of Examining Procedure (July 2022) § 1202.04(b) (precluding from trademark protection “informational matter,” such as slogans, terms, and phrases used by the public to convey familiar sentiments, because consumers are unlikely to “perceive the matter as a trademark or service mark for any goods and services”).</w:t>
      </w:r>
    </w:p>
  </w:footnote>
  <w:footnote w:id="12">
    <w:p w14:paraId="39E50694" w14:textId="0F9F583C" w:rsidR="004A27E3" w:rsidRPr="00F16D8F" w:rsidRDefault="004A27E3" w:rsidP="00F16D8F">
      <w:pPr>
        <w:spacing w:after="0" w:line="240" w:lineRule="auto"/>
        <w:jc w:val="both"/>
        <w:rPr>
          <w:rFonts w:ascii="Georgia" w:hAnsi="Georgia"/>
          <w:color w:val="000000" w:themeColor="text1"/>
          <w:sz w:val="20"/>
          <w:szCs w:val="20"/>
        </w:rPr>
      </w:pPr>
      <w:r w:rsidRPr="00F16D8F">
        <w:rPr>
          <w:rStyle w:val="FootnoteReference"/>
          <w:rFonts w:ascii="Georgia" w:hAnsi="Georgia"/>
          <w:color w:val="000000" w:themeColor="text1"/>
          <w:sz w:val="20"/>
          <w:szCs w:val="20"/>
        </w:rPr>
        <w:footnoteRef/>
      </w:r>
      <w:r w:rsidRPr="00F16D8F">
        <w:rPr>
          <w:rFonts w:ascii="Georgia" w:hAnsi="Georgia"/>
          <w:color w:val="000000" w:themeColor="text1"/>
          <w:sz w:val="20"/>
          <w:szCs w:val="20"/>
        </w:rPr>
        <w:t xml:space="preserve"> </w:t>
      </w:r>
      <w:r w:rsidRPr="00F16D8F">
        <w:rPr>
          <w:rFonts w:ascii="Georgia" w:hAnsi="Georgia"/>
          <w:color w:val="000000" w:themeColor="text1"/>
          <w:sz w:val="20"/>
          <w:szCs w:val="20"/>
        </w:rPr>
        <w:t xml:space="preserve">To the extent the registered trademarks referenced in this opinion are not part of the record on appeal, we take judicial notice of them under </w:t>
      </w:r>
      <w:hyperlink r:id="rId12" w:anchor="co_pp_4b24000003ba5">
        <w:r w:rsidRPr="00F16D8F">
          <w:rPr>
            <w:rFonts w:ascii="Georgia" w:hAnsi="Georgia"/>
            <w:color w:val="000000" w:themeColor="text1"/>
            <w:sz w:val="20"/>
            <w:szCs w:val="20"/>
          </w:rPr>
          <w:t>Fed. R. Evid. 201(c)</w:t>
        </w:r>
      </w:hyperlink>
      <w:r w:rsidRPr="00F16D8F">
        <w:rPr>
          <w:rFonts w:ascii="Georgia" w:hAnsi="Georgia"/>
          <w:color w:val="000000" w:themeColor="text1"/>
          <w:sz w:val="20"/>
          <w:szCs w:val="20"/>
        </w:rPr>
        <w:t xml:space="preserve">. We have determined that the registration documents by the PTO “can be accurately and readily determined from sources whose accuracy cannot reasonably be questioned.” </w:t>
      </w:r>
      <w:hyperlink r:id="rId13" w:anchor="co_pp_c0ae00006c482">
        <w:r w:rsidRPr="00F16D8F">
          <w:rPr>
            <w:rFonts w:ascii="Georgia" w:hAnsi="Georgia"/>
            <w:color w:val="000000" w:themeColor="text1"/>
            <w:sz w:val="20"/>
            <w:szCs w:val="20"/>
          </w:rPr>
          <w:t>Fed. R. Evid. 201(b)(2)</w:t>
        </w:r>
      </w:hyperlink>
      <w:r w:rsidRPr="00F16D8F">
        <w:rPr>
          <w:rFonts w:ascii="Georgia" w:hAnsi="Georgia"/>
          <w:color w:val="000000" w:themeColor="text1"/>
          <w:sz w:val="20"/>
          <w:szCs w:val="20"/>
        </w:rPr>
        <w:t xml:space="preserve">; </w:t>
      </w:r>
      <w:r w:rsidRPr="00F16D8F">
        <w:rPr>
          <w:rFonts w:ascii="Georgia" w:hAnsi="Georgia"/>
          <w:i/>
          <w:color w:val="000000" w:themeColor="text1"/>
          <w:sz w:val="20"/>
          <w:szCs w:val="20"/>
        </w:rPr>
        <w:t xml:space="preserve">see </w:t>
      </w:r>
      <w:hyperlink r:id="rId14" w:anchor="co_pp_sp_506_1356">
        <w:r w:rsidRPr="00F16D8F">
          <w:rPr>
            <w:rFonts w:ascii="Georgia" w:hAnsi="Georgia"/>
            <w:i/>
            <w:color w:val="000000" w:themeColor="text1"/>
            <w:sz w:val="20"/>
            <w:szCs w:val="20"/>
          </w:rPr>
          <w:t>In re Chippendales USA, Inc.</w:t>
        </w:r>
        <w:r w:rsidRPr="00F16D8F">
          <w:rPr>
            <w:rFonts w:ascii="Georgia" w:hAnsi="Georgia"/>
            <w:color w:val="000000" w:themeColor="text1"/>
            <w:sz w:val="20"/>
            <w:szCs w:val="20"/>
          </w:rPr>
          <w:t>, 622 F.3d 1346, 1356 (Fed. Cir. 2010)</w:t>
        </w:r>
      </w:hyperlink>
      <w:r w:rsidRPr="00F16D8F">
        <w:rPr>
          <w:rFonts w:ascii="Georgia" w:hAnsi="Georgia"/>
          <w:color w:val="000000" w:themeColor="text1"/>
          <w:sz w:val="20"/>
          <w:szCs w:val="20"/>
        </w:rPr>
        <w:t>.</w:t>
      </w:r>
    </w:p>
  </w:footnote>
  <w:footnote w:id="13">
    <w:p w14:paraId="23D24C8A" w14:textId="34C9D129" w:rsidR="004A27E3" w:rsidRPr="00F16D8F" w:rsidRDefault="004A27E3" w:rsidP="00F16D8F">
      <w:pPr>
        <w:spacing w:after="0" w:line="240" w:lineRule="auto"/>
        <w:jc w:val="both"/>
        <w:rPr>
          <w:rFonts w:ascii="Georgia" w:hAnsi="Georgia"/>
          <w:color w:val="000000" w:themeColor="text1"/>
          <w:sz w:val="20"/>
          <w:szCs w:val="20"/>
        </w:rPr>
      </w:pPr>
      <w:r w:rsidRPr="00F16D8F">
        <w:rPr>
          <w:rStyle w:val="FootnoteReference"/>
          <w:rFonts w:ascii="Georgia" w:hAnsi="Georgia"/>
          <w:color w:val="000000" w:themeColor="text1"/>
          <w:sz w:val="20"/>
          <w:szCs w:val="20"/>
        </w:rPr>
        <w:footnoteRef/>
      </w:r>
      <w:r w:rsidRPr="00F16D8F">
        <w:rPr>
          <w:rFonts w:ascii="Georgia" w:hAnsi="Georgia"/>
          <w:color w:val="000000" w:themeColor="text1"/>
          <w:sz w:val="20"/>
          <w:szCs w:val="20"/>
        </w:rPr>
        <w:t xml:space="preserve"> </w:t>
      </w:r>
      <w:r w:rsidRPr="00F16D8F">
        <w:rPr>
          <w:rFonts w:ascii="Georgia" w:hAnsi="Georgia"/>
          <w:i/>
          <w:color w:val="000000" w:themeColor="text1"/>
          <w:sz w:val="20"/>
          <w:szCs w:val="20"/>
        </w:rPr>
        <w:t>See also, e.g.</w:t>
      </w:r>
      <w:r w:rsidRPr="00F16D8F">
        <w:rPr>
          <w:rFonts w:ascii="Georgia" w:hAnsi="Georgia"/>
          <w:color w:val="000000" w:themeColor="text1"/>
          <w:sz w:val="20"/>
          <w:szCs w:val="20"/>
        </w:rPr>
        <w:t xml:space="preserve">, </w:t>
      </w:r>
      <w:hyperlink r:id="rId15" w:anchor="co_pp_sp_506_1174">
        <w:r w:rsidRPr="00F16D8F">
          <w:rPr>
            <w:rFonts w:ascii="Georgia" w:hAnsi="Georgia"/>
            <w:i/>
            <w:color w:val="000000" w:themeColor="text1"/>
            <w:sz w:val="20"/>
            <w:szCs w:val="20"/>
          </w:rPr>
          <w:t>In re Shinnecock Smoke Shop,</w:t>
        </w:r>
        <w:r w:rsidRPr="00F16D8F">
          <w:rPr>
            <w:rFonts w:ascii="Georgia" w:hAnsi="Georgia"/>
            <w:color w:val="000000" w:themeColor="text1"/>
            <w:sz w:val="20"/>
            <w:szCs w:val="20"/>
          </w:rPr>
          <w:t xml:space="preserve"> 571 F.3d 1171, 1174 (Fed. Cir. 2009)</w:t>
        </w:r>
      </w:hyperlink>
      <w:r w:rsidRPr="00F16D8F">
        <w:rPr>
          <w:rFonts w:ascii="Georgia" w:hAnsi="Georgia"/>
          <w:color w:val="000000" w:themeColor="text1"/>
          <w:sz w:val="20"/>
          <w:szCs w:val="20"/>
        </w:rPr>
        <w:t xml:space="preserve"> (determining that “[a]</w:t>
      </w:r>
      <w:proofErr w:type="spellStart"/>
      <w:r w:rsidRPr="00F16D8F">
        <w:rPr>
          <w:rFonts w:ascii="Georgia" w:hAnsi="Georgia"/>
          <w:color w:val="000000" w:themeColor="text1"/>
          <w:sz w:val="20"/>
          <w:szCs w:val="20"/>
        </w:rPr>
        <w:t>pplicant's</w:t>
      </w:r>
      <w:proofErr w:type="spellEnd"/>
      <w:r w:rsidRPr="00F16D8F">
        <w:rPr>
          <w:rFonts w:ascii="Georgia" w:hAnsi="Georgia"/>
          <w:color w:val="000000" w:themeColor="text1"/>
          <w:sz w:val="20"/>
          <w:szCs w:val="20"/>
        </w:rPr>
        <w:t xml:space="preserve"> allegations regarding similar marks” were “irrelevant” because “[e]</w:t>
      </w:r>
      <w:proofErr w:type="spellStart"/>
      <w:r w:rsidRPr="00F16D8F">
        <w:rPr>
          <w:rFonts w:ascii="Georgia" w:hAnsi="Georgia"/>
          <w:color w:val="000000" w:themeColor="text1"/>
          <w:sz w:val="20"/>
          <w:szCs w:val="20"/>
        </w:rPr>
        <w:t>ven</w:t>
      </w:r>
      <w:proofErr w:type="spellEnd"/>
      <w:r w:rsidRPr="00F16D8F">
        <w:rPr>
          <w:rFonts w:ascii="Georgia" w:hAnsi="Georgia"/>
          <w:color w:val="000000" w:themeColor="text1"/>
          <w:sz w:val="20"/>
          <w:szCs w:val="20"/>
        </w:rPr>
        <w:t xml:space="preserve"> if all of the third-party registrations should have been refused registration under </w:t>
      </w:r>
      <w:hyperlink r:id="rId16" w:anchor="co_pp_8b3b0000958a4">
        <w:r w:rsidRPr="00F16D8F">
          <w:rPr>
            <w:rFonts w:ascii="Georgia" w:hAnsi="Georgia"/>
            <w:color w:val="000000" w:themeColor="text1"/>
            <w:sz w:val="20"/>
            <w:szCs w:val="20"/>
          </w:rPr>
          <w:t>section 1052(a)</w:t>
        </w:r>
      </w:hyperlink>
      <w:r w:rsidRPr="00F16D8F">
        <w:rPr>
          <w:rFonts w:ascii="Georgia" w:hAnsi="Georgia"/>
          <w:color w:val="000000" w:themeColor="text1"/>
          <w:sz w:val="20"/>
          <w:szCs w:val="20"/>
        </w:rPr>
        <w:t xml:space="preserve">, such errors d[id] not bind the USPTO to improperly register Applicant's marks”); </w:t>
      </w:r>
      <w:hyperlink r:id="rId17" w:anchor="co_pp_sp_506_1343">
        <w:r w:rsidRPr="00F16D8F">
          <w:rPr>
            <w:rFonts w:ascii="Georgia" w:hAnsi="Georgia"/>
            <w:i/>
            <w:color w:val="000000" w:themeColor="text1"/>
            <w:sz w:val="20"/>
            <w:szCs w:val="20"/>
          </w:rPr>
          <w:t>In re Boulevard Ent., Inc.</w:t>
        </w:r>
        <w:r w:rsidRPr="00F16D8F">
          <w:rPr>
            <w:rFonts w:ascii="Georgia" w:hAnsi="Georgia"/>
            <w:color w:val="000000" w:themeColor="text1"/>
            <w:sz w:val="20"/>
            <w:szCs w:val="20"/>
          </w:rPr>
          <w:t>, 334 F.3d 1336, 1343 (Fed. Cir. 2003)</w:t>
        </w:r>
      </w:hyperlink>
      <w:r w:rsidRPr="00F16D8F">
        <w:rPr>
          <w:rFonts w:ascii="Georgia" w:hAnsi="Georgia"/>
          <w:color w:val="000000" w:themeColor="text1"/>
          <w:sz w:val="20"/>
          <w:szCs w:val="20"/>
        </w:rPr>
        <w:t xml:space="preserve"> (“The fact that, whether because of administrative error or otherwise, some marks have been registered even though they may be in violation of the governing statutory standard does not mean that the agency must forgo applying that standard in all other cases.”), </w:t>
      </w:r>
      <w:r w:rsidRPr="00F16D8F">
        <w:rPr>
          <w:rFonts w:ascii="Georgia" w:hAnsi="Georgia"/>
          <w:i/>
          <w:color w:val="000000" w:themeColor="text1"/>
          <w:sz w:val="20"/>
          <w:szCs w:val="20"/>
        </w:rPr>
        <w:t xml:space="preserve">abrogated on other grounds by </w:t>
      </w:r>
      <w:hyperlink r:id="rId18">
        <w:r w:rsidRPr="00F16D8F">
          <w:rPr>
            <w:rFonts w:ascii="Georgia" w:hAnsi="Georgia"/>
            <w:i/>
            <w:color w:val="000000" w:themeColor="text1"/>
            <w:sz w:val="20"/>
            <w:szCs w:val="20"/>
          </w:rPr>
          <w:t>In re Tam</w:t>
        </w:r>
        <w:r w:rsidRPr="00F16D8F">
          <w:rPr>
            <w:rFonts w:ascii="Georgia" w:hAnsi="Georgia"/>
            <w:color w:val="000000" w:themeColor="text1"/>
            <w:sz w:val="20"/>
            <w:szCs w:val="20"/>
          </w:rPr>
          <w:t>, 808 F.3d 1321 (Fed. Cir. 2015)</w:t>
        </w:r>
      </w:hyperlink>
      <w:r w:rsidRPr="00F16D8F">
        <w:rPr>
          <w:rFonts w:ascii="Georgia" w:hAnsi="Georgia"/>
          <w:color w:val="000000" w:themeColor="text1"/>
          <w:sz w:val="20"/>
          <w:szCs w:val="20"/>
        </w:rPr>
        <w:t xml:space="preserve"> (</w:t>
      </w:r>
      <w:proofErr w:type="spellStart"/>
      <w:r w:rsidRPr="00F16D8F">
        <w:rPr>
          <w:rFonts w:ascii="Georgia" w:hAnsi="Georgia"/>
          <w:color w:val="000000" w:themeColor="text1"/>
          <w:sz w:val="20"/>
          <w:szCs w:val="20"/>
        </w:rPr>
        <w:t>en</w:t>
      </w:r>
      <w:proofErr w:type="spellEnd"/>
      <w:r w:rsidRPr="00F16D8F">
        <w:rPr>
          <w:rFonts w:ascii="Georgia" w:hAnsi="Georgia"/>
          <w:color w:val="000000" w:themeColor="text1"/>
          <w:sz w:val="20"/>
          <w:szCs w:val="20"/>
        </w:rPr>
        <w:t xml:space="preserve"> banc).</w:t>
      </w:r>
    </w:p>
  </w:footnote>
  <w:footnote w:id="14">
    <w:p w14:paraId="07853428" w14:textId="02682CB5" w:rsidR="004A27E3" w:rsidRPr="00F16D8F" w:rsidRDefault="004A27E3" w:rsidP="00F16D8F">
      <w:pPr>
        <w:pStyle w:val="FootnoteText"/>
        <w:jc w:val="both"/>
        <w:rPr>
          <w:rFonts w:ascii="Georgia" w:hAnsi="Georgia"/>
          <w:color w:val="000000" w:themeColor="text1"/>
        </w:rPr>
      </w:pPr>
      <w:r w:rsidRPr="00F16D8F">
        <w:rPr>
          <w:rStyle w:val="FootnoteReference"/>
          <w:rFonts w:ascii="Georgia" w:hAnsi="Georgia"/>
          <w:color w:val="000000" w:themeColor="text1"/>
        </w:rPr>
        <w:footnoteRef/>
      </w:r>
      <w:r w:rsidRPr="00F16D8F">
        <w:rPr>
          <w:rFonts w:ascii="Georgia" w:hAnsi="Georgia"/>
          <w:color w:val="000000" w:themeColor="text1"/>
        </w:rPr>
        <w:t xml:space="preserve"> </w:t>
      </w:r>
      <w:r w:rsidRPr="00F16D8F">
        <w:rPr>
          <w:rFonts w:ascii="Georgia" w:hAnsi="Georgia"/>
          <w:color w:val="000000" w:themeColor="text1"/>
        </w:rPr>
        <w:t xml:space="preserve">Although Mr. Brunetti argues the PTO's registration decisions at the examining attorney level have been inconsistent, there is no contention here that the Board's action in this case is inconsistent with prior Board decisions. We note that even with respect to Board decisions, the Board has broad authority to distinguish past cases. As in the patent area, “not every instance of an agency reaching inconsistent outcomes in similar, related cases will necessarily be erroneous.” </w:t>
      </w:r>
      <w:hyperlink r:id="rId19" w:anchor="co_pp_sp_506_1322">
        <w:r w:rsidRPr="00F16D8F">
          <w:rPr>
            <w:rFonts w:ascii="Georgia" w:hAnsi="Georgia"/>
            <w:i/>
            <w:color w:val="000000" w:themeColor="text1"/>
          </w:rPr>
          <w:t xml:space="preserve">Vicor Corp. v. </w:t>
        </w:r>
        <w:proofErr w:type="spellStart"/>
        <w:r w:rsidRPr="00F16D8F">
          <w:rPr>
            <w:rFonts w:ascii="Georgia" w:hAnsi="Georgia"/>
            <w:i/>
            <w:color w:val="000000" w:themeColor="text1"/>
          </w:rPr>
          <w:t>SynQor</w:t>
        </w:r>
        <w:proofErr w:type="spellEnd"/>
        <w:r w:rsidRPr="00F16D8F">
          <w:rPr>
            <w:rFonts w:ascii="Georgia" w:hAnsi="Georgia"/>
            <w:i/>
            <w:color w:val="000000" w:themeColor="text1"/>
          </w:rPr>
          <w:t>, Inc.</w:t>
        </w:r>
        <w:r w:rsidRPr="00F16D8F">
          <w:rPr>
            <w:rFonts w:ascii="Georgia" w:hAnsi="Georgia"/>
            <w:color w:val="000000" w:themeColor="text1"/>
          </w:rPr>
          <w:t>, 869 F.3d 1309, 1322 (Fed. Cir. 2017)</w:t>
        </w:r>
      </w:hyperlink>
      <w:r w:rsidRPr="00F16D8F">
        <w:rPr>
          <w:rFonts w:ascii="Georgia" w:hAnsi="Georgia"/>
          <w:color w:val="000000" w:themeColor="text1"/>
        </w:rPr>
        <w:t xml:space="preserve">. However, when the Board reaches inconsistent decisions in almost identical situations, remand is required. </w:t>
      </w:r>
      <w:r w:rsidRPr="00F16D8F">
        <w:rPr>
          <w:rFonts w:ascii="Georgia" w:hAnsi="Georgia"/>
          <w:i/>
          <w:color w:val="000000" w:themeColor="text1"/>
        </w:rPr>
        <w:t xml:space="preserve">See </w:t>
      </w:r>
      <w:hyperlink r:id="rId20">
        <w:r w:rsidRPr="00F16D8F">
          <w:rPr>
            <w:rFonts w:ascii="Georgia" w:hAnsi="Georgia"/>
            <w:i/>
            <w:color w:val="000000" w:themeColor="text1"/>
          </w:rPr>
          <w:t>id.</w:t>
        </w:r>
      </w:hyperlink>
      <w:r w:rsidRPr="00F16D8F">
        <w:rPr>
          <w:rFonts w:ascii="Georgia" w:hAnsi="Georgia"/>
          <w:color w:val="000000" w:themeColor="text1"/>
        </w:rPr>
        <w:t xml:space="preserve"> (remanding where the Patent Trial and Appeal Board (“PTAB”) rendered inconsistent decisions “on the same technical issue between the same parties on the same record”); </w:t>
      </w:r>
      <w:r w:rsidRPr="00F16D8F">
        <w:rPr>
          <w:rFonts w:ascii="Georgia" w:hAnsi="Georgia"/>
          <w:i/>
          <w:color w:val="000000" w:themeColor="text1"/>
        </w:rPr>
        <w:t xml:space="preserve">see also </w:t>
      </w:r>
      <w:hyperlink r:id="rId21" w:anchor="co_pp_sp_506_1325">
        <w:r w:rsidRPr="00F16D8F">
          <w:rPr>
            <w:rFonts w:ascii="Georgia" w:hAnsi="Georgia"/>
            <w:i/>
            <w:color w:val="000000" w:themeColor="text1"/>
          </w:rPr>
          <w:t>Novartis AG v. Torrent Pharms. Ltd.</w:t>
        </w:r>
        <w:r w:rsidRPr="00F16D8F">
          <w:rPr>
            <w:rFonts w:ascii="Georgia" w:hAnsi="Georgia"/>
            <w:color w:val="000000" w:themeColor="text1"/>
          </w:rPr>
          <w:t>, 853 F.3d 1316, 1325 (Fed. Cir. 2017)</w:t>
        </w:r>
      </w:hyperlink>
      <w:r w:rsidRPr="00F16D8F">
        <w:rPr>
          <w:rFonts w:ascii="Georgia" w:hAnsi="Georgia"/>
          <w:color w:val="000000" w:themeColor="text1"/>
        </w:rPr>
        <w:t xml:space="preserve"> (explaining that the relevant APA provisions were satisfied where PTAB's discussion of prior art reference in a final written decision “was not inconsistent with its review of [the reference]” in an earlier decision); </w:t>
      </w:r>
      <w:hyperlink r:id="rId22" w:anchor="co_pp_sp_350_567">
        <w:r w:rsidRPr="00F16D8F">
          <w:rPr>
            <w:rFonts w:ascii="Georgia" w:hAnsi="Georgia"/>
            <w:i/>
            <w:color w:val="000000" w:themeColor="text1"/>
          </w:rPr>
          <w:t>Local 814, Int'l Bhd. of Teamsters v. NLRB</w:t>
        </w:r>
        <w:r w:rsidRPr="00F16D8F">
          <w:rPr>
            <w:rFonts w:ascii="Georgia" w:hAnsi="Georgia"/>
            <w:color w:val="000000" w:themeColor="text1"/>
          </w:rPr>
          <w:t>, 512 F.2d 564, 567 (D.C. Cir. 1975)</w:t>
        </w:r>
      </w:hyperlink>
      <w:r w:rsidRPr="00F16D8F">
        <w:rPr>
          <w:rFonts w:ascii="Georgia" w:hAnsi="Georgia"/>
          <w:color w:val="000000" w:themeColor="text1"/>
        </w:rPr>
        <w:t xml:space="preserve"> (remanding two decisions of the National Labor Relations Board that were “factually similar and ostensibly inconsistent” because the Board “ha[d] not explained its reasons for reaching different results”).</w:t>
      </w:r>
    </w:p>
  </w:footnote>
  <w:footnote w:id="15">
    <w:p w14:paraId="12B9097B" w14:textId="38599D63" w:rsidR="004A27E3" w:rsidRPr="00F16D8F" w:rsidRDefault="004A27E3" w:rsidP="00F16D8F">
      <w:pPr>
        <w:pStyle w:val="FootnoteText"/>
        <w:jc w:val="both"/>
        <w:rPr>
          <w:rFonts w:ascii="Georgia" w:hAnsi="Georgia"/>
          <w:color w:val="000000" w:themeColor="text1"/>
        </w:rPr>
      </w:pPr>
      <w:r w:rsidRPr="00F16D8F">
        <w:rPr>
          <w:rStyle w:val="FootnoteReference"/>
          <w:rFonts w:ascii="Georgia" w:hAnsi="Georgia"/>
          <w:color w:val="000000" w:themeColor="text1"/>
        </w:rPr>
        <w:footnoteRef/>
      </w:r>
      <w:r w:rsidRPr="00F16D8F">
        <w:rPr>
          <w:rFonts w:ascii="Georgia" w:hAnsi="Georgia"/>
          <w:color w:val="000000" w:themeColor="text1"/>
        </w:rPr>
        <w:t xml:space="preserve"> </w:t>
      </w:r>
      <w:r w:rsidRPr="00F16D8F">
        <w:rPr>
          <w:rFonts w:ascii="Georgia" w:hAnsi="Georgia"/>
          <w:i/>
          <w:color w:val="000000" w:themeColor="text1"/>
        </w:rPr>
        <w:t>See also</w:t>
      </w:r>
      <w:r w:rsidRPr="00F16D8F">
        <w:rPr>
          <w:rFonts w:ascii="Georgia" w:hAnsi="Georgia"/>
          <w:color w:val="000000" w:themeColor="text1"/>
        </w:rPr>
        <w:t xml:space="preserve"> S. </w:t>
      </w:r>
      <w:proofErr w:type="spellStart"/>
      <w:r w:rsidRPr="00F16D8F">
        <w:rPr>
          <w:rFonts w:ascii="Georgia" w:hAnsi="Georgia"/>
          <w:color w:val="000000" w:themeColor="text1"/>
        </w:rPr>
        <w:t>App'x</w:t>
      </w:r>
      <w:proofErr w:type="spellEnd"/>
      <w:r w:rsidRPr="00F16D8F">
        <w:rPr>
          <w:rFonts w:ascii="Georgia" w:hAnsi="Georgia"/>
          <w:color w:val="000000" w:themeColor="text1"/>
        </w:rPr>
        <w:t xml:space="preserve"> 55 (“The third-party registrations of different marks are of little probative value in this case, which must be decided on its own particular facts and circumstances.” (citation omitted)); Appellee's Br. 29 (admitting that “the Board's analysis here does not necessarily preclude registration of the mark for different goods or services or based on other factual records”).</w:t>
      </w:r>
    </w:p>
  </w:footnote>
  <w:footnote w:id="16">
    <w:p w14:paraId="48FC4834" w14:textId="77777777" w:rsidR="004A27E3" w:rsidRPr="00F16D8F" w:rsidRDefault="004A27E3" w:rsidP="00F16D8F">
      <w:pPr>
        <w:spacing w:after="0" w:line="240" w:lineRule="auto"/>
        <w:jc w:val="both"/>
        <w:rPr>
          <w:rFonts w:ascii="Georgia" w:hAnsi="Georgia"/>
          <w:color w:val="000000" w:themeColor="text1"/>
          <w:sz w:val="20"/>
          <w:szCs w:val="20"/>
        </w:rPr>
      </w:pPr>
      <w:r w:rsidRPr="00F16D8F">
        <w:rPr>
          <w:rStyle w:val="FootnoteReference"/>
          <w:rFonts w:ascii="Georgia" w:hAnsi="Georgia"/>
          <w:color w:val="000000" w:themeColor="text1"/>
          <w:sz w:val="20"/>
          <w:szCs w:val="20"/>
        </w:rPr>
        <w:footnoteRef/>
      </w:r>
      <w:r w:rsidRPr="00F16D8F">
        <w:rPr>
          <w:rFonts w:ascii="Georgia" w:hAnsi="Georgia"/>
          <w:color w:val="000000" w:themeColor="text1"/>
          <w:sz w:val="20"/>
          <w:szCs w:val="20"/>
        </w:rPr>
        <w:t xml:space="preserve"> </w:t>
      </w:r>
      <w:r w:rsidRPr="00F16D8F">
        <w:rPr>
          <w:rFonts w:ascii="Georgia" w:hAnsi="Georgia"/>
          <w:color w:val="000000" w:themeColor="text1"/>
          <w:sz w:val="20"/>
          <w:szCs w:val="20"/>
        </w:rPr>
        <w:t xml:space="preserve">To be sure, our own decisions have provided some limited but incomplete guidance. We have explained that marks containing informational matter may be registerable so long as they are </w:t>
      </w:r>
      <w:r w:rsidRPr="00F16D8F">
        <w:rPr>
          <w:rFonts w:ascii="Georgia" w:hAnsi="Georgia"/>
          <w:color w:val="000000" w:themeColor="text1"/>
          <w:sz w:val="20"/>
          <w:szCs w:val="20"/>
          <w:u w:val="single" w:color="1F1F1F"/>
        </w:rPr>
        <w:t>also</w:t>
      </w:r>
      <w:r w:rsidRPr="00F16D8F">
        <w:rPr>
          <w:rFonts w:ascii="Georgia" w:hAnsi="Georgia"/>
          <w:color w:val="000000" w:themeColor="text1"/>
          <w:sz w:val="20"/>
          <w:szCs w:val="20"/>
        </w:rPr>
        <w:t xml:space="preserve"> source-identifying by conveying matter that is associated with a particular source of goods and services. </w:t>
      </w:r>
      <w:hyperlink r:id="rId23" w:anchor="co_pp_sp_8173_1358">
        <w:r w:rsidRPr="00F16D8F">
          <w:rPr>
            <w:rFonts w:ascii="Georgia" w:hAnsi="Georgia"/>
            <w:i/>
            <w:color w:val="000000" w:themeColor="text1"/>
            <w:sz w:val="20"/>
            <w:szCs w:val="20"/>
          </w:rPr>
          <w:t>GO</w:t>
        </w:r>
        <w:r w:rsidRPr="00F16D8F">
          <w:rPr>
            <w:rFonts w:ascii="Georgia" w:hAnsi="Georgia"/>
            <w:color w:val="000000" w:themeColor="text1"/>
            <w:sz w:val="20"/>
            <w:szCs w:val="20"/>
          </w:rPr>
          <w:t>, 90 F.4th at 1358</w:t>
        </w:r>
      </w:hyperlink>
      <w:r w:rsidRPr="00F16D8F">
        <w:rPr>
          <w:rFonts w:ascii="Georgia" w:hAnsi="Georgia"/>
          <w:color w:val="000000" w:themeColor="text1"/>
          <w:sz w:val="20"/>
          <w:szCs w:val="20"/>
        </w:rPr>
        <w:t xml:space="preserve">. In </w:t>
      </w:r>
      <w:hyperlink r:id="rId24">
        <w:r w:rsidRPr="00F16D8F">
          <w:rPr>
            <w:rFonts w:ascii="Georgia" w:hAnsi="Georgia"/>
            <w:i/>
            <w:color w:val="000000" w:themeColor="text1"/>
            <w:sz w:val="20"/>
            <w:szCs w:val="20"/>
          </w:rPr>
          <w:t>GO</w:t>
        </w:r>
      </w:hyperlink>
      <w:r w:rsidRPr="00F16D8F">
        <w:rPr>
          <w:rFonts w:ascii="Georgia" w:hAnsi="Georgia"/>
          <w:color w:val="000000" w:themeColor="text1"/>
          <w:sz w:val="20"/>
          <w:szCs w:val="20"/>
        </w:rPr>
        <w:t xml:space="preserve">, we recognized that many “widely used slogans” are valid marks because they serve dual functions, both conveying information and indicating source. </w:t>
      </w:r>
      <w:hyperlink r:id="rId25">
        <w:r w:rsidRPr="00F16D8F">
          <w:rPr>
            <w:rFonts w:ascii="Georgia" w:hAnsi="Georgia"/>
            <w:i/>
            <w:color w:val="000000" w:themeColor="text1"/>
            <w:sz w:val="20"/>
            <w:szCs w:val="20"/>
          </w:rPr>
          <w:t>Id.</w:t>
        </w:r>
      </w:hyperlink>
      <w:r w:rsidRPr="00F16D8F">
        <w:rPr>
          <w:rFonts w:ascii="Georgia" w:hAnsi="Georgia"/>
          <w:color w:val="000000" w:themeColor="text1"/>
          <w:sz w:val="20"/>
          <w:szCs w:val="20"/>
        </w:rPr>
        <w:t xml:space="preserve"> (providing as examples Donald Trump's MAKE AMERICA GREAT AGAIN, Nike's JUST DO IT, DeBeers’ A DIAMOND IS FOREVER, and Verizon's CAN YOU HEAR ME NOW?).</w:t>
      </w:r>
    </w:p>
    <w:p w14:paraId="7ACD5969" w14:textId="116ADB6B" w:rsidR="004A27E3" w:rsidRPr="00F16D8F" w:rsidRDefault="004A27E3" w:rsidP="00F16D8F">
      <w:pPr>
        <w:pStyle w:val="FootnoteText"/>
        <w:jc w:val="both"/>
        <w:rPr>
          <w:rFonts w:ascii="Georgia" w:hAnsi="Georgia"/>
          <w:color w:val="000000" w:themeColor="text1"/>
        </w:rPr>
      </w:pPr>
      <w:r w:rsidRPr="00F16D8F">
        <w:rPr>
          <w:rFonts w:ascii="Georgia" w:hAnsi="Georgia"/>
          <w:color w:val="000000" w:themeColor="text1"/>
        </w:rPr>
        <w:t xml:space="preserve">We have also suggested that the stylization of a mark and its placement on marked goods or in advertisements for services may impact its ability to operate as a source identifier. In </w:t>
      </w:r>
      <w:hyperlink r:id="rId26">
        <w:r w:rsidRPr="00F16D8F">
          <w:rPr>
            <w:rFonts w:ascii="Georgia" w:hAnsi="Georgia"/>
            <w:i/>
            <w:color w:val="000000" w:themeColor="text1"/>
          </w:rPr>
          <w:t>Vox</w:t>
        </w:r>
      </w:hyperlink>
      <w:r w:rsidRPr="00F16D8F">
        <w:rPr>
          <w:rFonts w:ascii="Georgia" w:hAnsi="Georgia"/>
          <w:color w:val="000000" w:themeColor="text1"/>
        </w:rPr>
        <w:t>, we explained that “[d]</w:t>
      </w:r>
      <w:proofErr w:type="spellStart"/>
      <w:r w:rsidRPr="00F16D8F">
        <w:rPr>
          <w:rFonts w:ascii="Georgia" w:hAnsi="Georgia"/>
          <w:color w:val="000000" w:themeColor="text1"/>
        </w:rPr>
        <w:t>esign</w:t>
      </w:r>
      <w:proofErr w:type="spellEnd"/>
      <w:r w:rsidRPr="00F16D8F">
        <w:rPr>
          <w:rFonts w:ascii="Georgia" w:hAnsi="Georgia"/>
          <w:color w:val="000000" w:themeColor="text1"/>
        </w:rPr>
        <w:t xml:space="preserve"> or stylization may make an otherwise unregistrable mark registrable if the features ‘create an impression on the purchasers separate and apart from the impression made by the words themselves.’ ” </w:t>
      </w:r>
      <w:hyperlink r:id="rId27" w:anchor="co_pp_sp_8173_1353">
        <w:r w:rsidRPr="00F16D8F">
          <w:rPr>
            <w:rFonts w:ascii="Georgia" w:hAnsi="Georgia"/>
            <w:color w:val="000000" w:themeColor="text1"/>
          </w:rPr>
          <w:t>25 F.4th at 1353</w:t>
        </w:r>
      </w:hyperlink>
      <w:r w:rsidRPr="00F16D8F">
        <w:rPr>
          <w:rFonts w:ascii="Georgia" w:hAnsi="Georgia"/>
          <w:color w:val="000000" w:themeColor="text1"/>
        </w:rPr>
        <w:t xml:space="preserve"> (quoting </w:t>
      </w:r>
      <w:hyperlink r:id="rId28" w:anchor="co_pp_sp_506_606">
        <w:r w:rsidRPr="00F16D8F">
          <w:rPr>
            <w:rFonts w:ascii="Georgia" w:hAnsi="Georgia"/>
            <w:i/>
            <w:color w:val="000000" w:themeColor="text1"/>
          </w:rPr>
          <w:t>Cordua</w:t>
        </w:r>
        <w:r w:rsidRPr="00F16D8F">
          <w:rPr>
            <w:rFonts w:ascii="Georgia" w:hAnsi="Georgia"/>
            <w:color w:val="000000" w:themeColor="text1"/>
          </w:rPr>
          <w:t>, 823 F.3d at 606</w:t>
        </w:r>
      </w:hyperlink>
      <w:r w:rsidRPr="00F16D8F">
        <w:rPr>
          <w:rFonts w:ascii="Georgia" w:hAnsi="Georgia"/>
          <w:color w:val="000000" w:themeColor="text1"/>
        </w:rPr>
        <w:t xml:space="preserve">); </w:t>
      </w:r>
      <w:r w:rsidRPr="00F16D8F">
        <w:rPr>
          <w:rFonts w:ascii="Georgia" w:hAnsi="Georgia"/>
          <w:i/>
          <w:color w:val="000000" w:themeColor="text1"/>
        </w:rPr>
        <w:t>see also</w:t>
      </w:r>
      <w:r w:rsidRPr="00F16D8F">
        <w:rPr>
          <w:rFonts w:ascii="Georgia" w:hAnsi="Georgia"/>
          <w:color w:val="000000" w:themeColor="text1"/>
        </w:rPr>
        <w:t xml:space="preserve"> </w:t>
      </w:r>
      <w:hyperlink r:id="rId29">
        <w:r w:rsidRPr="00F16D8F">
          <w:rPr>
            <w:rFonts w:ascii="Georgia" w:hAnsi="Georgia"/>
            <w:color w:val="000000" w:themeColor="text1"/>
          </w:rPr>
          <w:t>1 McCarthy § 3:4</w:t>
        </w:r>
      </w:hyperlink>
      <w:r w:rsidRPr="00F16D8F">
        <w:rPr>
          <w:rFonts w:ascii="Georgia" w:hAnsi="Georgia"/>
          <w:color w:val="000000" w:themeColor="text1"/>
        </w:rPr>
        <w:t>.</w:t>
      </w:r>
    </w:p>
  </w:footnote>
  <w:footnote w:id="17">
    <w:p w14:paraId="30436D45" w14:textId="78191E46" w:rsidR="004A27E3" w:rsidRPr="00F16D8F" w:rsidRDefault="004A27E3" w:rsidP="00F16D8F">
      <w:pPr>
        <w:pStyle w:val="FootnoteText"/>
        <w:jc w:val="both"/>
        <w:rPr>
          <w:rFonts w:ascii="Georgia" w:hAnsi="Georgia"/>
          <w:color w:val="000000" w:themeColor="text1"/>
        </w:rPr>
      </w:pPr>
      <w:r w:rsidRPr="00F16D8F">
        <w:rPr>
          <w:rStyle w:val="FootnoteReference"/>
          <w:rFonts w:ascii="Georgia" w:hAnsi="Georgia"/>
          <w:color w:val="000000" w:themeColor="text1"/>
        </w:rPr>
        <w:footnoteRef/>
      </w:r>
      <w:r w:rsidRPr="00F16D8F">
        <w:rPr>
          <w:rFonts w:ascii="Georgia" w:hAnsi="Georgia"/>
          <w:color w:val="000000" w:themeColor="text1"/>
        </w:rPr>
        <w:t xml:space="preserve"> </w:t>
      </w:r>
      <w:r w:rsidRPr="00F16D8F">
        <w:rPr>
          <w:rFonts w:ascii="Georgia" w:hAnsi="Georgia"/>
          <w:i/>
          <w:color w:val="000000" w:themeColor="text1"/>
        </w:rPr>
        <w:t>See, e.g.</w:t>
      </w:r>
      <w:r w:rsidRPr="00F16D8F">
        <w:rPr>
          <w:rFonts w:ascii="Georgia" w:hAnsi="Georgia"/>
          <w:color w:val="000000" w:themeColor="text1"/>
        </w:rPr>
        <w:t xml:space="preserve">, Theodore H. Davis Jr. &amp; John L. Welch, </w:t>
      </w:r>
      <w:r w:rsidRPr="00F16D8F">
        <w:rPr>
          <w:rFonts w:ascii="Georgia" w:hAnsi="Georgia"/>
          <w:i/>
          <w:color w:val="000000" w:themeColor="text1"/>
        </w:rPr>
        <w:t>United States Annual Review: The Seventy-Fifth Year of Administration of the Lanham Act of 1946</w:t>
      </w:r>
      <w:r w:rsidRPr="00F16D8F">
        <w:rPr>
          <w:rFonts w:ascii="Georgia" w:hAnsi="Georgia"/>
          <w:color w:val="000000" w:themeColor="text1"/>
        </w:rPr>
        <w:t xml:space="preserve">, </w:t>
      </w:r>
      <w:hyperlink r:id="rId30" w:anchor="co_pp_sp_1532_7">
        <w:r w:rsidRPr="00F16D8F">
          <w:rPr>
            <w:rFonts w:ascii="Georgia" w:hAnsi="Georgia"/>
            <w:color w:val="000000" w:themeColor="text1"/>
          </w:rPr>
          <w:t>113 Trademark Rep. 1, 7 (2023)</w:t>
        </w:r>
      </w:hyperlink>
      <w:r w:rsidRPr="00F16D8F">
        <w:rPr>
          <w:rFonts w:ascii="Georgia" w:hAnsi="Georgia"/>
          <w:color w:val="000000" w:themeColor="text1"/>
        </w:rPr>
        <w:t xml:space="preserve"> (describing “inexorable expansion” of “the frontiers of the failure-to-function ground for refusal”); Lucas Daniel </w:t>
      </w:r>
      <w:proofErr w:type="spellStart"/>
      <w:r w:rsidRPr="00F16D8F">
        <w:rPr>
          <w:rFonts w:ascii="Georgia" w:hAnsi="Georgia"/>
          <w:color w:val="000000" w:themeColor="text1"/>
        </w:rPr>
        <w:t>Cuatrecasas</w:t>
      </w:r>
      <w:proofErr w:type="spellEnd"/>
      <w:r w:rsidRPr="00F16D8F">
        <w:rPr>
          <w:rFonts w:ascii="Georgia" w:hAnsi="Georgia"/>
          <w:color w:val="000000" w:themeColor="text1"/>
        </w:rPr>
        <w:t xml:space="preserve">, </w:t>
      </w:r>
      <w:hyperlink r:id="rId31" w:anchor="co_pp_sp_1206_1325">
        <w:r w:rsidRPr="00F16D8F">
          <w:rPr>
            <w:rFonts w:ascii="Georgia" w:hAnsi="Georgia"/>
            <w:i/>
            <w:color w:val="000000" w:themeColor="text1"/>
          </w:rPr>
          <w:t>Failure to Function and Trademark Law's Outermost Bound</w:t>
        </w:r>
        <w:r w:rsidRPr="00F16D8F">
          <w:rPr>
            <w:rFonts w:ascii="Georgia" w:hAnsi="Georgia"/>
            <w:color w:val="000000" w:themeColor="text1"/>
          </w:rPr>
          <w:t>, 96 N.Y.U. L. Rev. 1312, 1325 (2021)</w:t>
        </w:r>
      </w:hyperlink>
      <w:r w:rsidRPr="00F16D8F">
        <w:rPr>
          <w:rFonts w:ascii="Georgia" w:hAnsi="Georgia"/>
          <w:color w:val="000000" w:themeColor="text1"/>
        </w:rPr>
        <w:t xml:space="preserve"> (“[T]he TTAB has been churning out an increasing number of failure-to-function decisions.”); </w:t>
      </w:r>
      <w:hyperlink r:id="rId32" w:anchor="co_pp_sp_1206_1326">
        <w:r w:rsidRPr="00F16D8F">
          <w:rPr>
            <w:rFonts w:ascii="Georgia" w:hAnsi="Georgia"/>
            <w:i/>
            <w:color w:val="000000" w:themeColor="text1"/>
          </w:rPr>
          <w:t>id.</w:t>
        </w:r>
        <w:r w:rsidRPr="00F16D8F">
          <w:rPr>
            <w:rFonts w:ascii="Georgia" w:hAnsi="Georgia"/>
            <w:color w:val="000000" w:themeColor="text1"/>
          </w:rPr>
          <w:t xml:space="preserve"> at 1326</w:t>
        </w:r>
      </w:hyperlink>
      <w:r w:rsidRPr="00F16D8F">
        <w:rPr>
          <w:rFonts w:ascii="Georgia" w:hAnsi="Georgia"/>
          <w:color w:val="000000" w:themeColor="text1"/>
        </w:rPr>
        <w:t xml:space="preserve"> (graph showing growth).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4877" w14:textId="77777777" w:rsidR="003010EC"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F55D" w14:textId="77777777" w:rsidR="003010EC"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EC"/>
    <w:rsid w:val="003010EC"/>
    <w:rsid w:val="004A27E3"/>
    <w:rsid w:val="00583534"/>
    <w:rsid w:val="005B6DFC"/>
    <w:rsid w:val="00A55B41"/>
    <w:rsid w:val="00F1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2ED8F"/>
  <w15:docId w15:val="{44F567D9-927D-41EA-87E4-44558FBE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7E3"/>
  </w:style>
  <w:style w:type="paragraph" w:styleId="Footer">
    <w:name w:val="footer"/>
    <w:basedOn w:val="Normal"/>
    <w:link w:val="FooterChar"/>
    <w:uiPriority w:val="99"/>
    <w:unhideWhenUsed/>
    <w:rsid w:val="004A2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7E3"/>
  </w:style>
  <w:style w:type="paragraph" w:styleId="FootnoteText">
    <w:name w:val="footnote text"/>
    <w:basedOn w:val="Normal"/>
    <w:link w:val="FootnoteTextChar"/>
    <w:uiPriority w:val="99"/>
    <w:semiHidden/>
    <w:unhideWhenUsed/>
    <w:rsid w:val="004A27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7E3"/>
    <w:rPr>
      <w:sz w:val="20"/>
      <w:szCs w:val="20"/>
    </w:rPr>
  </w:style>
  <w:style w:type="character" w:styleId="FootnoteReference">
    <w:name w:val="footnote reference"/>
    <w:basedOn w:val="DefaultParagraphFont"/>
    <w:uiPriority w:val="99"/>
    <w:semiHidden/>
    <w:unhideWhenUsed/>
    <w:rsid w:val="004A27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estlaw.com/Link/Document/FullText?findType=L&amp;pubNum=1000546&amp;cite=15USCAS1052&amp;originatingDoc=I155fc780829211f0a90cbafb7d974b2d&amp;refType=RB&amp;originationContext=document&amp;vr=3.0&amp;rs=cblt1.0&amp;transitionType=DocumentItem&amp;contextData=(sc.Search)" TargetMode="External"/><Relationship Id="rId21" Type="http://schemas.openxmlformats.org/officeDocument/2006/relationships/hyperlink" Target="https://www.westlaw.com/Link/Document/FullText?findType=Y&amp;serNum=2048546040&amp;pubNum=0000780&amp;originatingDoc=I155fc780829211f0a90cbafb7d974b2d&amp;refType=RP&amp;originationContext=document&amp;vr=3.0&amp;rs=cblt1.0&amp;transitionType=DocumentItem&amp;contextData=(sc.Search)" TargetMode="External"/><Relationship Id="rId42" Type="http://schemas.openxmlformats.org/officeDocument/2006/relationships/hyperlink" Target="https://www.westlaw.com/Link/Document/FullText?findType=Y&amp;serNum=1992115426&amp;pubNum=0000780&amp;originatingDoc=I155fc780829211f0a90cbafb7d974b2d&amp;refType=RP&amp;fi=co_pp_sp_780_768&amp;originationContext=document&amp;vr=3.0&amp;rs=cblt1.0&amp;transitionType=DocumentItem&amp;contextData=(sc.Search)" TargetMode="External"/><Relationship Id="rId47" Type="http://schemas.openxmlformats.org/officeDocument/2006/relationships/hyperlink" Target="https://www.westlaw.com/Link/Document/FullText?findType=Y&amp;serNum=2055495568&amp;pubNum=0008173&amp;originatingDoc=I155fc780829211f0a90cbafb7d974b2d&amp;refType=RP&amp;fi=co_pp_sp_8173_1350&amp;originationContext=document&amp;vr=3.0&amp;rs=cblt1.0&amp;transitionType=DocumentItem&amp;contextData=(sc.Search)" TargetMode="External"/><Relationship Id="rId63" Type="http://schemas.openxmlformats.org/officeDocument/2006/relationships/hyperlink" Target="https://www.westlaw.com/Link/Document/FullText?findType=Y&amp;serNum=1985149509&amp;pubNum=0000350&amp;originatingDoc=I155fc780829211f0a90cbafb7d974b2d&amp;refType=RP&amp;fi=co_pp_sp_350_1127&amp;originationContext=document&amp;vr=3.0&amp;rs=cblt1.0&amp;transitionType=DocumentItem&amp;contextData=(sc.Search)" TargetMode="External"/><Relationship Id="rId68" Type="http://schemas.openxmlformats.org/officeDocument/2006/relationships/hyperlink" Target="https://www.westlaw.com/Link/Document/FullText?findType=Y&amp;serNum=1962127686&amp;pubNum=0000780&amp;originatingDoc=I155fc780829211f0a90cbafb7d974b2d&amp;refType=RP&amp;fi=co_pp_sp_780_168&amp;originationContext=document&amp;vr=3.0&amp;rs=cblt1.0&amp;transitionType=DocumentItem&amp;contextData=(sc.Search)" TargetMode="External"/><Relationship Id="rId84" Type="http://schemas.openxmlformats.org/officeDocument/2006/relationships/hyperlink" Target="https://www.westlaw.com/Link/Document/FullText?findType=Y&amp;serNum=2056842064&amp;pubNum=0000999&amp;originatingDoc=I155fc780829211f0a90cbafb7d974b2d&amp;refType=RP&amp;fi=co_pp_sp_999_21&amp;originationContext=document&amp;vr=3.0&amp;rs=cblt1.0&amp;transitionType=DocumentItem&amp;contextData=(sc.Search)" TargetMode="External"/><Relationship Id="rId89" Type="http://schemas.openxmlformats.org/officeDocument/2006/relationships/hyperlink" Target="https://www.westlaw.com/Link/Document/FullText?entityType=disease&amp;entityId=Iaf34f5c3475411db9765f9243f53508a&amp;originationContext=document&amp;transitionType=DocumentItem&amp;contextData=(sc.Default)&amp;vr=3.0&amp;rs=cblt1.0" TargetMode="External"/><Relationship Id="rId16" Type="http://schemas.openxmlformats.org/officeDocument/2006/relationships/hyperlink" Target="https://www.westlaw.com/Link/Document/FullText?findType=Y&amp;serNum=1998038810&amp;pubNum=0000780&amp;originatingDoc=I155fc780829211f0a90cbafb7d974b2d&amp;refType=RP&amp;fi=co_pp_sp_780_372&amp;originationContext=document&amp;vr=3.0&amp;rs=cblt1.0&amp;transitionType=DocumentItem&amp;contextData=(sc.Search)" TargetMode="External"/><Relationship Id="rId11" Type="http://schemas.openxmlformats.org/officeDocument/2006/relationships/hyperlink" Target="https://www.westlaw.com/Link/Document/FullText?findType=L&amp;pubNum=1000546&amp;cite=28USCAS1295&amp;originatingDoc=I155fc780829211f0a90cbafb7d974b2d&amp;refType=RB&amp;originationContext=document&amp;vr=3.0&amp;rs=cblt1.0&amp;transitionType=DocumentItem&amp;contextData=(sc.Search)" TargetMode="External"/><Relationship Id="rId32" Type="http://schemas.openxmlformats.org/officeDocument/2006/relationships/hyperlink" Target="https://www.westlaw.com/Link/Document/FullText?findType=Y&amp;serNum=2048546040&amp;pubNum=0000780&amp;originatingDoc=I155fc780829211f0a90cbafb7d974b2d&amp;refType=RP&amp;originationContext=document&amp;vr=3.0&amp;rs=cblt1.0&amp;transitionType=DocumentItem&amp;contextData=(sc.Search)" TargetMode="External"/><Relationship Id="rId37" Type="http://schemas.openxmlformats.org/officeDocument/2006/relationships/hyperlink" Target="https://www.westlaw.com/Link/Document/FullText?findType=Y&amp;serNum=2078393875&amp;pubNum=0008173&amp;originatingDoc=I155fc780829211f0a90cbafb7d974b2d&amp;refType=RP&amp;fi=co_pp_sp_8173_1356&amp;originationContext=document&amp;vr=3.0&amp;rs=cblt1.0&amp;transitionType=DocumentItem&amp;contextData=(sc.Search)" TargetMode="External"/><Relationship Id="rId53" Type="http://schemas.openxmlformats.org/officeDocument/2006/relationships/hyperlink" Target="https://www.westlaw.com/Link/Document/FullText?findType=Y&amp;pubNum=1016347&amp;originatingDoc=I155fc780829211f0a90cbafb7d974b2d&amp;refType=MK&amp;docFamilyGuid=If5240930120a11e4a575ba2c8c74b5d2&amp;originationContext=document&amp;vr=3.0&amp;rs=cblt1.0&amp;transitionType=DocumentItem&amp;contextData=(sc.Search)" TargetMode="External"/><Relationship Id="rId58" Type="http://schemas.openxmlformats.org/officeDocument/2006/relationships/hyperlink" Target="https://www.westlaw.com/Link/Document/FullText?findType=L&amp;pubNum=1000546&amp;cite=15USCAS1070&amp;originatingDoc=I155fc780829211f0a90cbafb7d974b2d&amp;refType=LQ&amp;originationContext=document&amp;vr=3.0&amp;rs=cblt1.0&amp;transitionType=DocumentItem&amp;contextData=(sc.Search)" TargetMode="External"/><Relationship Id="rId74" Type="http://schemas.openxmlformats.org/officeDocument/2006/relationships/hyperlink" Target="https://www.westlaw.com/Link/Document/FullText?findType=Y&amp;serNum=1998038810&amp;pubNum=0000780&amp;originatingDoc=I155fc780829211f0a90cbafb7d974b2d&amp;refType=RP&amp;fi=co_pp_sp_780_374&amp;originationContext=document&amp;vr=3.0&amp;rs=cblt1.0&amp;transitionType=DocumentItem&amp;contextData=(sc.Search)" TargetMode="External"/><Relationship Id="rId79" Type="http://schemas.openxmlformats.org/officeDocument/2006/relationships/hyperlink" Target="https://www.westlaw.com/Link/Document/FullText?findType=Y&amp;serNum=2078393875&amp;pubNum=0008173&amp;originatingDoc=I155fc780829211f0a90cbafb7d974b2d&amp;refType=RP&amp;fi=co_pp_sp_8173_1357&amp;originationContext=document&amp;vr=3.0&amp;rs=cblt1.0&amp;transitionType=DocumentItem&amp;contextData=(sc.Search)" TargetMode="External"/><Relationship Id="rId5" Type="http://schemas.openxmlformats.org/officeDocument/2006/relationships/footnotes" Target="footnotes.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s://www.westlaw.com/Link/Document/FullText?findType=Y&amp;serNum=2041886068&amp;pubNum=0000780&amp;originatingDoc=I155fc780829211f0a90cbafb7d974b2d&amp;refType=RP&amp;originationContext=document&amp;vr=3.0&amp;rs=cblt1.0&amp;transitionType=DocumentItem&amp;contextData=(sc.Search)" TargetMode="External"/><Relationship Id="rId27" Type="http://schemas.openxmlformats.org/officeDocument/2006/relationships/hyperlink" Target="https://www.westlaw.com/Link/Document/FullText?findType=Y&amp;serNum=2048546040&amp;pubNum=0000780&amp;originatingDoc=I155fc780829211f0a90cbafb7d974b2d&amp;refType=RP&amp;originationContext=document&amp;vr=3.0&amp;rs=cblt1.0&amp;transitionType=DocumentItem&amp;contextData=(sc.Search)" TargetMode="External"/><Relationship Id="rId43" Type="http://schemas.openxmlformats.org/officeDocument/2006/relationships/hyperlink" Target="https://www.westlaw.com/Link/Document/FullText?findType=Y&amp;serNum=2055495568&amp;pubNum=0008173&amp;originatingDoc=I155fc780829211f0a90cbafb7d974b2d&amp;refType=RP&amp;fi=co_pp_sp_8173_1351&amp;originationContext=document&amp;vr=3.0&amp;rs=cblt1.0&amp;transitionType=DocumentItem&amp;contextData=(sc.Search)" TargetMode="External"/><Relationship Id="rId48" Type="http://schemas.openxmlformats.org/officeDocument/2006/relationships/hyperlink" Target="https://www.westlaw.com/Link/Document/FullText?findType=Y&amp;serNum=1957100894&amp;pubNum=0000350&amp;originatingDoc=I155fc780829211f0a90cbafb7d974b2d&amp;refType=RP&amp;fi=co_pp_sp_350_613&amp;originationContext=document&amp;vr=3.0&amp;rs=cblt1.0&amp;transitionType=DocumentItem&amp;contextData=(sc.Search)" TargetMode="External"/><Relationship Id="rId64" Type="http://schemas.openxmlformats.org/officeDocument/2006/relationships/hyperlink" Target="https://www.westlaw.com/Link/Document/FullText?findType=Y&amp;serNum=1985140150&amp;pubNum=0000350&amp;originatingDoc=I155fc780829211f0a90cbafb7d974b2d&amp;refType=RP&amp;fi=co_pp_sp_350_769&amp;originationContext=document&amp;vr=3.0&amp;rs=cblt1.0&amp;transitionType=DocumentItem&amp;contextData=(sc.Search)" TargetMode="External"/><Relationship Id="rId69" Type="http://schemas.openxmlformats.org/officeDocument/2006/relationships/hyperlink" Target="https://www.westlaw.com/Link/Document/FullText?findType=Y&amp;serNum=1997126427&amp;pubNum=0000506&amp;originatingDoc=I155fc780829211f0a90cbafb7d974b2d&amp;refType=RP&amp;fi=co_pp_sp_506_1458&amp;originationContext=document&amp;vr=3.0&amp;rs=cblt1.0&amp;transitionType=DocumentItem&amp;contextData=(sc.Search)" TargetMode="External"/><Relationship Id="rId8" Type="http://schemas.openxmlformats.org/officeDocument/2006/relationships/hyperlink" Target="https://www.westlaw.com/Link/Document/FullText?findType=Y&amp;serNum=2056842064&amp;pubNum=0000999&amp;originatingDoc=I155fc780829211f0a90cbafb7d974b2d&amp;refType=RP&amp;originationContext=document&amp;vr=3.0&amp;rs=cblt1.0&amp;transitionType=DocumentItem&amp;contextData=(sc.Search)" TargetMode="External"/><Relationship Id="rId51" Type="http://schemas.openxmlformats.org/officeDocument/2006/relationships/hyperlink" Target="https://www.westlaw.com/Link/Document/FullText?findType=Y&amp;serNum=2000080477&amp;pubNum=0000780&amp;originatingDoc=I155fc780829211f0a90cbafb7d974b2d&amp;refType=RP&amp;fi=co_pp_sp_780_209&amp;originationContext=document&amp;vr=3.0&amp;rs=cblt1.0&amp;transitionType=DocumentItem&amp;contextData=(sc.Search)" TargetMode="External"/><Relationship Id="rId72" Type="http://schemas.openxmlformats.org/officeDocument/2006/relationships/hyperlink" Target="https://www.westlaw.com/Link/Document/FullText?findType=Y&amp;serNum=2000532307&amp;pubNum=0000506&amp;originatingDoc=I155fc780829211f0a90cbafb7d974b2d&amp;refType=RP&amp;fi=co_pp_sp_506_1357&amp;originationContext=document&amp;vr=3.0&amp;rs=cblt1.0&amp;transitionType=DocumentItem&amp;contextData=(sc.Search)" TargetMode="External"/><Relationship Id="rId80" Type="http://schemas.openxmlformats.org/officeDocument/2006/relationships/hyperlink" Target="https://www.westlaw.com/Link/Document/FullText?findType=Y&amp;serNum=2036278570&amp;pubNum=0000506&amp;originatingDoc=I155fc780829211f0a90cbafb7d974b2d&amp;refType=RP&amp;fi=co_pp_sp_506_970&amp;originationContext=document&amp;vr=3.0&amp;rs=cblt1.0&amp;transitionType=DocumentItem&amp;contextData=(sc.Search)" TargetMode="External"/><Relationship Id="rId85" Type="http://schemas.openxmlformats.org/officeDocument/2006/relationships/hyperlink" Target="https://www.westlaw.com/Link/Document/FullText?findType=Y&amp;serNum=2056842064&amp;pubNum=0000999&amp;originatingDoc=I155fc780829211f0a90cbafb7d974b2d&amp;refType=RP&amp;originationContext=document&amp;vr=3.0&amp;rs=cblt1.0&amp;transitionType=DocumentItem&amp;contextData=(sc.Search)" TargetMode="External"/><Relationship Id="rId93"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westlaw.com/Link/Document/FullText?findType=Y&amp;serNum=2001290563&amp;pubNum=0000506&amp;originatingDoc=I155fc780829211f0a90cbafb7d974b2d&amp;refType=RP&amp;fi=co_pp_sp_506_1361&amp;originationContext=document&amp;vr=3.0&amp;rs=cblt1.0&amp;transitionType=DocumentItem&amp;contextData=(sc.Search)" TargetMode="External"/><Relationship Id="rId17" Type="http://schemas.openxmlformats.org/officeDocument/2006/relationships/hyperlink" Target="https://www.westlaw.com/Link/Document/FullText?findType=Y&amp;serNum=1983129661&amp;pubNum=0000780&amp;originatingDoc=I155fc780829211f0a90cbafb7d974b2d&amp;refType=RP&amp;fi=co_pp_sp_780_52&amp;originationContext=document&amp;vr=3.0&amp;rs=cblt1.0&amp;transitionType=DocumentItem&amp;contextData=(sc.Search)" TargetMode="External"/><Relationship Id="rId25" Type="http://schemas.openxmlformats.org/officeDocument/2006/relationships/hyperlink" Target="https://www.westlaw.com/Link/Document/FullText?findType=Y&amp;serNum=2048546040&amp;pubNum=0000780&amp;originatingDoc=I155fc780829211f0a90cbafb7d974b2d&amp;refType=RP&amp;fi=co_pp_sp_780_390&amp;originationContext=document&amp;vr=3.0&amp;rs=cblt1.0&amp;transitionType=DocumentItem&amp;contextData=(sc.Search)" TargetMode="External"/><Relationship Id="rId33" Type="http://schemas.openxmlformats.org/officeDocument/2006/relationships/hyperlink" Target="https://www.westlaw.com/Link/Document/FullText?findType=Y&amp;pubNum=1016347&amp;originatingDoc=I155fc780829211f0a90cbafb7d974b2d&amp;refType=MK&amp;docFamilyGuid=I2578af308f1911e78534b3aeb0b40e3d&amp;originationContext=document&amp;vr=3.0&amp;rs=cblt1.0&amp;transitionType=DocumentItem&amp;contextData=(sc.Search)" TargetMode="External"/><Relationship Id="rId38" Type="http://schemas.openxmlformats.org/officeDocument/2006/relationships/hyperlink" Target="https://www.westlaw.com/Link/Document/FullText?findType=L&amp;pubNum=1000546&amp;cite=15USCAS1127&amp;originatingDoc=I155fc780829211f0a90cbafb7d974b2d&amp;refType=LQ&amp;originationContext=document&amp;vr=3.0&amp;rs=cblt1.0&amp;transitionType=DocumentItem&amp;contextData=(sc.Search)" TargetMode="External"/><Relationship Id="rId46" Type="http://schemas.openxmlformats.org/officeDocument/2006/relationships/hyperlink" Target="https://www.westlaw.com/Link/Document/FullText?findType=Y&amp;serNum=2078393875&amp;pubNum=0008173&amp;originatingDoc=I155fc780829211f0a90cbafb7d974b2d&amp;refType=RP&amp;fi=co_pp_sp_8173_1356&amp;originationContext=document&amp;vr=3.0&amp;rs=cblt1.0&amp;transitionType=DocumentItem&amp;contextData=(sc.Search)" TargetMode="External"/><Relationship Id="rId59" Type="http://schemas.openxmlformats.org/officeDocument/2006/relationships/hyperlink" Target="https://www.westlaw.com/Link/Document/FullText?findType=Y&amp;serNum=2038846545&amp;pubNum=0000506&amp;originatingDoc=I155fc780829211f0a90cbafb7d974b2d&amp;refType=RP&amp;fi=co_pp_sp_506_600&amp;originationContext=document&amp;vr=3.0&amp;rs=cblt1.0&amp;transitionType=DocumentItem&amp;contextData=(sc.Search)" TargetMode="External"/><Relationship Id="rId67" Type="http://schemas.openxmlformats.org/officeDocument/2006/relationships/hyperlink" Target="https://www.westlaw.com/Link/Document/FullText?findType=Y&amp;serNum=1983129661&amp;pubNum=0000780&amp;originatingDoc=I155fc780829211f0a90cbafb7d974b2d&amp;refType=RP&amp;fi=co_pp_sp_780_43&amp;originationContext=document&amp;vr=3.0&amp;rs=cblt1.0&amp;transitionType=DocumentItem&amp;contextData=(sc.Search)" TargetMode="External"/><Relationship Id="rId20" Type="http://schemas.openxmlformats.org/officeDocument/2006/relationships/hyperlink" Target="https://www.westlaw.com/Link/Document/FullText?entityType=disease&amp;entityId=Iaf34f5c3475411db9765f9243f53508a&amp;originationContext=document&amp;transitionType=DocumentItem&amp;contextData=(sc.Default)&amp;vr=3.0&amp;rs=cblt1.0" TargetMode="External"/><Relationship Id="rId41" Type="http://schemas.openxmlformats.org/officeDocument/2006/relationships/hyperlink" Target="https://www.westlaw.com/Link/Document/FullText?findType=Y&amp;serNum=2051359257&amp;pubNum=0000708&amp;originatingDoc=I155fc780829211f0a90cbafb7d974b2d&amp;refType=RP&amp;fi=co_pp_sp_708_553&amp;originationContext=document&amp;vr=3.0&amp;rs=cblt1.0&amp;transitionType=DocumentItem&amp;contextData=(sc.Search)" TargetMode="External"/><Relationship Id="rId54" Type="http://schemas.openxmlformats.org/officeDocument/2006/relationships/hyperlink" Target="https://www.westlaw.com/Link/Document/FullText?findType=Y&amp;pubNum=1016347&amp;originatingDoc=I155fc780829211f0a90cbafb7d974b2d&amp;refType=MK&amp;docFamilyGuid=Ib92e3f30773411e78428a92b592a30d4&amp;originationContext=document&amp;vr=3.0&amp;rs=cblt1.0&amp;transitionType=DocumentItem&amp;contextData=(sc.Search)" TargetMode="External"/><Relationship Id="rId62" Type="http://schemas.openxmlformats.org/officeDocument/2006/relationships/hyperlink" Target="https://www.westlaw.com/Link/Document/FullText?findType=Y&amp;serNum=2001047718&amp;pubNum=0000506&amp;originatingDoc=I155fc780829211f0a90cbafb7d974b2d&amp;refType=RP&amp;fi=co_pp_sp_506_1342&amp;originationContext=document&amp;vr=3.0&amp;rs=cblt1.0&amp;transitionType=DocumentItem&amp;contextData=(sc.Search)" TargetMode="External"/><Relationship Id="rId70" Type="http://schemas.openxmlformats.org/officeDocument/2006/relationships/hyperlink" Target="https://www.westlaw.com/Link/Document/FullText?findType=Y&amp;serNum=2006439244&amp;pubNum=0000506&amp;originatingDoc=I155fc780829211f0a90cbafb7d974b2d&amp;refType=RP&amp;fi=co_pp_sp_506_1371&amp;originationContext=document&amp;vr=3.0&amp;rs=cblt1.0&amp;transitionType=DocumentItem&amp;contextData=(sc.Search)" TargetMode="External"/><Relationship Id="rId75" Type="http://schemas.openxmlformats.org/officeDocument/2006/relationships/hyperlink" Target="https://www.westlaw.com/Link/Document/FullText?findType=Y&amp;serNum=1983129661&amp;pubNum=0000780&amp;originatingDoc=I155fc780829211f0a90cbafb7d974b2d&amp;refType=RP&amp;fi=co_pp_sp_780_43&amp;originationContext=document&amp;vr=3.0&amp;rs=cblt1.0&amp;transitionType=DocumentItem&amp;contextData=(sc.Search)" TargetMode="External"/><Relationship Id="rId83" Type="http://schemas.openxmlformats.org/officeDocument/2006/relationships/hyperlink" Target="https://www.westlaw.com/Link/Document/FullText?findType=L&amp;pubNum=1000546&amp;cite=15USCAS1127&amp;originatingDoc=I155fc780829211f0a90cbafb7d974b2d&amp;refType=LQ&amp;originationContext=document&amp;vr=3.0&amp;rs=cblt1.0&amp;transitionType=DocumentItem&amp;contextData=(sc.Search)" TargetMode="External"/><Relationship Id="rId88" Type="http://schemas.openxmlformats.org/officeDocument/2006/relationships/hyperlink" Target="https://www.westlaw.com/Link/Document/FullText?entityType=disease&amp;entityId=Iaf34f5c3475411db9765f9243f53508a&amp;originationContext=document&amp;transitionType=DocumentItem&amp;contextData=(sc.Default)&amp;vr=3.0&amp;rs=cblt1.0"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westlaw.com/Link/Document/FullText?findType=Y&amp;serNum=2019441740&amp;pubNum=0000506&amp;originatingDoc=I155fc780829211f0a90cbafb7d974b2d&amp;refType=RP&amp;originationContext=document&amp;vr=3.0&amp;rs=cblt1.0&amp;transitionType=DocumentItem&amp;contextData=(sc.Search)" TargetMode="External"/><Relationship Id="rId23" Type="http://schemas.openxmlformats.org/officeDocument/2006/relationships/hyperlink" Target="https://www.westlaw.com/Link/Document/FullText?findType=Y&amp;serNum=2048546040&amp;pubNum=0000780&amp;originatingDoc=I155fc780829211f0a90cbafb7d974b2d&amp;refType=RP&amp;originationContext=document&amp;vr=3.0&amp;rs=cblt1.0&amp;transitionType=DocumentItem&amp;contextData=(sc.Search)" TargetMode="External"/><Relationship Id="rId28" Type="http://schemas.openxmlformats.org/officeDocument/2006/relationships/hyperlink" Target="https://www.westlaw.com/Link/Document/FullText?findType=Y&amp;serNum=2048546040&amp;pubNum=0000780&amp;originatingDoc=I155fc780829211f0a90cbafb7d974b2d&amp;refType=RP&amp;originationContext=document&amp;vr=3.0&amp;rs=cblt1.0&amp;transitionType=DocumentItem&amp;contextData=(sc.Search)" TargetMode="External"/><Relationship Id="rId36" Type="http://schemas.openxmlformats.org/officeDocument/2006/relationships/hyperlink" Target="https://www.westlaw.com/Link/Document/FullText?findType=L&amp;pubNum=1000546&amp;cite=15USCAS1127&amp;originatingDoc=I155fc780829211f0a90cbafb7d974b2d&amp;refType=LQ&amp;originationContext=document&amp;vr=3.0&amp;rs=cblt1.0&amp;transitionType=DocumentItem&amp;contextData=(sc.Search)" TargetMode="External"/><Relationship Id="rId49" Type="http://schemas.openxmlformats.org/officeDocument/2006/relationships/hyperlink" Target="https://www.westlaw.com/Link/Document/FullText?findType=Y&amp;serNum=2078393875&amp;pubNum=0008173&amp;originatingDoc=I155fc780829211f0a90cbafb7d974b2d&amp;refType=RP&amp;fi=co_pp_sp_8173_1356&amp;originationContext=document&amp;vr=3.0&amp;rs=cblt1.0&amp;transitionType=DocumentItem&amp;contextData=(sc.Search)" TargetMode="External"/><Relationship Id="rId57" Type="http://schemas.openxmlformats.org/officeDocument/2006/relationships/hyperlink" Target="https://www.westlaw.com/Link/Document/FullText?findType=Y&amp;serNum=2001047718&amp;pubNum=0000506&amp;originatingDoc=I155fc780829211f0a90cbafb7d974b2d&amp;refType=RP&amp;fi=co_pp_sp_506_1342&amp;originationContext=document&amp;vr=3.0&amp;rs=cblt1.0&amp;transitionType=DocumentItem&amp;contextData=(sc.Search)" TargetMode="External"/><Relationship Id="rId10" Type="http://schemas.openxmlformats.org/officeDocument/2006/relationships/hyperlink" Target="https://www.westlaw.com/Link/Document/FullText?findType=Y&amp;serNum=2052357755&amp;pubNum=0000999&amp;originatingDoc=I155fc780829211f0a90cbafb7d974b2d&amp;refType=RP&amp;fi=co_pp_sp_999_5&amp;originationContext=document&amp;vr=3.0&amp;rs=cblt1.0&amp;transitionType=DocumentItem&amp;contextData=(sc.Search)" TargetMode="External"/><Relationship Id="rId31" Type="http://schemas.openxmlformats.org/officeDocument/2006/relationships/hyperlink" Target="https://www.westlaw.com/Link/Document/FullText?findType=Y&amp;serNum=2048546040&amp;pubNum=0000780&amp;originatingDoc=I155fc780829211f0a90cbafb7d974b2d&amp;refType=RP&amp;originationContext=document&amp;vr=3.0&amp;rs=cblt1.0&amp;transitionType=DocumentItem&amp;contextData=(sc.Search)" TargetMode="External"/><Relationship Id="rId44" Type="http://schemas.openxmlformats.org/officeDocument/2006/relationships/hyperlink" Target="https://www.westlaw.com/Link/Document/FullText?findType=Y&amp;serNum=2055495568&amp;pubNum=0008173&amp;originatingDoc=I155fc780829211f0a90cbafb7d974b2d&amp;refType=RP&amp;fi=co_pp_sp_8173_1351&amp;originationContext=document&amp;vr=3.0&amp;rs=cblt1.0&amp;transitionType=DocumentItem&amp;contextData=(sc.Search)" TargetMode="External"/><Relationship Id="rId52" Type="http://schemas.openxmlformats.org/officeDocument/2006/relationships/hyperlink" Target="https://www.westlaw.com/Link/Document/FullText?findType=Y&amp;serNum=2022912251&amp;pubNum=0001013&amp;originatingDoc=I155fc780829211f0a90cbafb7d974b2d&amp;refType=RP&amp;originationContext=document&amp;vr=3.0&amp;rs=cblt1.0&amp;transitionType=DocumentItem&amp;contextData=(sc.Search)" TargetMode="External"/><Relationship Id="rId60" Type="http://schemas.openxmlformats.org/officeDocument/2006/relationships/hyperlink" Target="https://www.westlaw.com/Link/Document/FullText?findType=Y&amp;serNum=2001047718&amp;pubNum=0000506&amp;originatingDoc=I155fc780829211f0a90cbafb7d974b2d&amp;refType=RP&amp;fi=co_pp_sp_506_1342&amp;originationContext=document&amp;vr=3.0&amp;rs=cblt1.0&amp;transitionType=DocumentItem&amp;contextData=(sc.Search)" TargetMode="External"/><Relationship Id="rId65" Type="http://schemas.openxmlformats.org/officeDocument/2006/relationships/hyperlink" Target="https://www.westlaw.com/Link/Document/FullText?findType=Y&amp;serNum=2051359257&amp;pubNum=0000780&amp;originatingDoc=I155fc780829211f0a90cbafb7d974b2d&amp;refType=RP&amp;originationContext=document&amp;vr=3.0&amp;rs=cblt1.0&amp;transitionType=DocumentItem&amp;contextData=(sc.Search)" TargetMode="External"/><Relationship Id="rId73" Type="http://schemas.openxmlformats.org/officeDocument/2006/relationships/hyperlink" Target="https://www.westlaw.com/Link/Document/FullText?findType=Y&amp;serNum=1943120800&amp;pubNum=0000780&amp;originatingDoc=I155fc780829211f0a90cbafb7d974b2d&amp;refType=RP&amp;fi=co_pp_sp_780_94&amp;originationContext=document&amp;vr=3.0&amp;rs=cblt1.0&amp;transitionType=DocumentItem&amp;contextData=(sc.Search)" TargetMode="External"/><Relationship Id="rId78" Type="http://schemas.openxmlformats.org/officeDocument/2006/relationships/hyperlink" Target="https://www.westlaw.com/Link/Document/FullText?findType=Y&amp;serNum=2038667680&amp;pubNum=0000506&amp;originatingDoc=I155fc780829211f0a90cbafb7d974b2d&amp;refType=RP&amp;fi=co_pp_sp_506_1210&amp;originationContext=document&amp;vr=3.0&amp;rs=cblt1.0&amp;transitionType=DocumentItem&amp;contextData=(sc.Search)" TargetMode="External"/><Relationship Id="rId81" Type="http://schemas.openxmlformats.org/officeDocument/2006/relationships/hyperlink" Target="https://www.westlaw.com/Link/Document/FullText?findType=h&amp;pubNum=176284&amp;cite=0225327201&amp;originatingDoc=I155fc780829211f0a90cbafb7d974b2d&amp;refType=RQ&amp;originationContext=document&amp;vr=3.0&amp;rs=cblt1.0&amp;transitionType=DocumentItem&amp;contextData=(sc.Search)" TargetMode="External"/><Relationship Id="rId86" Type="http://schemas.openxmlformats.org/officeDocument/2006/relationships/hyperlink" Target="https://www.westlaw.com/Link/Document/FullText?findType=Y&amp;serNum=2056842064&amp;pubNum=0000999&amp;originatingDoc=I155fc780829211f0a90cbafb7d974b2d&amp;refType=RP&amp;originationContext=document&amp;vr=3.0&amp;rs=cblt1.0&amp;transitionType=DocumentItem&amp;contextData=(sc.Search)"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stlaw.com/Link/Document/FullText?findType=Y&amp;serNum=2052557645&amp;pubNum=0000999&amp;originatingDoc=I155fc780829211f0a90cbafb7d974b2d&amp;refType=RP&amp;fi=co_pp_sp_999_3&amp;originationContext=document&amp;vr=3.0&amp;rs=cblt1.0&amp;transitionType=DocumentItem&amp;contextData=(sc.Search)" TargetMode="External"/><Relationship Id="rId13" Type="http://schemas.openxmlformats.org/officeDocument/2006/relationships/hyperlink" Target="https://www.westlaw.com/Link/Document/FullText?findType=Y&amp;serNum=1999137089&amp;pubNum=0000780&amp;originatingDoc=I155fc780829211f0a90cbafb7d974b2d&amp;refType=RP&amp;fi=co_pp_sp_780_152&amp;originationContext=document&amp;vr=3.0&amp;rs=cblt1.0&amp;transitionType=DocumentItem&amp;contextData=(sc.Search)" TargetMode="External"/><Relationship Id="rId18" Type="http://schemas.openxmlformats.org/officeDocument/2006/relationships/hyperlink" Target="https://www.westlaw.com/Link/Document/FullText?findType=Y&amp;serNum=1983129661&amp;originatingDoc=I155fc780829211f0a90cbafb7d974b2d&amp;refType=RP&amp;originationContext=document&amp;vr=3.0&amp;rs=cblt1.0&amp;transitionType=DocumentItem&amp;contextData=(sc.Search)" TargetMode="External"/><Relationship Id="rId39" Type="http://schemas.openxmlformats.org/officeDocument/2006/relationships/hyperlink" Target="https://www.westlaw.com/Link/Document/FullText?findType=Y&amp;serNum=2074977771&amp;pubNum=0000780&amp;originatingDoc=I155fc780829211f0a90cbafb7d974b2d&amp;refType=RP&amp;fi=co_pp_sp_780_146&amp;originationContext=document&amp;vr=3.0&amp;rs=cblt1.0&amp;transitionType=DocumentItem&amp;contextData=(sc.Search)" TargetMode="External"/><Relationship Id="rId34" Type="http://schemas.openxmlformats.org/officeDocument/2006/relationships/hyperlink" Target="https://www.westlaw.com/Link/Document/FullText?findType=L&amp;pubNum=1000546&amp;cite=15USCAS1051&amp;originatingDoc=I155fc780829211f0a90cbafb7d974b2d&amp;refType=LQ&amp;originationContext=document&amp;vr=3.0&amp;rs=cblt1.0&amp;transitionType=DocumentItem&amp;contextData=(sc.Search)" TargetMode="External"/><Relationship Id="rId50" Type="http://schemas.openxmlformats.org/officeDocument/2006/relationships/hyperlink" Target="https://www.westlaw.com/Link/Document/FullText?findType=Y&amp;serNum=2078393875&amp;pubNum=0008173&amp;originatingDoc=I155fc780829211f0a90cbafb7d974b2d&amp;refType=RP&amp;fi=co_pp_sp_8173_1357&amp;originationContext=document&amp;vr=3.0&amp;rs=cblt1.0&amp;transitionType=DocumentItem&amp;contextData=(sc.Search)" TargetMode="External"/><Relationship Id="rId55" Type="http://schemas.openxmlformats.org/officeDocument/2006/relationships/hyperlink" Target="https://www.westlaw.com/Link/Document/FullText?findType=Y&amp;pubNum=1016347&amp;originatingDoc=I155fc780829211f0a90cbafb7d974b2d&amp;refType=MK&amp;docFamilyGuid=Ic12ac770c24d11eda3ea9def0f496ef3&amp;originationContext=document&amp;vr=3.0&amp;rs=cblt1.0&amp;transitionType=DocumentItem&amp;contextData=(sc.Search)" TargetMode="External"/><Relationship Id="rId76" Type="http://schemas.openxmlformats.org/officeDocument/2006/relationships/hyperlink" Target="https://www.westlaw.com/Link/Document/FullText?findType=Y&amp;serNum=1999027743&amp;pubNum=0000506&amp;originatingDoc=I155fc780829211f0a90cbafb7d974b2d&amp;refType=RP&amp;fi=co_pp_sp_506_660&amp;originationContext=document&amp;vr=3.0&amp;rs=cblt1.0&amp;transitionType=DocumentItem&amp;contextData=(sc.Search)" TargetMode="External"/><Relationship Id="rId7" Type="http://schemas.openxmlformats.org/officeDocument/2006/relationships/hyperlink" Target="https://www.westlaw.com/Link/Document/FullText?findType=h&amp;pubNum=176284&amp;cite=0127930301&amp;originatingDoc=I155fc780829211f0a90cbafb7d974b2d&amp;refType=RQ&amp;originationContext=document&amp;vr=3.0&amp;rs=cblt1.0&amp;transitionType=DocumentItem&amp;contextData=(sc.Search)" TargetMode="External"/><Relationship Id="rId71" Type="http://schemas.openxmlformats.org/officeDocument/2006/relationships/hyperlink" Target="https://www.westlaw.com/Link/Document/FullText?findType=Y&amp;serNum=2036278570&amp;pubNum=0000506&amp;originatingDoc=I155fc780829211f0a90cbafb7d974b2d&amp;refType=RP&amp;fi=co_pp_sp_506_970&amp;originationContext=document&amp;vr=3.0&amp;rs=cblt1.0&amp;transitionType=DocumentItem&amp;contextData=(sc.Search)"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westlaw.com/Link/Document/FullText?findType=Y&amp;serNum=2048546040&amp;pubNum=0000780&amp;originatingDoc=I155fc780829211f0a90cbafb7d974b2d&amp;refType=RP&amp;fi=co_pp_sp_780_390&amp;originationContext=document&amp;vr=3.0&amp;rs=cblt1.0&amp;transitionType=DocumentItem&amp;contextData=(sc.Search)" TargetMode="External"/><Relationship Id="rId24" Type="http://schemas.openxmlformats.org/officeDocument/2006/relationships/hyperlink" Target="https://www.westlaw.com/Link/Document/FullText?findType=L&amp;pubNum=1000546&amp;cite=15USCAS1052&amp;originatingDoc=I155fc780829211f0a90cbafb7d974b2d&amp;refType=RB&amp;originationContext=document&amp;vr=3.0&amp;rs=cblt1.0&amp;transitionType=DocumentItem&amp;contextData=(sc.Search)" TargetMode="External"/><Relationship Id="rId40" Type="http://schemas.openxmlformats.org/officeDocument/2006/relationships/hyperlink" Target="https://www.westlaw.com/Link/Document/FullText?findType=Y&amp;serNum=0295708515&amp;pubNum=0119215&amp;originatingDoc=I155fc780829211f0a90cbafb7d974b2d&amp;refType=TS&amp;originationContext=document&amp;vr=3.0&amp;rs=cblt1.0&amp;transitionType=DocumentItem&amp;contextData=(sc.Search)" TargetMode="External"/><Relationship Id="rId45" Type="http://schemas.openxmlformats.org/officeDocument/2006/relationships/hyperlink" Target="https://www.westlaw.com/Link/Document/FullText?findType=Y&amp;serNum=1995073454&amp;pubNum=0000780&amp;originatingDoc=I155fc780829211f0a90cbafb7d974b2d&amp;refType=RP&amp;fi=co_pp_sp_780_162&amp;originationContext=document&amp;vr=3.0&amp;rs=cblt1.0&amp;transitionType=DocumentItem&amp;contextData=(sc.Search)" TargetMode="External"/><Relationship Id="rId66" Type="http://schemas.openxmlformats.org/officeDocument/2006/relationships/hyperlink" Target="https://www.westlaw.com/Link/Document/FullText?findType=Y&amp;serNum=2051359257&amp;pubNum=0000780&amp;originatingDoc=I155fc780829211f0a90cbafb7d974b2d&amp;refType=RP&amp;fi=co_pp_sp_780_558&amp;originationContext=document&amp;vr=3.0&amp;rs=cblt1.0&amp;transitionType=DocumentItem&amp;contextData=(sc.Search)" TargetMode="External"/><Relationship Id="rId87" Type="http://schemas.openxmlformats.org/officeDocument/2006/relationships/hyperlink" Target="https://www.westlaw.com/Link/Document/FullText?entityType=disease&amp;entityId=Iaf34f5c3475411db9765f9243f53508a&amp;originationContext=document&amp;transitionType=DocumentItem&amp;contextData=(sc.Default)&amp;vr=3.0&amp;rs=cblt1.0" TargetMode="External"/><Relationship Id="rId61" Type="http://schemas.openxmlformats.org/officeDocument/2006/relationships/hyperlink" Target="https://www.westlaw.com/Link/Document/FullText?findType=Y&amp;serNum=1987114766&amp;pubNum=0000350&amp;originatingDoc=I155fc780829211f0a90cbafb7d974b2d&amp;refType=RP&amp;fi=co_pp_sp_350_1569&amp;originationContext=document&amp;vr=3.0&amp;rs=cblt1.0&amp;transitionType=DocumentItem&amp;contextData=(sc.Search)" TargetMode="External"/><Relationship Id="rId82" Type="http://schemas.openxmlformats.org/officeDocument/2006/relationships/hyperlink" Target="https://www.westlaw.com/Link/Document/FullText?findType=Y&amp;serNum=2074977771&amp;pubNum=0000780&amp;originatingDoc=I155fc780829211f0a90cbafb7d974b2d&amp;refType=RP&amp;fi=co_pp_sp_780_146&amp;originationContext=document&amp;vr=3.0&amp;rs=cblt1.0&amp;transitionType=DocumentItem&amp;contextData=(sc.Search)" TargetMode="External"/><Relationship Id="rId19" Type="http://schemas.openxmlformats.org/officeDocument/2006/relationships/hyperlink" Target="https://www.westlaw.com/Link/Document/FullText?findType=Y&amp;serNum=2048546040&amp;pubNum=0000780&amp;originatingDoc=I155fc780829211f0a90cbafb7d974b2d&amp;refType=RP&amp;originationContext=document&amp;vr=3.0&amp;rs=cblt1.0&amp;transitionType=DocumentItem&amp;contextData=(sc.Search)" TargetMode="External"/><Relationship Id="rId14" Type="http://schemas.openxmlformats.org/officeDocument/2006/relationships/hyperlink" Target="https://www.westlaw.com/Link/Document/FullText?findType=Y&amp;serNum=2019441740&amp;pubNum=0000506&amp;originatingDoc=I155fc780829211f0a90cbafb7d974b2d&amp;refType=RP&amp;fi=co_pp_sp_506_1302&amp;originationContext=document&amp;vr=3.0&amp;rs=cblt1.0&amp;transitionType=DocumentItem&amp;contextData=(sc.Search)" TargetMode="External"/><Relationship Id="rId30" Type="http://schemas.openxmlformats.org/officeDocument/2006/relationships/hyperlink" Target="https://www.westlaw.com/Link/Document/FullText?findType=Y&amp;serNum=2043393207&amp;pubNum=0000506&amp;originatingDoc=I155fc780829211f0a90cbafb7d974b2d&amp;refType=RP&amp;fi=co_pp_sp_506_1338&amp;originationContext=document&amp;vr=3.0&amp;rs=cblt1.0&amp;transitionType=DocumentItem&amp;contextData=(sc.Search)" TargetMode="External"/><Relationship Id="rId35" Type="http://schemas.openxmlformats.org/officeDocument/2006/relationships/hyperlink" Target="https://www.westlaw.com/Link/Document/FullText?findType=L&amp;pubNum=1000546&amp;cite=15USCAS1052&amp;originatingDoc=I155fc780829211f0a90cbafb7d974b2d&amp;refType=LQ&amp;originationContext=document&amp;vr=3.0&amp;rs=cblt1.0&amp;transitionType=DocumentItem&amp;contextData=(sc.Search)" TargetMode="External"/><Relationship Id="rId56" Type="http://schemas.openxmlformats.org/officeDocument/2006/relationships/hyperlink" Target="https://www.westlaw.com/Link/Document/FullText?findType=Y&amp;serNum=2038846545&amp;pubNum=0000506&amp;originatingDoc=I155fc780829211f0a90cbafb7d974b2d&amp;refType=RP&amp;fi=co_pp_sp_506_600&amp;originationContext=document&amp;vr=3.0&amp;rs=cblt1.0&amp;transitionType=DocumentItem&amp;contextData=(sc.Search)" TargetMode="External"/><Relationship Id="rId77" Type="http://schemas.openxmlformats.org/officeDocument/2006/relationships/hyperlink" Target="https://www.westlaw.com/Link/Document/FullText?findType=Y&amp;serNum=2025663014&amp;pubNum=0000506&amp;originatingDoc=I155fc780829211f0a90cbafb7d974b2d&amp;refType=RP&amp;fi=co_pp_sp_506_949&amp;originationContext=document&amp;vr=3.0&amp;rs=cblt1.0&amp;transitionType=DocumentItem&amp;contextData=(sc.Searc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estlaw.com/Link/Document/FullText?findType=Y&amp;serNum=2000080477&amp;pubNum=0000780&amp;originatingDoc=I155fc780829211f0a90cbafb7d974b2d&amp;refType=RP&amp;fi=co_pp_sp_780_210&amp;originationContext=document&amp;vr=3.0&amp;rs=cblt1.0&amp;transitionType=DocumentItem&amp;contextData=(sc.Search)" TargetMode="External"/><Relationship Id="rId13" Type="http://schemas.openxmlformats.org/officeDocument/2006/relationships/hyperlink" Target="https://www.westlaw.com/Link/Document/FullText?findType=L&amp;pubNum=1000607&amp;cite=USFRER201&amp;originatingDoc=I155fc780829211f0a90cbafb7d974b2d&amp;refType=RB&amp;originationContext=document&amp;vr=3.0&amp;rs=cblt1.0&amp;transitionType=DocumentItem&amp;contextData=(sc.Search)" TargetMode="External"/><Relationship Id="rId18" Type="http://schemas.openxmlformats.org/officeDocument/2006/relationships/hyperlink" Target="https://www.westlaw.com/Link/Document/FullText?findType=Y&amp;serNum=2037858793&amp;pubNum=0000506&amp;originatingDoc=I155fc780829211f0a90cbafb7d974b2d&amp;refType=RP&amp;originationContext=document&amp;vr=3.0&amp;rs=cblt1.0&amp;transitionType=DocumentItem&amp;contextData=(sc.Search)" TargetMode="External"/><Relationship Id="rId26" Type="http://schemas.openxmlformats.org/officeDocument/2006/relationships/hyperlink" Target="https://www.westlaw.com/Link/Document/FullText?findType=Y&amp;serNum=2055495568&amp;originatingDoc=I155fc780829211f0a90cbafb7d974b2d&amp;refType=RP&amp;originationContext=document&amp;vr=3.0&amp;rs=cblt1.0&amp;transitionType=DocumentItem&amp;contextData=(sc.Search)" TargetMode="External"/><Relationship Id="rId3" Type="http://schemas.openxmlformats.org/officeDocument/2006/relationships/hyperlink" Target="https://www.westlaw.com/Link/Document/FullText?findType=Y&amp;serNum=2048546040&amp;pubNum=0000780&amp;originatingDoc=I155fc780829211f0a90cbafb7d974b2d&amp;refType=RP&amp;fi=co_pp_sp_780_390&amp;originationContext=document&amp;vr=3.0&amp;rs=cblt1.0&amp;transitionType=DocumentItem&amp;contextData=(sc.Search)" TargetMode="External"/><Relationship Id="rId21" Type="http://schemas.openxmlformats.org/officeDocument/2006/relationships/hyperlink" Target="https://www.westlaw.com/Link/Document/FullText?findType=Y&amp;serNum=2041433616&amp;pubNum=0000506&amp;originatingDoc=I155fc780829211f0a90cbafb7d974b2d&amp;refType=RP&amp;fi=co_pp_sp_506_1325&amp;originationContext=document&amp;vr=3.0&amp;rs=cblt1.0&amp;transitionType=DocumentItem&amp;contextData=(sc.Search)" TargetMode="External"/><Relationship Id="rId7" Type="http://schemas.openxmlformats.org/officeDocument/2006/relationships/hyperlink" Target="https://www.westlaw.com/Link/Document/FullText?findType=Y&amp;serNum=2051359257&amp;pubNum=0000780&amp;originatingDoc=I155fc780829211f0a90cbafb7d974b2d&amp;refType=RP&amp;fi=co_pp_sp_780_553&amp;originationContext=document&amp;vr=3.0&amp;rs=cblt1.0&amp;transitionType=DocumentItem&amp;contextData=(sc.Search)" TargetMode="External"/><Relationship Id="rId12" Type="http://schemas.openxmlformats.org/officeDocument/2006/relationships/hyperlink" Target="https://www.westlaw.com/Link/Document/FullText?findType=L&amp;pubNum=1000607&amp;cite=USFRER201&amp;originatingDoc=I155fc780829211f0a90cbafb7d974b2d&amp;refType=RB&amp;originationContext=document&amp;vr=3.0&amp;rs=cblt1.0&amp;transitionType=DocumentItem&amp;contextData=(sc.Search)" TargetMode="External"/><Relationship Id="rId17" Type="http://schemas.openxmlformats.org/officeDocument/2006/relationships/hyperlink" Target="https://www.westlaw.com/Link/Document/FullText?findType=Y&amp;serNum=2003481473&amp;pubNum=0000506&amp;originatingDoc=I155fc780829211f0a90cbafb7d974b2d&amp;refType=RP&amp;fi=co_pp_sp_506_1343&amp;originationContext=document&amp;vr=3.0&amp;rs=cblt1.0&amp;transitionType=DocumentItem&amp;contextData=(sc.Search)" TargetMode="External"/><Relationship Id="rId25" Type="http://schemas.openxmlformats.org/officeDocument/2006/relationships/hyperlink" Target="https://www.westlaw.com/Link/Document/FullText?findType=Y&amp;serNum=2078393875&amp;pubNum=0008173&amp;originatingDoc=I155fc780829211f0a90cbafb7d974b2d&amp;refType=RP&amp;originationContext=document&amp;vr=3.0&amp;rs=cblt1.0&amp;transitionType=DocumentItem&amp;contextData=(sc.Search)" TargetMode="External"/><Relationship Id="rId2" Type="http://schemas.openxmlformats.org/officeDocument/2006/relationships/hyperlink" Target="https://www.westlaw.com/Link/Document/FullText?findType=L&amp;pubNum=1000546&amp;cite=15USCAS1052&amp;originatingDoc=I155fc780829211f0a90cbafb7d974b2d&amp;refType=RB&amp;originationContext=document&amp;vr=3.0&amp;rs=cblt1.0&amp;transitionType=DocumentItem&amp;contextData=(sc.Search)" TargetMode="External"/><Relationship Id="rId16" Type="http://schemas.openxmlformats.org/officeDocument/2006/relationships/hyperlink" Target="https://www.westlaw.com/Link/Document/FullText?findType=L&amp;pubNum=1000546&amp;cite=15USCAS1052&amp;originatingDoc=I155fc780829211f0a90cbafb7d974b2d&amp;refType=RB&amp;originationContext=document&amp;vr=3.0&amp;rs=cblt1.0&amp;transitionType=DocumentItem&amp;contextData=(sc.Search)" TargetMode="External"/><Relationship Id="rId20" Type="http://schemas.openxmlformats.org/officeDocument/2006/relationships/hyperlink" Target="https://www.westlaw.com/Link/Document/FullText?findType=Y&amp;serNum=2042483933&amp;pubNum=0000506&amp;originatingDoc=I155fc780829211f0a90cbafb7d974b2d&amp;refType=RP&amp;originationContext=document&amp;vr=3.0&amp;rs=cblt1.0&amp;transitionType=DocumentItem&amp;contextData=(sc.Search)" TargetMode="External"/><Relationship Id="rId29" Type="http://schemas.openxmlformats.org/officeDocument/2006/relationships/hyperlink" Target="https://www.westlaw.com/Link/Document/FullText?findType=Y&amp;serNum=0295708494&amp;pubNum=0119215&amp;originatingDoc=I155fc780829211f0a90cbafb7d974b2d&amp;refType=TS&amp;originationContext=document&amp;vr=3.0&amp;rs=cblt1.0&amp;transitionType=DocumentItem&amp;contextData=(sc.Search)" TargetMode="External"/><Relationship Id="rId1" Type="http://schemas.openxmlformats.org/officeDocument/2006/relationships/hyperlink" Target="https://www.westlaw.com/Link/Document/FullText?findType=L&amp;pubNum=1000546&amp;cite=15USCAS1052&amp;originatingDoc=I155fc780829211f0a90cbafb7d974b2d&amp;refType=RB&amp;originationContext=document&amp;vr=3.0&amp;rs=cblt1.0&amp;transitionType=DocumentItem&amp;contextData=(sc.Search)" TargetMode="External"/><Relationship Id="rId6" Type="http://schemas.openxmlformats.org/officeDocument/2006/relationships/hyperlink" Target="https://www.westlaw.com/Link/Document/FullText?findType=Y&amp;serNum=0295707884&amp;pubNum=0119215&amp;originatingDoc=I155fc780829211f0a90cbafb7d974b2d&amp;refType=TS&amp;originationContext=document&amp;vr=3.0&amp;rs=cblt1.0&amp;transitionType=DocumentItem&amp;contextData=(sc.Search)" TargetMode="External"/><Relationship Id="rId11" Type="http://schemas.openxmlformats.org/officeDocument/2006/relationships/hyperlink" Target="https://www.westlaw.com/Link/Document/FullText?findType=Y&amp;serNum=1998107006&amp;pubNum=0001013&amp;originatingDoc=I155fc780829211f0a90cbafb7d974b2d&amp;refType=RP&amp;originationContext=document&amp;vr=3.0&amp;rs=cblt1.0&amp;transitionType=DocumentItem&amp;contextData=(sc.Search)" TargetMode="External"/><Relationship Id="rId24" Type="http://schemas.openxmlformats.org/officeDocument/2006/relationships/hyperlink" Target="https://www.westlaw.com/Link/Document/FullText?findType=Y&amp;serNum=2078393875&amp;originatingDoc=I155fc780829211f0a90cbafb7d974b2d&amp;refType=RP&amp;originationContext=document&amp;vr=3.0&amp;rs=cblt1.0&amp;transitionType=DocumentItem&amp;contextData=(sc.Search)" TargetMode="External"/><Relationship Id="rId32" Type="http://schemas.openxmlformats.org/officeDocument/2006/relationships/hyperlink" Target="https://www.westlaw.com/Link/Document/FullText?findType=Y&amp;serNum=0516559886&amp;pubNum=0001206&amp;originatingDoc=I155fc780829211f0a90cbafb7d974b2d&amp;refType=LR&amp;fi=co_pp_sp_1206_1326&amp;originationContext=document&amp;vr=3.0&amp;rs=cblt1.0&amp;transitionType=DocumentItem&amp;contextData=(sc.Search)" TargetMode="External"/><Relationship Id="rId5" Type="http://schemas.openxmlformats.org/officeDocument/2006/relationships/hyperlink" Target="https://www.westlaw.com/Link/Document/FullText?findType=Y&amp;serNum=1995073454&amp;pubNum=0000780&amp;originatingDoc=I155fc780829211f0a90cbafb7d974b2d&amp;refType=RP&amp;fi=co_pp_sp_780_166&amp;originationContext=document&amp;vr=3.0&amp;rs=cblt1.0&amp;transitionType=DocumentItem&amp;contextData=(sc.Search)" TargetMode="External"/><Relationship Id="rId15" Type="http://schemas.openxmlformats.org/officeDocument/2006/relationships/hyperlink" Target="https://www.westlaw.com/Link/Document/FullText?findType=Y&amp;serNum=2019254728&amp;pubNum=0000506&amp;originatingDoc=I155fc780829211f0a90cbafb7d974b2d&amp;refType=RP&amp;fi=co_pp_sp_506_1174&amp;originationContext=document&amp;vr=3.0&amp;rs=cblt1.0&amp;transitionType=DocumentItem&amp;contextData=(sc.Search)" TargetMode="External"/><Relationship Id="rId23" Type="http://schemas.openxmlformats.org/officeDocument/2006/relationships/hyperlink" Target="https://www.westlaw.com/Link/Document/FullText?findType=Y&amp;serNum=2078393875&amp;pubNum=0008173&amp;originatingDoc=I155fc780829211f0a90cbafb7d974b2d&amp;refType=RP&amp;fi=co_pp_sp_8173_1358&amp;originationContext=document&amp;vr=3.0&amp;rs=cblt1.0&amp;transitionType=DocumentItem&amp;contextData=(sc.Search)" TargetMode="External"/><Relationship Id="rId28" Type="http://schemas.openxmlformats.org/officeDocument/2006/relationships/hyperlink" Target="https://www.westlaw.com/Link/Document/FullText?findType=Y&amp;serNum=2038846545&amp;pubNum=0000506&amp;originatingDoc=I155fc780829211f0a90cbafb7d974b2d&amp;refType=RP&amp;fi=co_pp_sp_506_606&amp;originationContext=document&amp;vr=3.0&amp;rs=cblt1.0&amp;transitionType=DocumentItem&amp;contextData=(sc.Search)" TargetMode="External"/><Relationship Id="rId10" Type="http://schemas.openxmlformats.org/officeDocument/2006/relationships/hyperlink" Target="https://www.westlaw.com/Link/Document/FullText?findType=Y&amp;serNum=2040425367&amp;pubNum=0001013&amp;originatingDoc=I155fc780829211f0a90cbafb7d974b2d&amp;refType=RP&amp;originationContext=document&amp;vr=3.0&amp;rs=cblt1.0&amp;transitionType=DocumentItem&amp;contextData=(sc.Search)" TargetMode="External"/><Relationship Id="rId19" Type="http://schemas.openxmlformats.org/officeDocument/2006/relationships/hyperlink" Target="https://www.westlaw.com/Link/Document/FullText?findType=Y&amp;serNum=2042483933&amp;pubNum=0000506&amp;originatingDoc=I155fc780829211f0a90cbafb7d974b2d&amp;refType=RP&amp;fi=co_pp_sp_506_1322&amp;originationContext=document&amp;vr=3.0&amp;rs=cblt1.0&amp;transitionType=DocumentItem&amp;contextData=(sc.Search)" TargetMode="External"/><Relationship Id="rId31" Type="http://schemas.openxmlformats.org/officeDocument/2006/relationships/hyperlink" Target="https://www.westlaw.com/Link/Document/FullText?findType=Y&amp;serNum=0516559886&amp;pubNum=0001206&amp;originatingDoc=I155fc780829211f0a90cbafb7d974b2d&amp;refType=LR&amp;fi=co_pp_sp_1206_1325&amp;originationContext=document&amp;vr=3.0&amp;rs=cblt1.0&amp;transitionType=DocumentItem&amp;contextData=(sc.Search)" TargetMode="External"/><Relationship Id="rId4" Type="http://schemas.openxmlformats.org/officeDocument/2006/relationships/hyperlink" Target="https://www.westlaw.com/Link/Document/FullText?findType=Y&amp;serNum=1982124667&amp;pubNum=0000708&amp;originatingDoc=I155fc780829211f0a90cbafb7d974b2d&amp;refType=RP&amp;fi=co_pp_sp_708_851&amp;originationContext=document&amp;vr=3.0&amp;rs=cblt1.0&amp;transitionType=DocumentItem&amp;contextData=(sc.Search)" TargetMode="External"/><Relationship Id="rId9" Type="http://schemas.openxmlformats.org/officeDocument/2006/relationships/hyperlink" Target="https://www.westlaw.com/Link/Document/FullText?findType=Y&amp;serNum=2022912251&amp;pubNum=0000999&amp;originatingDoc=I155fc780829211f0a90cbafb7d974b2d&amp;refType=RP&amp;fi=co_pp_sp_999_5&amp;originationContext=document&amp;vr=3.0&amp;rs=cblt1.0&amp;transitionType=DocumentItem&amp;contextData=(sc.Search)" TargetMode="External"/><Relationship Id="rId14" Type="http://schemas.openxmlformats.org/officeDocument/2006/relationships/hyperlink" Target="https://www.westlaw.com/Link/Document/FullText?findType=Y&amp;serNum=2023240484&amp;pubNum=0000506&amp;originatingDoc=I155fc780829211f0a90cbafb7d974b2d&amp;refType=RP&amp;fi=co_pp_sp_506_1356&amp;originationContext=document&amp;vr=3.0&amp;rs=cblt1.0&amp;transitionType=DocumentItem&amp;contextData=(sc.Search)" TargetMode="External"/><Relationship Id="rId22" Type="http://schemas.openxmlformats.org/officeDocument/2006/relationships/hyperlink" Target="https://www.westlaw.com/Link/Document/FullText?findType=Y&amp;serNum=1975110046&amp;pubNum=0000350&amp;originatingDoc=I155fc780829211f0a90cbafb7d974b2d&amp;refType=RP&amp;fi=co_pp_sp_350_567&amp;originationContext=document&amp;vr=3.0&amp;rs=cblt1.0&amp;transitionType=DocumentItem&amp;contextData=(sc.Search)" TargetMode="External"/><Relationship Id="rId27" Type="http://schemas.openxmlformats.org/officeDocument/2006/relationships/hyperlink" Target="https://www.westlaw.com/Link/Document/FullText?findType=Y&amp;serNum=2055495568&amp;pubNum=0008173&amp;originatingDoc=I155fc780829211f0a90cbafb7d974b2d&amp;refType=RP&amp;fi=co_pp_sp_8173_1353&amp;originationContext=document&amp;vr=3.0&amp;rs=cblt1.0&amp;transitionType=DocumentItem&amp;contextData=(sc.Search)" TargetMode="External"/><Relationship Id="rId30" Type="http://schemas.openxmlformats.org/officeDocument/2006/relationships/hyperlink" Target="https://www.westlaw.com/Link/Document/FullText?findType=Y&amp;serNum=0531239149&amp;pubNum=0001532&amp;originatingDoc=I155fc780829211f0a90cbafb7d974b2d&amp;refType=LR&amp;fi=co_pp_sp_1532_7&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7785-9485-4320-8074-4A4657D5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8140</Words>
  <Characters>46399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Michael</dc:creator>
  <cp:lastModifiedBy>Madison, Michael</cp:lastModifiedBy>
  <cp:revision>4</cp:revision>
  <cp:lastPrinted>2025-08-28T22:50:00Z</cp:lastPrinted>
  <dcterms:created xsi:type="dcterms:W3CDTF">2025-08-28T22:50:00Z</dcterms:created>
  <dcterms:modified xsi:type="dcterms:W3CDTF">2025-08-28T22:52:00Z</dcterms:modified>
</cp:coreProperties>
</file>