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EFC6D" w14:textId="77777777" w:rsidR="0040046D" w:rsidRPr="00475068" w:rsidRDefault="0040046D" w:rsidP="00475068">
      <w:pPr>
        <w:pStyle w:val="Heading7"/>
        <w:jc w:val="center"/>
        <w:rPr>
          <w:rFonts w:ascii="Georgia" w:hAnsi="Georgia"/>
          <w:b/>
          <w:bCs/>
          <w:color w:val="000000" w:themeColor="text1"/>
          <w:sz w:val="32"/>
          <w:szCs w:val="32"/>
        </w:rPr>
      </w:pPr>
      <w:bookmarkStart w:id="0" w:name="_Toc171715678"/>
      <w:r w:rsidRPr="00475068">
        <w:rPr>
          <w:rFonts w:ascii="Georgia" w:hAnsi="Georgia"/>
          <w:b/>
          <w:bCs/>
          <w:color w:val="000000" w:themeColor="text1"/>
          <w:sz w:val="32"/>
          <w:szCs w:val="32"/>
        </w:rPr>
        <w:t xml:space="preserve">In re </w:t>
      </w:r>
      <w:proofErr w:type="spellStart"/>
      <w:r w:rsidRPr="00475068">
        <w:rPr>
          <w:rFonts w:ascii="Georgia" w:hAnsi="Georgia"/>
          <w:b/>
          <w:bCs/>
          <w:color w:val="000000" w:themeColor="text1"/>
          <w:sz w:val="32"/>
          <w:szCs w:val="32"/>
        </w:rPr>
        <w:t>Slokevage</w:t>
      </w:r>
      <w:bookmarkEnd w:id="0"/>
      <w:proofErr w:type="spellEnd"/>
    </w:p>
    <w:p w14:paraId="70C6DDAD" w14:textId="77777777" w:rsidR="0040046D" w:rsidRPr="00475068" w:rsidRDefault="0040046D" w:rsidP="00475068">
      <w:pPr>
        <w:pStyle w:val="OpinionCitation"/>
        <w:jc w:val="center"/>
        <w:rPr>
          <w:rFonts w:ascii="Georgia" w:hAnsi="Georgia"/>
          <w:color w:val="000000" w:themeColor="text1"/>
        </w:rPr>
      </w:pPr>
      <w:r w:rsidRPr="00475068">
        <w:rPr>
          <w:rFonts w:ascii="Georgia" w:hAnsi="Georgia"/>
          <w:color w:val="000000" w:themeColor="text1"/>
        </w:rPr>
        <w:t>441 F.3d 957 (Fed. Cir. 2006)</w:t>
      </w:r>
    </w:p>
    <w:p w14:paraId="18332E43" w14:textId="77777777" w:rsidR="0040046D" w:rsidRPr="00475068" w:rsidRDefault="0040046D" w:rsidP="0040046D">
      <w:pPr>
        <w:pStyle w:val="NormalNoIndent"/>
        <w:rPr>
          <w:rFonts w:ascii="Georgia" w:hAnsi="Georgia"/>
        </w:rPr>
      </w:pPr>
      <w:r w:rsidRPr="00475068">
        <w:rPr>
          <w:rFonts w:ascii="Georgia" w:hAnsi="Georgia"/>
        </w:rPr>
        <w:t>LOURIE, Circuit Judge.</w:t>
      </w:r>
    </w:p>
    <w:p w14:paraId="7E826FEA" w14:textId="69992D0D" w:rsidR="0040046D" w:rsidRPr="00475068" w:rsidRDefault="0040046D" w:rsidP="0040046D">
      <w:pPr>
        <w:rPr>
          <w:rFonts w:ascii="Georgia" w:hAnsi="Georgia"/>
        </w:rPr>
      </w:pPr>
      <w:r w:rsidRPr="00475068">
        <w:rPr>
          <w:rFonts w:ascii="Georgia" w:hAnsi="Georgia"/>
        </w:rPr>
        <w:t xml:space="preserve">Joanne </w:t>
      </w:r>
      <w:proofErr w:type="spellStart"/>
      <w:r w:rsidRPr="00475068">
        <w:rPr>
          <w:rFonts w:ascii="Georgia" w:hAnsi="Georgia"/>
        </w:rPr>
        <w:t>Slokevage</w:t>
      </w:r>
      <w:proofErr w:type="spellEnd"/>
      <w:r w:rsidRPr="00475068">
        <w:rPr>
          <w:rFonts w:ascii="Georgia" w:hAnsi="Georgia"/>
        </w:rPr>
        <w:t xml:space="preserve"> (“</w:t>
      </w:r>
      <w:proofErr w:type="spellStart"/>
      <w:r w:rsidRPr="00475068">
        <w:rPr>
          <w:rFonts w:ascii="Georgia" w:hAnsi="Georgia"/>
        </w:rPr>
        <w:t>Slokevage</w:t>
      </w:r>
      <w:proofErr w:type="spellEnd"/>
      <w:r w:rsidRPr="00475068">
        <w:rPr>
          <w:rFonts w:ascii="Georgia" w:hAnsi="Georgia"/>
        </w:rPr>
        <w:t xml:space="preserve">”) appeals from the decision of the United States Patent and Trademark Office, Trademark Trial and Appeal Board (“Board”) sustaining the refusal of the examiner to register her trade dress mark for clothing. </w:t>
      </w:r>
      <w:r w:rsidRPr="00475068">
        <w:rPr>
          <w:rFonts w:ascii="Georgia" w:hAnsi="Georgia"/>
          <w:i/>
          <w:iCs/>
        </w:rPr>
        <w:t xml:space="preserve">In re Joanne </w:t>
      </w:r>
      <w:proofErr w:type="spellStart"/>
      <w:r w:rsidRPr="00475068">
        <w:rPr>
          <w:rFonts w:ascii="Georgia" w:hAnsi="Georgia"/>
          <w:i/>
          <w:iCs/>
        </w:rPr>
        <w:t>Slokevage</w:t>
      </w:r>
      <w:proofErr w:type="spellEnd"/>
      <w:r w:rsidRPr="00475068">
        <w:rPr>
          <w:rFonts w:ascii="Georgia" w:hAnsi="Georgia"/>
          <w:i/>
          <w:iCs/>
        </w:rPr>
        <w:t>,</w:t>
      </w:r>
      <w:r w:rsidRPr="00475068">
        <w:rPr>
          <w:rFonts w:ascii="Georgia" w:hAnsi="Georgia"/>
        </w:rPr>
        <w:t xml:space="preserve"> Serial No. 75602873 (TTAB Nov. 10, 2004) (“</w:t>
      </w:r>
      <w:r w:rsidRPr="00475068">
        <w:rPr>
          <w:rFonts w:ascii="Georgia" w:hAnsi="Georgia"/>
          <w:i/>
          <w:iCs/>
        </w:rPr>
        <w:t>Final Decision</w:t>
      </w:r>
      <w:r w:rsidRPr="00475068">
        <w:rPr>
          <w:rFonts w:ascii="Georgia" w:hAnsi="Georgia"/>
        </w:rPr>
        <w:t xml:space="preserve">”). Because the Board’s finding that </w:t>
      </w:r>
      <w:proofErr w:type="spellStart"/>
      <w:r w:rsidRPr="00475068">
        <w:rPr>
          <w:rFonts w:ascii="Georgia" w:hAnsi="Georgia"/>
        </w:rPr>
        <w:t>Slokevage’s</w:t>
      </w:r>
      <w:proofErr w:type="spellEnd"/>
      <w:r w:rsidRPr="00475068">
        <w:rPr>
          <w:rFonts w:ascii="Georgia" w:hAnsi="Georgia"/>
        </w:rPr>
        <w:t xml:space="preserve"> trade dress was product design and thus could not be inherently distinctive . . . we affirm.</w:t>
      </w:r>
    </w:p>
    <w:p w14:paraId="6D0C7152" w14:textId="77777777" w:rsidR="0040046D" w:rsidRPr="00475068" w:rsidRDefault="0040046D" w:rsidP="0040046D">
      <w:pPr>
        <w:pStyle w:val="CntrdNoItal"/>
        <w:rPr>
          <w:rFonts w:ascii="Georgia" w:hAnsi="Georgia"/>
        </w:rPr>
      </w:pPr>
      <w:r w:rsidRPr="00475068">
        <w:rPr>
          <w:rFonts w:ascii="Georgia" w:hAnsi="Georgia"/>
        </w:rPr>
        <w:t>BACKGROUND</w:t>
      </w:r>
    </w:p>
    <w:p w14:paraId="116446CF" w14:textId="34623DFD" w:rsidR="0040046D" w:rsidRPr="00475068" w:rsidRDefault="0040046D" w:rsidP="0040046D">
      <w:pPr>
        <w:rPr>
          <w:rFonts w:ascii="Georgia" w:hAnsi="Georgia"/>
        </w:rPr>
      </w:pPr>
      <w:proofErr w:type="spellStart"/>
      <w:r w:rsidRPr="00475068">
        <w:rPr>
          <w:rFonts w:ascii="Georgia" w:hAnsi="Georgia"/>
        </w:rPr>
        <w:t>Slokevage</w:t>
      </w:r>
      <w:proofErr w:type="spellEnd"/>
      <w:r w:rsidRPr="00475068">
        <w:rPr>
          <w:rFonts w:ascii="Georgia" w:hAnsi="Georgia"/>
        </w:rPr>
        <w:t xml:space="preserve"> filed an application to register a mark on the Principal Register for “pants, overalls, shorts, culottes, dresses, skirts.” </w:t>
      </w:r>
      <w:proofErr w:type="spellStart"/>
      <w:r w:rsidRPr="00475068">
        <w:rPr>
          <w:rFonts w:ascii="Georgia" w:hAnsi="Georgia"/>
        </w:rPr>
        <w:t>Slokevage</w:t>
      </w:r>
      <w:proofErr w:type="spellEnd"/>
      <w:r w:rsidRPr="00475068">
        <w:rPr>
          <w:rFonts w:ascii="Georgia" w:hAnsi="Georgia"/>
        </w:rPr>
        <w:t xml:space="preserve"> described the mark in her application as a “configuration” that consists of a label with the words “FLASH DARE!” in a V-shaped background, and cut-out areas located on each side of the label. The cut-out areas consist of a hole in a garment and a flap attached to the garment with a closure device. This trade dress configuration, which is located on the rear of various garments, is depicted below:</w:t>
      </w:r>
    </w:p>
    <w:p w14:paraId="4EFD3BF4" w14:textId="77777777" w:rsidR="0040046D" w:rsidRPr="00475068" w:rsidRDefault="0040046D" w:rsidP="0040046D">
      <w:pPr>
        <w:pStyle w:val="Normal-Centered"/>
        <w:rPr>
          <w:rFonts w:ascii="Georgia" w:hAnsi="Georgia"/>
        </w:rPr>
      </w:pPr>
      <w:r w:rsidRPr="00475068">
        <w:rPr>
          <w:rFonts w:ascii="Georgia" w:hAnsi="Georgia"/>
          <w:noProof/>
        </w:rPr>
        <w:drawing>
          <wp:inline distT="0" distB="0" distL="0" distR="0" wp14:anchorId="202DA95C" wp14:editId="34DBA6C2">
            <wp:extent cx="3103880" cy="2438578"/>
            <wp:effectExtent l="0" t="0" r="1270" b="0"/>
            <wp:docPr id="39" name="Picture 13" descr="A drawing of a coll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3" descr="A drawing of a colla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3932" cy="2446476"/>
                    </a:xfrm>
                    <a:prstGeom prst="rect">
                      <a:avLst/>
                    </a:prstGeom>
                    <a:noFill/>
                    <a:ln>
                      <a:noFill/>
                    </a:ln>
                  </pic:spPr>
                </pic:pic>
              </a:graphicData>
            </a:graphic>
          </wp:inline>
        </w:drawing>
      </w:r>
    </w:p>
    <w:p w14:paraId="63F1E7CA" w14:textId="77777777" w:rsidR="0040046D" w:rsidRPr="00475068" w:rsidRDefault="0040046D" w:rsidP="0040046D">
      <w:pPr>
        <w:rPr>
          <w:rFonts w:ascii="Georgia" w:hAnsi="Georgia"/>
        </w:rPr>
      </w:pPr>
    </w:p>
    <w:p w14:paraId="52561CA7" w14:textId="37F0ECD3" w:rsidR="0040046D" w:rsidRPr="00475068" w:rsidRDefault="0040046D" w:rsidP="0040046D">
      <w:pPr>
        <w:rPr>
          <w:rFonts w:ascii="Georgia" w:hAnsi="Georgia"/>
        </w:rPr>
      </w:pPr>
      <w:r w:rsidRPr="00475068">
        <w:rPr>
          <w:rFonts w:ascii="Georgia" w:hAnsi="Georgia"/>
        </w:rPr>
        <w:t xml:space="preserve">Although </w:t>
      </w:r>
      <w:proofErr w:type="spellStart"/>
      <w:r w:rsidRPr="00475068">
        <w:rPr>
          <w:rFonts w:ascii="Georgia" w:hAnsi="Georgia"/>
        </w:rPr>
        <w:t>Slokevage</w:t>
      </w:r>
      <w:proofErr w:type="spellEnd"/>
      <w:r w:rsidRPr="00475068">
        <w:rPr>
          <w:rFonts w:ascii="Georgia" w:hAnsi="Georgia"/>
        </w:rPr>
        <w:t xml:space="preserve"> currently seeks to register a mark for the overall configuration of her design, she has already received protection for various aspects of the trade dress configuration. For example, she received a design patent for the cut-out area design. She also registered on the Supplemental Register</w:t>
      </w:r>
      <w:r w:rsidRPr="00475068">
        <w:rPr>
          <w:rStyle w:val="FootnoteReference"/>
          <w:rFonts w:ascii="Georgia" w:hAnsi="Georgia"/>
        </w:rPr>
        <w:footnoteReference w:customMarkFollows="1" w:id="1"/>
        <w:t>1</w:t>
      </w:r>
      <w:r w:rsidRPr="00475068">
        <w:rPr>
          <w:rFonts w:ascii="Georgia" w:hAnsi="Georgia"/>
        </w:rPr>
        <w:t xml:space="preserve"> a design </w:t>
      </w:r>
      <w:r w:rsidRPr="00475068">
        <w:rPr>
          <w:rFonts w:ascii="Georgia" w:hAnsi="Georgia"/>
        </w:rPr>
        <w:lastRenderedPageBreak/>
        <w:t>mark for the cut-out area. In addition, she registered the word mark “FLASH DARE!” on the Principal Register.</w:t>
      </w:r>
    </w:p>
    <w:p w14:paraId="4C961E90" w14:textId="30BA334B" w:rsidR="0040046D" w:rsidRPr="00475068" w:rsidRDefault="0040046D" w:rsidP="0040046D">
      <w:pPr>
        <w:rPr>
          <w:rFonts w:ascii="Georgia" w:hAnsi="Georgia"/>
        </w:rPr>
      </w:pPr>
      <w:r w:rsidRPr="00475068">
        <w:rPr>
          <w:rFonts w:ascii="Georgia" w:hAnsi="Georgia"/>
        </w:rPr>
        <w:t xml:space="preserve">The trademark examiner initially refused registration of the proposed mark on the ground that it constituted a clothing configuration that is not inherently distinctive. The examiner afforded </w:t>
      </w:r>
      <w:proofErr w:type="spellStart"/>
      <w:r w:rsidRPr="00475068">
        <w:rPr>
          <w:rFonts w:ascii="Georgia" w:hAnsi="Georgia"/>
        </w:rPr>
        <w:t>Slokevage</w:t>
      </w:r>
      <w:proofErr w:type="spellEnd"/>
      <w:r w:rsidRPr="00475068">
        <w:rPr>
          <w:rFonts w:ascii="Georgia" w:hAnsi="Georgia"/>
        </w:rPr>
        <w:t xml:space="preserve"> the opportunity to submit evidence of acquired distinctiveness or to disclaim the design elements of the configuration, but </w:t>
      </w:r>
      <w:proofErr w:type="spellStart"/>
      <w:r w:rsidRPr="00475068">
        <w:rPr>
          <w:rFonts w:ascii="Georgia" w:hAnsi="Georgia"/>
        </w:rPr>
        <w:t>Slokevage</w:t>
      </w:r>
      <w:proofErr w:type="spellEnd"/>
      <w:r w:rsidRPr="00475068">
        <w:rPr>
          <w:rFonts w:ascii="Georgia" w:hAnsi="Georgia"/>
        </w:rPr>
        <w:t xml:space="preserve"> chose not to submit evidence of acquired distinctiveness or to disclaim the design elements. Rather, she argued that the trade dress was inherently distinctive. The examiner, relying on section 2(f) of the Trademark Act, 15 U.S.C. § 1052(f), made final his refusal to register the mark on the ground that the clothing configuration constitutes “product design/configuration,” and pursuant to the decision of the U.S. Supreme Court in </w:t>
      </w:r>
      <w:r w:rsidRPr="00475068">
        <w:rPr>
          <w:rFonts w:ascii="Georgia" w:hAnsi="Georgia"/>
          <w:i/>
          <w:iCs/>
        </w:rPr>
        <w:t>Wal-Mart Stores, Inc. v. Samara Brothers, Inc.,</w:t>
      </w:r>
      <w:r w:rsidRPr="00475068">
        <w:rPr>
          <w:rFonts w:ascii="Georgia" w:hAnsi="Georgia"/>
        </w:rPr>
        <w:t xml:space="preserve"> 529 U.S. 205, 120 </w:t>
      </w:r>
      <w:proofErr w:type="spellStart"/>
      <w:r w:rsidRPr="00475068">
        <w:rPr>
          <w:rFonts w:ascii="Georgia" w:hAnsi="Georgia"/>
        </w:rPr>
        <w:t>S.Ct</w:t>
      </w:r>
      <w:proofErr w:type="spellEnd"/>
      <w:r w:rsidRPr="00475068">
        <w:rPr>
          <w:rFonts w:ascii="Georgia" w:hAnsi="Georgia"/>
        </w:rPr>
        <w:t xml:space="preserve">. 1339, 146 L.Ed.2d 182 (2000), “product design” cannot be inherently distinctive. The examiner noted that </w:t>
      </w:r>
      <w:proofErr w:type="spellStart"/>
      <w:r w:rsidRPr="00475068">
        <w:rPr>
          <w:rFonts w:ascii="Georgia" w:hAnsi="Georgia"/>
        </w:rPr>
        <w:t>Slokevage’s</w:t>
      </w:r>
      <w:proofErr w:type="spellEnd"/>
      <w:r w:rsidRPr="00475068">
        <w:rPr>
          <w:rFonts w:ascii="Georgia" w:hAnsi="Georgia"/>
        </w:rPr>
        <w:t xml:space="preserve"> reference in her application to the trade dress as a “cut-away flap design” supported a determination that the configuration constitutes product design </w:t>
      </w:r>
      <w:proofErr w:type="gramStart"/>
      <w:r w:rsidRPr="00475068">
        <w:rPr>
          <w:rFonts w:ascii="Georgia" w:hAnsi="Georgia"/>
        </w:rPr>
        <w:t>. . . .</w:t>
      </w:r>
      <w:proofErr w:type="gramEnd"/>
    </w:p>
    <w:p w14:paraId="361F69BB" w14:textId="724E9983" w:rsidR="0040046D" w:rsidRPr="00475068" w:rsidRDefault="0040046D" w:rsidP="0040046D">
      <w:pPr>
        <w:rPr>
          <w:rFonts w:ascii="Georgia" w:hAnsi="Georgia"/>
        </w:rPr>
      </w:pPr>
      <w:proofErr w:type="spellStart"/>
      <w:r w:rsidRPr="00475068">
        <w:rPr>
          <w:rFonts w:ascii="Georgia" w:hAnsi="Georgia"/>
        </w:rPr>
        <w:t>Slokevage</w:t>
      </w:r>
      <w:proofErr w:type="spellEnd"/>
      <w:r w:rsidRPr="00475068">
        <w:rPr>
          <w:rFonts w:ascii="Georgia" w:hAnsi="Georgia"/>
        </w:rPr>
        <w:t xml:space="preserve"> appealed the refusal of the examiner to register the trade dress configuration, and the Board affirmed the examiner’s decision. The Board found that the cut-out areas, consisting of the holes and flaps, constituted product design. Relying on </w:t>
      </w:r>
      <w:r w:rsidRPr="00475068">
        <w:rPr>
          <w:rFonts w:ascii="Georgia" w:hAnsi="Georgia"/>
          <w:i/>
          <w:iCs/>
        </w:rPr>
        <w:t>Wal-Mart,</w:t>
      </w:r>
      <w:r w:rsidRPr="00475068">
        <w:rPr>
          <w:rFonts w:ascii="Georgia" w:hAnsi="Georgia"/>
        </w:rPr>
        <w:t xml:space="preserve"> the Board observed that a product design “will not be regarded as a source indicator at the time of its introduction.” According to the Board, </w:t>
      </w:r>
      <w:proofErr w:type="spellStart"/>
      <w:r w:rsidRPr="00475068">
        <w:rPr>
          <w:rFonts w:ascii="Georgia" w:hAnsi="Georgia"/>
        </w:rPr>
        <w:t>Slokevage’s</w:t>
      </w:r>
      <w:proofErr w:type="spellEnd"/>
      <w:r w:rsidRPr="00475068">
        <w:rPr>
          <w:rFonts w:ascii="Georgia" w:hAnsi="Georgia"/>
        </w:rPr>
        <w:t xml:space="preserve"> trade dress, as product design, could not be inherently distinctive, and therefore could not be registered absent a showing of acquired distinctiveness.</w:t>
      </w:r>
    </w:p>
    <w:p w14:paraId="6E280897" w14:textId="77777777" w:rsidR="0040046D" w:rsidRPr="00475068" w:rsidRDefault="0040046D" w:rsidP="0040046D">
      <w:pPr>
        <w:rPr>
          <w:rFonts w:ascii="Georgia" w:hAnsi="Georgia"/>
        </w:rPr>
      </w:pPr>
      <w:r w:rsidRPr="00475068">
        <w:rPr>
          <w:rFonts w:ascii="Georgia" w:hAnsi="Georgia"/>
        </w:rPr>
        <w:t xml:space="preserve">. . . . </w:t>
      </w:r>
    </w:p>
    <w:p w14:paraId="10DE8B02" w14:textId="77777777" w:rsidR="0040046D" w:rsidRPr="00475068" w:rsidRDefault="0040046D" w:rsidP="0040046D">
      <w:pPr>
        <w:pStyle w:val="Normal-Centered"/>
        <w:rPr>
          <w:rFonts w:ascii="Georgia" w:hAnsi="Georgia"/>
        </w:rPr>
      </w:pPr>
      <w:r w:rsidRPr="00475068">
        <w:rPr>
          <w:rFonts w:ascii="Georgia" w:hAnsi="Georgia"/>
        </w:rPr>
        <w:t>DISCUSSION</w:t>
      </w:r>
    </w:p>
    <w:p w14:paraId="448792D5" w14:textId="77777777" w:rsidR="0040046D" w:rsidRPr="00475068" w:rsidRDefault="0040046D" w:rsidP="0040046D">
      <w:pPr>
        <w:rPr>
          <w:rFonts w:ascii="Georgia" w:hAnsi="Georgia"/>
        </w:rPr>
      </w:pPr>
      <w:r w:rsidRPr="00475068">
        <w:rPr>
          <w:rFonts w:ascii="Georgia" w:hAnsi="Georgia"/>
        </w:rPr>
        <w:t>. . . .</w:t>
      </w:r>
    </w:p>
    <w:p w14:paraId="2018DDAE" w14:textId="4C642B8D" w:rsidR="0040046D" w:rsidRPr="00475068" w:rsidRDefault="0040046D" w:rsidP="0040046D">
      <w:pPr>
        <w:rPr>
          <w:rFonts w:ascii="Georgia" w:hAnsi="Georgia"/>
        </w:rPr>
      </w:pPr>
      <w:r w:rsidRPr="00475068">
        <w:rPr>
          <w:rFonts w:ascii="Georgia" w:hAnsi="Georgia"/>
        </w:rPr>
        <w:t xml:space="preserve">As a preliminary matter, </w:t>
      </w:r>
      <w:proofErr w:type="spellStart"/>
      <w:r w:rsidRPr="00475068">
        <w:rPr>
          <w:rFonts w:ascii="Georgia" w:hAnsi="Georgia"/>
        </w:rPr>
        <w:t>Slokevage</w:t>
      </w:r>
      <w:proofErr w:type="spellEnd"/>
      <w:r w:rsidRPr="00475068">
        <w:rPr>
          <w:rFonts w:ascii="Georgia" w:hAnsi="Georgia"/>
        </w:rPr>
        <w:t xml:space="preserve"> argues that whether trade dress is product design or not is a legal determination, whereas the government asserts that it is a factual issue. The resolution of that question is an issue of first impression for this court. We conclude that the determination whether trade dress is product design is a factual finding because it is akin to determining whether a trademark is inherently distinctive or whether a mark is descriptive, which are questions of fact</w:t>
      </w:r>
      <w:proofErr w:type="gramStart"/>
      <w:r w:rsidRPr="00475068">
        <w:rPr>
          <w:rFonts w:ascii="Georgia" w:hAnsi="Georgia"/>
        </w:rPr>
        <w:t>. . . .</w:t>
      </w:r>
      <w:proofErr w:type="gramEnd"/>
      <w:r w:rsidRPr="00475068">
        <w:rPr>
          <w:rFonts w:ascii="Georgia" w:hAnsi="Georgia"/>
        </w:rPr>
        <w:t xml:space="preserve"> Inherent distinctiveness or descriptiveness involves consumer perception and whether consumers are predisposed towards equating a symbol with a source. </w:t>
      </w:r>
      <w:r w:rsidRPr="00475068">
        <w:rPr>
          <w:rFonts w:ascii="Georgia" w:hAnsi="Georgia"/>
          <w:i/>
          <w:iCs/>
        </w:rPr>
        <w:t>See In re MBNA Am. Bank, N.A.,</w:t>
      </w:r>
      <w:r w:rsidRPr="00475068">
        <w:rPr>
          <w:rFonts w:ascii="Georgia" w:hAnsi="Georgia"/>
        </w:rPr>
        <w:t xml:space="preserve"> 340 F.3d 1328, 1332 (Fed. Cir. 2003). Such issues </w:t>
      </w:r>
      <w:r w:rsidRPr="00475068">
        <w:rPr>
          <w:rFonts w:ascii="Georgia" w:hAnsi="Georgia"/>
        </w:rPr>
        <w:lastRenderedPageBreak/>
        <w:t xml:space="preserve">are determined based on testimony, surveys, and other evidence as questions of fact. Determining whether trade dress is product design or product packaging involves a similar inquiry. </w:t>
      </w:r>
      <w:r w:rsidRPr="00475068">
        <w:rPr>
          <w:rFonts w:ascii="Georgia" w:hAnsi="Georgia"/>
          <w:i/>
          <w:iCs/>
        </w:rPr>
        <w:t>Wal-Mart,</w:t>
      </w:r>
      <w:r w:rsidRPr="00475068">
        <w:rPr>
          <w:rFonts w:ascii="Georgia" w:hAnsi="Georgia"/>
        </w:rPr>
        <w:t xml:space="preserve"> 529 U.S. at 213 (discussing product packaging and design in the context of consumers ability to equate the product with the source). We therefore will defer to the Board’s finding on product design, affirming the Board if its decision is supported by substantial evidence </w:t>
      </w:r>
      <w:proofErr w:type="gramStart"/>
      <w:r w:rsidRPr="00475068">
        <w:rPr>
          <w:rFonts w:ascii="Georgia" w:hAnsi="Georgia"/>
        </w:rPr>
        <w:t>. . . .</w:t>
      </w:r>
      <w:proofErr w:type="gramEnd"/>
    </w:p>
    <w:p w14:paraId="74FD300E" w14:textId="77777777" w:rsidR="0040046D" w:rsidRPr="00475068" w:rsidRDefault="0040046D" w:rsidP="0040046D">
      <w:pPr>
        <w:pStyle w:val="Normal-Centered"/>
        <w:keepNext/>
        <w:rPr>
          <w:rFonts w:ascii="Georgia" w:hAnsi="Georgia"/>
        </w:rPr>
      </w:pPr>
      <w:r w:rsidRPr="00475068">
        <w:rPr>
          <w:rFonts w:ascii="Georgia" w:hAnsi="Georgia"/>
        </w:rPr>
        <w:t>I. Trade Dress and Product Design</w:t>
      </w:r>
    </w:p>
    <w:p w14:paraId="30296CBE" w14:textId="39E7AEE4" w:rsidR="0040046D" w:rsidRPr="00475068" w:rsidRDefault="0040046D" w:rsidP="0040046D">
      <w:pPr>
        <w:rPr>
          <w:rFonts w:ascii="Georgia" w:hAnsi="Georgia"/>
        </w:rPr>
      </w:pPr>
      <w:r w:rsidRPr="00475068">
        <w:rPr>
          <w:rFonts w:ascii="Georgia" w:hAnsi="Georgia"/>
        </w:rPr>
        <w:t xml:space="preserve">On appeal, </w:t>
      </w:r>
      <w:proofErr w:type="spellStart"/>
      <w:r w:rsidRPr="00475068">
        <w:rPr>
          <w:rFonts w:ascii="Georgia" w:hAnsi="Georgia"/>
        </w:rPr>
        <w:t>Slokevage</w:t>
      </w:r>
      <w:proofErr w:type="spellEnd"/>
      <w:r w:rsidRPr="00475068">
        <w:rPr>
          <w:rFonts w:ascii="Georgia" w:hAnsi="Georgia"/>
        </w:rPr>
        <w:t xml:space="preserve"> argues that the Board erred in determining that the trade dress</w:t>
      </w:r>
      <w:r w:rsidRPr="00475068">
        <w:rPr>
          <w:rStyle w:val="FootnoteReference"/>
          <w:rFonts w:ascii="Georgia" w:hAnsi="Georgia"/>
        </w:rPr>
        <w:footnoteReference w:customMarkFollows="1" w:id="2"/>
        <w:t>2</w:t>
      </w:r>
      <w:r w:rsidRPr="00475068">
        <w:rPr>
          <w:rFonts w:ascii="Georgia" w:hAnsi="Georgia"/>
        </w:rPr>
        <w:t xml:space="preserve"> for which she seeks protection is product design and thus that it cannot be inherently distinctive. She asserts that the Board’s reliance on the Supreme Court’s decision in </w:t>
      </w:r>
      <w:r w:rsidRPr="00475068">
        <w:rPr>
          <w:rFonts w:ascii="Georgia" w:hAnsi="Georgia"/>
          <w:i/>
          <w:iCs/>
        </w:rPr>
        <w:t>Wal-Mart</w:t>
      </w:r>
      <w:r w:rsidRPr="00475068">
        <w:rPr>
          <w:rFonts w:ascii="Georgia" w:hAnsi="Georgia"/>
        </w:rPr>
        <w:t xml:space="preserve"> to support its position that </w:t>
      </w:r>
      <w:proofErr w:type="spellStart"/>
      <w:r w:rsidRPr="00475068">
        <w:rPr>
          <w:rFonts w:ascii="Georgia" w:hAnsi="Georgia"/>
        </w:rPr>
        <w:t>Slokevage’s</w:t>
      </w:r>
      <w:proofErr w:type="spellEnd"/>
      <w:r w:rsidRPr="00475068">
        <w:rPr>
          <w:rFonts w:ascii="Georgia" w:hAnsi="Georgia"/>
        </w:rPr>
        <w:t xml:space="preserve"> trade dress is product design is misplaced. In particular, she contends that </w:t>
      </w:r>
      <w:r w:rsidRPr="00475068">
        <w:rPr>
          <w:rFonts w:ascii="Georgia" w:hAnsi="Georgia"/>
          <w:i/>
          <w:iCs/>
        </w:rPr>
        <w:t>Wal-Mart</w:t>
      </w:r>
      <w:r w:rsidRPr="00475068">
        <w:rPr>
          <w:rFonts w:ascii="Georgia" w:hAnsi="Georgia"/>
        </w:rPr>
        <w:t xml:space="preserve"> does not provide guidance on how to determine whether trade dress is product design. Moreover, she maintains that the trade dress at issue in </w:t>
      </w:r>
      <w:r w:rsidRPr="00475068">
        <w:rPr>
          <w:rFonts w:ascii="Georgia" w:hAnsi="Georgia"/>
          <w:i/>
          <w:iCs/>
        </w:rPr>
        <w:t>Wal-Mart,</w:t>
      </w:r>
      <w:r w:rsidRPr="00475068">
        <w:rPr>
          <w:rFonts w:ascii="Georgia" w:hAnsi="Georgia"/>
        </w:rPr>
        <w:t xml:space="preserve"> which was classified as product design without explanation, is different from </w:t>
      </w:r>
      <w:proofErr w:type="spellStart"/>
      <w:r w:rsidRPr="00475068">
        <w:rPr>
          <w:rFonts w:ascii="Georgia" w:hAnsi="Georgia"/>
        </w:rPr>
        <w:t>Slokevage’s</w:t>
      </w:r>
      <w:proofErr w:type="spellEnd"/>
      <w:r w:rsidRPr="00475068">
        <w:rPr>
          <w:rFonts w:ascii="Georgia" w:hAnsi="Georgia"/>
        </w:rPr>
        <w:t xml:space="preserve"> trade dress because the </w:t>
      </w:r>
      <w:r w:rsidRPr="00475068">
        <w:rPr>
          <w:rFonts w:ascii="Georgia" w:hAnsi="Georgia"/>
          <w:i/>
          <w:iCs/>
        </w:rPr>
        <w:t>Wal-Mart</w:t>
      </w:r>
      <w:r w:rsidRPr="00475068">
        <w:rPr>
          <w:rFonts w:ascii="Georgia" w:hAnsi="Georgia"/>
        </w:rPr>
        <w:t xml:space="preserve"> trade dress implicated the overall appearance of the product and was a theme made up of many unique elements. </w:t>
      </w:r>
      <w:proofErr w:type="spellStart"/>
      <w:r w:rsidRPr="00475068">
        <w:rPr>
          <w:rFonts w:ascii="Georgia" w:hAnsi="Georgia"/>
        </w:rPr>
        <w:t>Slokevage</w:t>
      </w:r>
      <w:proofErr w:type="spellEnd"/>
      <w:r w:rsidRPr="00475068">
        <w:rPr>
          <w:rFonts w:ascii="Georgia" w:hAnsi="Georgia"/>
        </w:rPr>
        <w:t xml:space="preserve"> argues that her trade dress, in contrast, involves one component of a product design, which can be used with a variety of types of clothing. </w:t>
      </w:r>
      <w:proofErr w:type="spellStart"/>
      <w:r w:rsidRPr="00475068">
        <w:rPr>
          <w:rFonts w:ascii="Georgia" w:hAnsi="Georgia"/>
        </w:rPr>
        <w:t>Slokevage</w:t>
      </w:r>
      <w:proofErr w:type="spellEnd"/>
      <w:r w:rsidRPr="00475068">
        <w:rPr>
          <w:rFonts w:ascii="Georgia" w:hAnsi="Georgia"/>
        </w:rPr>
        <w:t xml:space="preserve"> further asserts that her trade dress is located on the rear hips of garments, which is a location that consumers frequently recognize as identifying the source of the garment.</w:t>
      </w:r>
    </w:p>
    <w:p w14:paraId="403D7EFA" w14:textId="082D4589" w:rsidR="0040046D" w:rsidRPr="00475068" w:rsidRDefault="0040046D" w:rsidP="0040046D">
      <w:pPr>
        <w:rPr>
          <w:rFonts w:ascii="Georgia" w:hAnsi="Georgia"/>
        </w:rPr>
      </w:pPr>
      <w:r w:rsidRPr="00475068">
        <w:rPr>
          <w:rFonts w:ascii="Georgia" w:hAnsi="Georgia"/>
        </w:rPr>
        <w:t xml:space="preserve">The PTO responds that the Board correctly concluded that </w:t>
      </w:r>
      <w:proofErr w:type="spellStart"/>
      <w:r w:rsidRPr="00475068">
        <w:rPr>
          <w:rFonts w:ascii="Georgia" w:hAnsi="Georgia"/>
        </w:rPr>
        <w:t>Slokevage’s</w:t>
      </w:r>
      <w:proofErr w:type="spellEnd"/>
      <w:r w:rsidRPr="00475068">
        <w:rPr>
          <w:rFonts w:ascii="Georgia" w:hAnsi="Georgia"/>
        </w:rPr>
        <w:t xml:space="preserve"> trade dress is product design and that it properly relied on </w:t>
      </w:r>
      <w:r w:rsidRPr="00475068">
        <w:rPr>
          <w:rFonts w:ascii="Georgia" w:hAnsi="Georgia"/>
          <w:i/>
          <w:iCs/>
        </w:rPr>
        <w:t>Wal-Mart</w:t>
      </w:r>
      <w:r w:rsidRPr="00475068">
        <w:rPr>
          <w:rFonts w:ascii="Georgia" w:hAnsi="Georgia"/>
        </w:rPr>
        <w:t xml:space="preserve"> for support of its determination. According to the PTO, in the </w:t>
      </w:r>
      <w:r w:rsidRPr="00475068">
        <w:rPr>
          <w:rFonts w:ascii="Georgia" w:hAnsi="Georgia"/>
          <w:i/>
          <w:iCs/>
        </w:rPr>
        <w:t>Wal-Mart</w:t>
      </w:r>
      <w:r w:rsidRPr="00475068">
        <w:rPr>
          <w:rFonts w:ascii="Georgia" w:hAnsi="Georgia"/>
        </w:rPr>
        <w:t xml:space="preserve"> decision the Supreme Court determined that a design of clothing is product design. The PTO further asserts that the trade dress at issue in </w:t>
      </w:r>
      <w:r w:rsidRPr="00475068">
        <w:rPr>
          <w:rFonts w:ascii="Georgia" w:hAnsi="Georgia"/>
          <w:i/>
          <w:iCs/>
        </w:rPr>
        <w:t>Wal-Mart,</w:t>
      </w:r>
      <w:r w:rsidRPr="00475068">
        <w:rPr>
          <w:rFonts w:ascii="Georgia" w:hAnsi="Georgia"/>
        </w:rPr>
        <w:t xml:space="preserve"> which was classified as product design, is </w:t>
      </w:r>
      <w:proofErr w:type="gramStart"/>
      <w:r w:rsidRPr="00475068">
        <w:rPr>
          <w:rFonts w:ascii="Georgia" w:hAnsi="Georgia"/>
        </w:rPr>
        <w:t>similar to</w:t>
      </w:r>
      <w:proofErr w:type="gramEnd"/>
      <w:r w:rsidRPr="00475068">
        <w:rPr>
          <w:rFonts w:ascii="Georgia" w:hAnsi="Georgia"/>
        </w:rPr>
        <w:t xml:space="preserve"> </w:t>
      </w:r>
      <w:proofErr w:type="spellStart"/>
      <w:r w:rsidRPr="00475068">
        <w:rPr>
          <w:rFonts w:ascii="Georgia" w:hAnsi="Georgia"/>
        </w:rPr>
        <w:t>Slokevage’s</w:t>
      </w:r>
      <w:proofErr w:type="spellEnd"/>
      <w:r w:rsidRPr="00475068">
        <w:rPr>
          <w:rFonts w:ascii="Georgia" w:hAnsi="Georgia"/>
        </w:rPr>
        <w:t xml:space="preserve"> trade dress. The trade dress in </w:t>
      </w:r>
      <w:r w:rsidRPr="00475068">
        <w:rPr>
          <w:rFonts w:ascii="Georgia" w:hAnsi="Georgia"/>
          <w:i/>
          <w:iCs/>
        </w:rPr>
        <w:t>Wal-Mart</w:t>
      </w:r>
      <w:r w:rsidRPr="00475068">
        <w:rPr>
          <w:rFonts w:ascii="Georgia" w:hAnsi="Georgia"/>
        </w:rPr>
        <w:t xml:space="preserve"> consists of design elements on a line of garments, and </w:t>
      </w:r>
      <w:proofErr w:type="spellStart"/>
      <w:r w:rsidRPr="00475068">
        <w:rPr>
          <w:rFonts w:ascii="Georgia" w:hAnsi="Georgia"/>
        </w:rPr>
        <w:t>Slokevage’s</w:t>
      </w:r>
      <w:proofErr w:type="spellEnd"/>
      <w:r w:rsidRPr="00475068">
        <w:rPr>
          <w:rFonts w:ascii="Georgia" w:hAnsi="Georgia"/>
        </w:rPr>
        <w:t xml:space="preserve"> trade dress similarly consists of a design component common to the overall design of a variety of garments. The PTO notes that </w:t>
      </w:r>
      <w:proofErr w:type="spellStart"/>
      <w:r w:rsidRPr="00475068">
        <w:rPr>
          <w:rFonts w:ascii="Georgia" w:hAnsi="Georgia"/>
        </w:rPr>
        <w:t>Slokevage’s</w:t>
      </w:r>
      <w:proofErr w:type="spellEnd"/>
      <w:r w:rsidRPr="00475068">
        <w:rPr>
          <w:rFonts w:ascii="Georgia" w:hAnsi="Georgia"/>
        </w:rPr>
        <w:t xml:space="preserve"> trade dress application refers to her trade dress as a “configuration” including a “clothing feature,” and that “product configuration” is synonymous with “product design.” The PTO also argues that under </w:t>
      </w:r>
      <w:r w:rsidRPr="00475068">
        <w:rPr>
          <w:rFonts w:ascii="Georgia" w:hAnsi="Georgia"/>
          <w:i/>
          <w:iCs/>
        </w:rPr>
        <w:t>Wal-Mart</w:t>
      </w:r>
      <w:r w:rsidRPr="00475068">
        <w:rPr>
          <w:rFonts w:ascii="Georgia" w:hAnsi="Georgia"/>
        </w:rPr>
        <w:t xml:space="preserve"> product design cannot be inherently distinctive, the rationale being that consumers perceive product design as making the product more useful or desirable, rather than indicating source. According to the PTO, the trade dress at issue here makes the product more desirable to consumers, rather than indicates source. Finally, the PTO notes that even if it were a close case as to whether </w:t>
      </w:r>
      <w:proofErr w:type="spellStart"/>
      <w:r w:rsidRPr="00475068">
        <w:rPr>
          <w:rFonts w:ascii="Georgia" w:hAnsi="Georgia"/>
        </w:rPr>
        <w:lastRenderedPageBreak/>
        <w:t>Slokevage’s</w:t>
      </w:r>
      <w:proofErr w:type="spellEnd"/>
      <w:r w:rsidRPr="00475068">
        <w:rPr>
          <w:rFonts w:ascii="Georgia" w:hAnsi="Georgia"/>
        </w:rPr>
        <w:t xml:space="preserve"> trade dress constitutes product design, the Court’s opinion in </w:t>
      </w:r>
      <w:r w:rsidRPr="00475068">
        <w:rPr>
          <w:rFonts w:ascii="Georgia" w:hAnsi="Georgia"/>
          <w:i/>
          <w:iCs/>
        </w:rPr>
        <w:t>Wal-Mart</w:t>
      </w:r>
      <w:r w:rsidRPr="00475068">
        <w:rPr>
          <w:rFonts w:ascii="Georgia" w:hAnsi="Georgia"/>
        </w:rPr>
        <w:t xml:space="preserve"> states that in “close cases,” trade dress should be categorized as product design, thereby requiring proof of acquired distinctiveness for protection. 529 U.S. at 215.</w:t>
      </w:r>
    </w:p>
    <w:p w14:paraId="123D2161" w14:textId="4BD1510A" w:rsidR="0040046D" w:rsidRPr="00475068" w:rsidRDefault="0040046D" w:rsidP="0040046D">
      <w:pPr>
        <w:rPr>
          <w:rFonts w:ascii="Georgia" w:hAnsi="Georgia"/>
        </w:rPr>
      </w:pPr>
      <w:r w:rsidRPr="00475068">
        <w:rPr>
          <w:rFonts w:ascii="Georgia" w:hAnsi="Georgia"/>
        </w:rPr>
        <w:t xml:space="preserve">We agree with the Board that </w:t>
      </w:r>
      <w:proofErr w:type="spellStart"/>
      <w:r w:rsidRPr="00475068">
        <w:rPr>
          <w:rFonts w:ascii="Georgia" w:hAnsi="Georgia"/>
        </w:rPr>
        <w:t>Slokevage’s</w:t>
      </w:r>
      <w:proofErr w:type="spellEnd"/>
      <w:r w:rsidRPr="00475068">
        <w:rPr>
          <w:rFonts w:ascii="Georgia" w:hAnsi="Georgia"/>
        </w:rPr>
        <w:t xml:space="preserve"> trade dress constitutes product design and therefore cannot be inherently distinctive</w:t>
      </w:r>
      <w:proofErr w:type="gramStart"/>
      <w:r w:rsidRPr="00475068">
        <w:rPr>
          <w:rFonts w:ascii="Georgia" w:hAnsi="Georgia"/>
        </w:rPr>
        <w:t>. . . .</w:t>
      </w:r>
      <w:proofErr w:type="gramEnd"/>
    </w:p>
    <w:p w14:paraId="4E363092" w14:textId="381ED648" w:rsidR="0040046D" w:rsidRPr="00475068" w:rsidRDefault="0040046D" w:rsidP="0040046D">
      <w:pPr>
        <w:rPr>
          <w:rFonts w:ascii="Georgia" w:hAnsi="Georgia"/>
        </w:rPr>
      </w:pPr>
      <w:r w:rsidRPr="00475068">
        <w:rPr>
          <w:rFonts w:ascii="Georgia" w:hAnsi="Georgia"/>
        </w:rPr>
        <w:t xml:space="preserve">Directly relevant to our discussion of product design is the Court’s discussion in </w:t>
      </w:r>
      <w:r w:rsidRPr="00475068">
        <w:rPr>
          <w:rFonts w:ascii="Georgia" w:hAnsi="Georgia"/>
          <w:i/>
          <w:iCs/>
        </w:rPr>
        <w:t>Wal-Mart</w:t>
      </w:r>
      <w:r w:rsidRPr="00475068">
        <w:rPr>
          <w:rFonts w:ascii="Georgia" w:hAnsi="Georgia"/>
        </w:rPr>
        <w:t>. . . . {T}he {</w:t>
      </w:r>
      <w:r w:rsidRPr="00475068">
        <w:rPr>
          <w:rFonts w:ascii="Georgia" w:hAnsi="Georgia"/>
          <w:i/>
          <w:iCs/>
        </w:rPr>
        <w:t>Wal-Mart</w:t>
      </w:r>
      <w:r w:rsidRPr="00475068">
        <w:rPr>
          <w:rFonts w:ascii="Georgia" w:hAnsi="Georgia"/>
        </w:rPr>
        <w:t xml:space="preserve">} Court established a bright-line rule—product design cannot be inherently distinctive, and always requires proof of acquired distinctiveness to be protected. The Court did not recite the factors that distinguish between product packaging and product design trade </w:t>
      </w:r>
      <w:proofErr w:type="gramStart"/>
      <w:r w:rsidRPr="00475068">
        <w:rPr>
          <w:rFonts w:ascii="Georgia" w:hAnsi="Georgia"/>
        </w:rPr>
        <w:t>dress, but</w:t>
      </w:r>
      <w:proofErr w:type="gramEnd"/>
      <w:r w:rsidRPr="00475068">
        <w:rPr>
          <w:rFonts w:ascii="Georgia" w:hAnsi="Georgia"/>
        </w:rPr>
        <w:t xml:space="preserve"> stated that in “close cases” courts should classify the trade dress as product design. </w:t>
      </w:r>
      <w:r w:rsidRPr="00475068">
        <w:rPr>
          <w:rFonts w:ascii="Georgia" w:hAnsi="Georgia"/>
          <w:i/>
          <w:iCs/>
        </w:rPr>
        <w:t>Id.</w:t>
      </w:r>
      <w:r w:rsidRPr="00475068">
        <w:rPr>
          <w:rFonts w:ascii="Georgia" w:hAnsi="Georgia"/>
        </w:rPr>
        <w:t xml:space="preserve"> at 215.</w:t>
      </w:r>
    </w:p>
    <w:p w14:paraId="0FF242EF" w14:textId="120F6658" w:rsidR="0040046D" w:rsidRPr="00475068" w:rsidRDefault="0040046D" w:rsidP="0040046D">
      <w:pPr>
        <w:rPr>
          <w:rFonts w:ascii="Georgia" w:hAnsi="Georgia"/>
        </w:rPr>
      </w:pPr>
      <w:r w:rsidRPr="00475068">
        <w:rPr>
          <w:rFonts w:ascii="Georgia" w:hAnsi="Georgia"/>
        </w:rPr>
        <w:t xml:space="preserve">Both parties agree that if we determine that the trade dress at issue is product design, then it cannot be inherently distinctive under the decision in </w:t>
      </w:r>
      <w:r w:rsidRPr="00475068">
        <w:rPr>
          <w:rFonts w:ascii="Georgia" w:hAnsi="Georgia"/>
          <w:i/>
          <w:iCs/>
        </w:rPr>
        <w:t>Wal-Mart.</w:t>
      </w:r>
      <w:r w:rsidRPr="00475068">
        <w:rPr>
          <w:rFonts w:ascii="Georgia" w:hAnsi="Georgia"/>
        </w:rPr>
        <w:t xml:space="preserve"> The issue pertinent to this appeal, however, is whether </w:t>
      </w:r>
      <w:proofErr w:type="spellStart"/>
      <w:r w:rsidRPr="00475068">
        <w:rPr>
          <w:rFonts w:ascii="Georgia" w:hAnsi="Georgia"/>
        </w:rPr>
        <w:t>Slokevage’s</w:t>
      </w:r>
      <w:proofErr w:type="spellEnd"/>
      <w:r w:rsidRPr="00475068">
        <w:rPr>
          <w:rFonts w:ascii="Georgia" w:hAnsi="Georgia"/>
        </w:rPr>
        <w:t xml:space="preserve"> proposed trade dress is product design. Although the decision in </w:t>
      </w:r>
      <w:r w:rsidRPr="00475068">
        <w:rPr>
          <w:rFonts w:ascii="Georgia" w:hAnsi="Georgia"/>
          <w:i/>
          <w:iCs/>
        </w:rPr>
        <w:t>Wal-Mart</w:t>
      </w:r>
      <w:r w:rsidRPr="00475068">
        <w:rPr>
          <w:rFonts w:ascii="Georgia" w:hAnsi="Georgia"/>
        </w:rPr>
        <w:t xml:space="preserve"> does not expressly address the issue of what constitutes product design, it is informative to this case because it provides examples of trade dress that are product design. The Court observed that a “cocktail shaker shaped like a penguin” is product design and that the trade dress at issue in that case, “a line of spring/summer one-piece seersucker outfits decorated with appliques of hearts, flowers, fruits, and the like” is product design. </w:t>
      </w:r>
      <w:r w:rsidRPr="00475068">
        <w:rPr>
          <w:rFonts w:ascii="Georgia" w:hAnsi="Georgia"/>
          <w:i/>
          <w:iCs/>
        </w:rPr>
        <w:t>Wal-Mart,</w:t>
      </w:r>
      <w:r w:rsidRPr="00475068">
        <w:rPr>
          <w:rFonts w:ascii="Georgia" w:hAnsi="Georgia"/>
        </w:rPr>
        <w:t xml:space="preserve"> 529 U.S. at 207. These examples demonstrate that product design can consist of design features incorporated into a product. </w:t>
      </w:r>
      <w:proofErr w:type="spellStart"/>
      <w:r w:rsidRPr="00475068">
        <w:rPr>
          <w:rFonts w:ascii="Georgia" w:hAnsi="Georgia"/>
        </w:rPr>
        <w:t>Slokevage</w:t>
      </w:r>
      <w:proofErr w:type="spellEnd"/>
      <w:r w:rsidRPr="00475068">
        <w:rPr>
          <w:rFonts w:ascii="Georgia" w:hAnsi="Georgia"/>
        </w:rPr>
        <w:t xml:space="preserve"> urges that her trade dress is not product design because it does not alter the entire product but is more akin to a label being placed on a garment. We do not agree. The holes and flaps portion are part of the design of the clothing—the cut-out area is not merely a design placed on top of a garment, but is a design incorporated into the garment itself. Moreover, while </w:t>
      </w:r>
      <w:proofErr w:type="spellStart"/>
      <w:r w:rsidRPr="00475068">
        <w:rPr>
          <w:rFonts w:ascii="Georgia" w:hAnsi="Georgia"/>
        </w:rPr>
        <w:t>Slokevage</w:t>
      </w:r>
      <w:proofErr w:type="spellEnd"/>
      <w:r w:rsidRPr="00475068">
        <w:rPr>
          <w:rFonts w:ascii="Georgia" w:hAnsi="Georgia"/>
        </w:rPr>
        <w:t xml:space="preserve"> urges that product design trade dress must implicate the entire product, we do not find support for that proposition. Just as the product design in </w:t>
      </w:r>
      <w:r w:rsidRPr="00475068">
        <w:rPr>
          <w:rFonts w:ascii="Georgia" w:hAnsi="Georgia"/>
          <w:i/>
          <w:iCs/>
        </w:rPr>
        <w:t>Wal-Mart</w:t>
      </w:r>
      <w:r w:rsidRPr="00475068">
        <w:rPr>
          <w:rFonts w:ascii="Georgia" w:hAnsi="Georgia"/>
        </w:rPr>
        <w:t xml:space="preserve"> consisted of certain design features featured on clothing, </w:t>
      </w:r>
      <w:proofErr w:type="spellStart"/>
      <w:r w:rsidRPr="00475068">
        <w:rPr>
          <w:rFonts w:ascii="Georgia" w:hAnsi="Georgia"/>
        </w:rPr>
        <w:t>Slokevage’s</w:t>
      </w:r>
      <w:proofErr w:type="spellEnd"/>
      <w:r w:rsidRPr="00475068">
        <w:rPr>
          <w:rFonts w:ascii="Georgia" w:hAnsi="Georgia"/>
        </w:rPr>
        <w:t xml:space="preserve"> trade dress similarly consists of design features, holes and flaps, featured in clothing, revealing the similarity between the two types of design.</w:t>
      </w:r>
    </w:p>
    <w:p w14:paraId="5BFE81E5" w14:textId="73D5FDCE" w:rsidR="0040046D" w:rsidRPr="00475068" w:rsidRDefault="0040046D" w:rsidP="0040046D">
      <w:pPr>
        <w:rPr>
          <w:rFonts w:ascii="Georgia" w:hAnsi="Georgia"/>
        </w:rPr>
      </w:pPr>
      <w:r w:rsidRPr="00475068">
        <w:rPr>
          <w:rFonts w:ascii="Georgia" w:hAnsi="Georgia"/>
        </w:rPr>
        <w:t xml:space="preserve">In addition, the reasoning behind the Supreme Court’s determination that product design cannot be inherently distinctive is also instructive to our case. The Court reasoned that, unlike a trademark whose “predominant function” remains source identification, product design often serves other functions, such as rendering the “product itself more useful or more appealing.” </w:t>
      </w:r>
      <w:r w:rsidRPr="00475068">
        <w:rPr>
          <w:rFonts w:ascii="Georgia" w:hAnsi="Georgia"/>
          <w:i/>
          <w:iCs/>
        </w:rPr>
        <w:t>Wal-Mart,</w:t>
      </w:r>
      <w:r w:rsidRPr="00475068">
        <w:rPr>
          <w:rFonts w:ascii="Georgia" w:hAnsi="Georgia"/>
        </w:rPr>
        <w:t xml:space="preserve"> 529 U.S. at 212, 213. The design at issue here can serve such utilitarian and aesthetic functions. For example, consumers may purchase </w:t>
      </w:r>
      <w:proofErr w:type="spellStart"/>
      <w:r w:rsidRPr="00475068">
        <w:rPr>
          <w:rFonts w:ascii="Georgia" w:hAnsi="Georgia"/>
        </w:rPr>
        <w:t>Slokevage’s</w:t>
      </w:r>
      <w:proofErr w:type="spellEnd"/>
      <w:r w:rsidRPr="00475068">
        <w:rPr>
          <w:rFonts w:ascii="Georgia" w:hAnsi="Georgia"/>
        </w:rPr>
        <w:t xml:space="preserve"> clothing for the utilitarian purpose of wearing a garment or because they find the appearance of </w:t>
      </w:r>
      <w:r w:rsidRPr="00475068">
        <w:rPr>
          <w:rFonts w:ascii="Georgia" w:hAnsi="Georgia"/>
        </w:rPr>
        <w:lastRenderedPageBreak/>
        <w:t xml:space="preserve">the garment particularly desirable. Consistent with the Supreme Court’s analysis in </w:t>
      </w:r>
      <w:r w:rsidRPr="00475068">
        <w:rPr>
          <w:rFonts w:ascii="Georgia" w:hAnsi="Georgia"/>
          <w:i/>
          <w:iCs/>
        </w:rPr>
        <w:t>Wal-Mart,</w:t>
      </w:r>
      <w:r w:rsidRPr="00475068">
        <w:rPr>
          <w:rFonts w:ascii="Georgia" w:hAnsi="Georgia"/>
        </w:rPr>
        <w:t xml:space="preserve"> in such cases when the purchase implicates a utilitarian or aesthetic purpose, rather than a source-identifying function, it is appropriate to require proof of acquired distinctiveness.</w:t>
      </w:r>
    </w:p>
    <w:p w14:paraId="4DCA1B70" w14:textId="7376BEBF" w:rsidR="0040046D" w:rsidRPr="00475068" w:rsidRDefault="0040046D" w:rsidP="0040046D">
      <w:pPr>
        <w:rPr>
          <w:rFonts w:ascii="Georgia" w:hAnsi="Georgia"/>
        </w:rPr>
      </w:pPr>
      <w:r w:rsidRPr="00475068">
        <w:rPr>
          <w:rFonts w:ascii="Georgia" w:hAnsi="Georgia"/>
        </w:rPr>
        <w:t xml:space="preserve">Finally, the Court in </w:t>
      </w:r>
      <w:r w:rsidRPr="00475068">
        <w:rPr>
          <w:rFonts w:ascii="Georgia" w:hAnsi="Georgia"/>
          <w:i/>
          <w:iCs/>
        </w:rPr>
        <w:t>Wal-Mart</w:t>
      </w:r>
      <w:r w:rsidRPr="00475068">
        <w:rPr>
          <w:rFonts w:ascii="Georgia" w:hAnsi="Georgia"/>
        </w:rPr>
        <w:t xml:space="preserve"> provided guidance on how to address trade dress cases that may be difficult to classify: “To the extent that there are close cases, we believe that courts should err on the side of caution and classify ambiguous trade dress as product design, thereby requiring secondary meaning.” 529 U.S. at 215. Even if this were a close case, therefore, we must follow that precedent and classify the trade dress as product design. We thus agree with the Board that </w:t>
      </w:r>
      <w:proofErr w:type="spellStart"/>
      <w:r w:rsidRPr="00475068">
        <w:rPr>
          <w:rFonts w:ascii="Georgia" w:hAnsi="Georgia"/>
        </w:rPr>
        <w:t>Slokevage’s</w:t>
      </w:r>
      <w:proofErr w:type="spellEnd"/>
      <w:r w:rsidRPr="00475068">
        <w:rPr>
          <w:rFonts w:ascii="Georgia" w:hAnsi="Georgia"/>
        </w:rPr>
        <w:t xml:space="preserve"> trade dress is product design and therefore that she must prove acquired distinctiveness </w:t>
      </w:r>
      <w:proofErr w:type="gramStart"/>
      <w:r w:rsidRPr="00475068">
        <w:rPr>
          <w:rFonts w:ascii="Georgia" w:hAnsi="Georgia"/>
        </w:rPr>
        <w:t>in order for</w:t>
      </w:r>
      <w:proofErr w:type="gramEnd"/>
      <w:r w:rsidRPr="00475068">
        <w:rPr>
          <w:rFonts w:ascii="Georgia" w:hAnsi="Georgia"/>
        </w:rPr>
        <w:t xml:space="preserve"> her trade dress mark to be registered.</w:t>
      </w:r>
    </w:p>
    <w:p w14:paraId="5D8B6B15" w14:textId="77777777" w:rsidR="00EB3DF5" w:rsidRPr="00475068" w:rsidRDefault="00EB3DF5">
      <w:pPr>
        <w:rPr>
          <w:rFonts w:ascii="Georgia" w:hAnsi="Georgia"/>
        </w:rPr>
      </w:pPr>
    </w:p>
    <w:sectPr w:rsidR="00EB3DF5" w:rsidRPr="00475068" w:rsidSect="00475068">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D0042" w14:textId="77777777" w:rsidR="006A0B20" w:rsidRDefault="006A0B20" w:rsidP="0040046D">
      <w:pPr>
        <w:spacing w:after="0" w:line="240" w:lineRule="auto"/>
      </w:pPr>
      <w:r>
        <w:separator/>
      </w:r>
    </w:p>
  </w:endnote>
  <w:endnote w:type="continuationSeparator" w:id="0">
    <w:p w14:paraId="2F8BEBD3" w14:textId="77777777" w:rsidR="006A0B20" w:rsidRDefault="006A0B20" w:rsidP="0040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395496"/>
      <w:docPartObj>
        <w:docPartGallery w:val="Page Numbers (Bottom of Page)"/>
        <w:docPartUnique/>
      </w:docPartObj>
    </w:sdtPr>
    <w:sdtContent>
      <w:sdt>
        <w:sdtPr>
          <w:id w:val="1728636285"/>
          <w:docPartObj>
            <w:docPartGallery w:val="Page Numbers (Top of Page)"/>
            <w:docPartUnique/>
          </w:docPartObj>
        </w:sdtPr>
        <w:sdtContent>
          <w:p w14:paraId="7BAAFF5A" w14:textId="790F3FA5" w:rsidR="00475068" w:rsidRDefault="00475068">
            <w:pPr>
              <w:pStyle w:val="Footer"/>
              <w:jc w:val="center"/>
            </w:pPr>
            <w:r w:rsidRPr="00475068">
              <w:rPr>
                <w:rFonts w:ascii="Georgia" w:hAnsi="Georgia"/>
              </w:rPr>
              <w:t xml:space="preserve">Page </w:t>
            </w:r>
            <w:r w:rsidRPr="00475068">
              <w:rPr>
                <w:rFonts w:ascii="Georgia" w:hAnsi="Georgia"/>
                <w:sz w:val="24"/>
                <w:szCs w:val="24"/>
              </w:rPr>
              <w:fldChar w:fldCharType="begin"/>
            </w:r>
            <w:r w:rsidRPr="00475068">
              <w:rPr>
                <w:rFonts w:ascii="Georgia" w:hAnsi="Georgia"/>
              </w:rPr>
              <w:instrText xml:space="preserve"> PAGE </w:instrText>
            </w:r>
            <w:r w:rsidRPr="00475068">
              <w:rPr>
                <w:rFonts w:ascii="Georgia" w:hAnsi="Georgia"/>
                <w:sz w:val="24"/>
                <w:szCs w:val="24"/>
              </w:rPr>
              <w:fldChar w:fldCharType="separate"/>
            </w:r>
            <w:r w:rsidRPr="00475068">
              <w:rPr>
                <w:rFonts w:ascii="Georgia" w:hAnsi="Georgia"/>
                <w:noProof/>
              </w:rPr>
              <w:t>2</w:t>
            </w:r>
            <w:r w:rsidRPr="00475068">
              <w:rPr>
                <w:rFonts w:ascii="Georgia" w:hAnsi="Georgia"/>
                <w:sz w:val="24"/>
                <w:szCs w:val="24"/>
              </w:rPr>
              <w:fldChar w:fldCharType="end"/>
            </w:r>
            <w:r w:rsidRPr="00475068">
              <w:rPr>
                <w:rFonts w:ascii="Georgia" w:hAnsi="Georgia"/>
              </w:rPr>
              <w:t xml:space="preserve"> of </w:t>
            </w:r>
            <w:r w:rsidRPr="00475068">
              <w:rPr>
                <w:rFonts w:ascii="Georgia" w:hAnsi="Georgia"/>
                <w:sz w:val="24"/>
                <w:szCs w:val="24"/>
              </w:rPr>
              <w:fldChar w:fldCharType="begin"/>
            </w:r>
            <w:r w:rsidRPr="00475068">
              <w:rPr>
                <w:rFonts w:ascii="Georgia" w:hAnsi="Georgia"/>
              </w:rPr>
              <w:instrText xml:space="preserve"> NUMPAGES  </w:instrText>
            </w:r>
            <w:r w:rsidRPr="00475068">
              <w:rPr>
                <w:rFonts w:ascii="Georgia" w:hAnsi="Georgia"/>
                <w:sz w:val="24"/>
                <w:szCs w:val="24"/>
              </w:rPr>
              <w:fldChar w:fldCharType="separate"/>
            </w:r>
            <w:r w:rsidRPr="00475068">
              <w:rPr>
                <w:rFonts w:ascii="Georgia" w:hAnsi="Georgia"/>
                <w:noProof/>
              </w:rPr>
              <w:t>2</w:t>
            </w:r>
            <w:r w:rsidRPr="00475068">
              <w:rPr>
                <w:rFonts w:ascii="Georgia" w:hAnsi="Georgia"/>
                <w:sz w:val="24"/>
                <w:szCs w:val="24"/>
              </w:rPr>
              <w:fldChar w:fldCharType="end"/>
            </w:r>
          </w:p>
        </w:sdtContent>
      </w:sdt>
    </w:sdtContent>
  </w:sdt>
  <w:p w14:paraId="496FEA95" w14:textId="77777777" w:rsidR="00475068" w:rsidRDefault="00475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CECE7" w14:textId="77777777" w:rsidR="006A0B20" w:rsidRDefault="006A0B20" w:rsidP="0040046D">
      <w:pPr>
        <w:spacing w:after="0" w:line="240" w:lineRule="auto"/>
      </w:pPr>
      <w:r>
        <w:separator/>
      </w:r>
    </w:p>
  </w:footnote>
  <w:footnote w:type="continuationSeparator" w:id="0">
    <w:p w14:paraId="630DE338" w14:textId="77777777" w:rsidR="006A0B20" w:rsidRDefault="006A0B20" w:rsidP="0040046D">
      <w:pPr>
        <w:spacing w:after="0" w:line="240" w:lineRule="auto"/>
      </w:pPr>
      <w:r>
        <w:continuationSeparator/>
      </w:r>
    </w:p>
  </w:footnote>
  <w:footnote w:id="1">
    <w:p w14:paraId="103EC705" w14:textId="77777777" w:rsidR="0040046D" w:rsidRPr="00475068" w:rsidRDefault="0040046D" w:rsidP="0040046D">
      <w:pPr>
        <w:pStyle w:val="FootnoteText"/>
        <w:rPr>
          <w:rFonts w:ascii="Georgia" w:hAnsi="Georgia"/>
          <w:sz w:val="20"/>
          <w:szCs w:val="18"/>
        </w:rPr>
      </w:pPr>
      <w:r w:rsidRPr="00475068">
        <w:rPr>
          <w:rStyle w:val="FootnoteReference"/>
          <w:rFonts w:ascii="Georgia" w:hAnsi="Georgia"/>
          <w:sz w:val="20"/>
          <w:szCs w:val="18"/>
        </w:rPr>
        <w:t>1</w:t>
      </w:r>
      <w:r w:rsidRPr="00475068">
        <w:rPr>
          <w:rFonts w:ascii="Georgia" w:hAnsi="Georgia"/>
          <w:sz w:val="20"/>
          <w:szCs w:val="18"/>
        </w:rPr>
        <w:t xml:space="preserve"> Pursuant to section 23 of the Lanham Act, the United States Patent and Trademark Office (“PTO”) maintains a Supplemental Register for marks “capable of distinguishing applicant’s goods or services and not registrable on the principal register.” 15 U.S.C. § 1091(a).</w:t>
      </w:r>
    </w:p>
  </w:footnote>
  <w:footnote w:id="2">
    <w:p w14:paraId="5365D5D2" w14:textId="77777777" w:rsidR="0040046D" w:rsidRPr="00475068" w:rsidRDefault="0040046D" w:rsidP="0040046D">
      <w:pPr>
        <w:pStyle w:val="FootnoteText"/>
        <w:rPr>
          <w:rFonts w:ascii="Georgia" w:hAnsi="Georgia"/>
          <w:sz w:val="20"/>
          <w:szCs w:val="18"/>
        </w:rPr>
      </w:pPr>
      <w:r w:rsidRPr="00475068">
        <w:rPr>
          <w:rStyle w:val="FootnoteReference"/>
          <w:rFonts w:ascii="Georgia" w:hAnsi="Georgia"/>
          <w:sz w:val="20"/>
          <w:szCs w:val="18"/>
        </w:rPr>
        <w:t>2</w:t>
      </w:r>
      <w:r w:rsidRPr="00475068">
        <w:rPr>
          <w:rFonts w:ascii="Georgia" w:hAnsi="Georgia"/>
          <w:sz w:val="20"/>
          <w:szCs w:val="18"/>
        </w:rPr>
        <w:t xml:space="preserve"> </w:t>
      </w:r>
      <w:proofErr w:type="spellStart"/>
      <w:r w:rsidRPr="00475068">
        <w:rPr>
          <w:rFonts w:ascii="Georgia" w:hAnsi="Georgia"/>
          <w:sz w:val="20"/>
          <w:szCs w:val="18"/>
        </w:rPr>
        <w:t>Slokevage</w:t>
      </w:r>
      <w:proofErr w:type="spellEnd"/>
      <w:r w:rsidRPr="00475068">
        <w:rPr>
          <w:rFonts w:ascii="Georgia" w:hAnsi="Georgia"/>
          <w:sz w:val="20"/>
          <w:szCs w:val="18"/>
        </w:rPr>
        <w:t xml:space="preserve"> admits that the configuration she is seeking to protect is “trade dress” and thus we will accept for purposes of this appeal that the configuration is “trade dress.”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6D"/>
    <w:rsid w:val="000A4AD4"/>
    <w:rsid w:val="000C53B3"/>
    <w:rsid w:val="0040046D"/>
    <w:rsid w:val="00475068"/>
    <w:rsid w:val="006A0B20"/>
    <w:rsid w:val="00A472DF"/>
    <w:rsid w:val="00C33EDB"/>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EF94"/>
  <w15:chartTrackingRefBased/>
  <w15:docId w15:val="{E2A5496D-5B93-4517-8694-471BD687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6D"/>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4004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04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046D"/>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046D"/>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0046D"/>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0046D"/>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40046D"/>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0046D"/>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0046D"/>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46D"/>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400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46D"/>
    <w:rPr>
      <w:rFonts w:eastAsiaTheme="majorEastAsia" w:cstheme="majorBidi"/>
      <w:color w:val="272727" w:themeColor="text1" w:themeTint="D8"/>
    </w:rPr>
  </w:style>
  <w:style w:type="paragraph" w:styleId="Title">
    <w:name w:val="Title"/>
    <w:basedOn w:val="Normal"/>
    <w:next w:val="Normal"/>
    <w:link w:val="TitleChar"/>
    <w:uiPriority w:val="10"/>
    <w:qFormat/>
    <w:rsid w:val="0040046D"/>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0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46D"/>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0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46D"/>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0046D"/>
    <w:rPr>
      <w:i/>
      <w:iCs/>
      <w:color w:val="404040" w:themeColor="text1" w:themeTint="BF"/>
    </w:rPr>
  </w:style>
  <w:style w:type="paragraph" w:styleId="ListParagraph">
    <w:name w:val="List Paragraph"/>
    <w:basedOn w:val="Normal"/>
    <w:uiPriority w:val="34"/>
    <w:qFormat/>
    <w:rsid w:val="0040046D"/>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40046D"/>
    <w:rPr>
      <w:i/>
      <w:iCs/>
      <w:color w:val="0F4761" w:themeColor="accent1" w:themeShade="BF"/>
    </w:rPr>
  </w:style>
  <w:style w:type="paragraph" w:styleId="IntenseQuote">
    <w:name w:val="Intense Quote"/>
    <w:basedOn w:val="Normal"/>
    <w:next w:val="Normal"/>
    <w:link w:val="IntenseQuoteChar"/>
    <w:uiPriority w:val="30"/>
    <w:qFormat/>
    <w:rsid w:val="004004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0046D"/>
    <w:rPr>
      <w:i/>
      <w:iCs/>
      <w:color w:val="0F4761" w:themeColor="accent1" w:themeShade="BF"/>
    </w:rPr>
  </w:style>
  <w:style w:type="character" w:styleId="IntenseReference">
    <w:name w:val="Intense Reference"/>
    <w:basedOn w:val="DefaultParagraphFont"/>
    <w:uiPriority w:val="32"/>
    <w:qFormat/>
    <w:rsid w:val="0040046D"/>
    <w:rPr>
      <w:b/>
      <w:bCs/>
      <w:smallCaps/>
      <w:color w:val="0F4761" w:themeColor="accent1" w:themeShade="BF"/>
      <w:spacing w:val="5"/>
    </w:rPr>
  </w:style>
  <w:style w:type="paragraph" w:customStyle="1" w:styleId="OpinionCitation">
    <w:name w:val="Opinion Citation"/>
    <w:basedOn w:val="Normal"/>
    <w:link w:val="OpinionCitationChar"/>
    <w:qFormat/>
    <w:rsid w:val="0040046D"/>
    <w:pPr>
      <w:keepNext/>
      <w:spacing w:after="120"/>
      <w:ind w:firstLine="0"/>
    </w:pPr>
    <w:rPr>
      <w:b/>
    </w:rPr>
  </w:style>
  <w:style w:type="character" w:customStyle="1" w:styleId="OpinionCitationChar">
    <w:name w:val="Opinion Citation Char"/>
    <w:link w:val="OpinionCitation"/>
    <w:rsid w:val="0040046D"/>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40046D"/>
  </w:style>
  <w:style w:type="character" w:customStyle="1" w:styleId="FootnoteTextChar">
    <w:name w:val="Footnote Text Char"/>
    <w:basedOn w:val="DefaultParagraphFont"/>
    <w:link w:val="FootnoteText"/>
    <w:uiPriority w:val="99"/>
    <w:rsid w:val="0040046D"/>
    <w:rPr>
      <w:rFonts w:ascii="Cambria" w:eastAsia="Calibri" w:hAnsi="Cambria" w:cs="Times New Roman"/>
      <w:kern w:val="0"/>
      <w:szCs w:val="20"/>
      <w14:ligatures w14:val="none"/>
    </w:rPr>
  </w:style>
  <w:style w:type="character" w:styleId="FootnoteReference">
    <w:name w:val="footnote reference"/>
    <w:uiPriority w:val="99"/>
    <w:semiHidden/>
    <w:unhideWhenUsed/>
    <w:rsid w:val="0040046D"/>
    <w:rPr>
      <w:vertAlign w:val="superscript"/>
    </w:rPr>
  </w:style>
  <w:style w:type="paragraph" w:customStyle="1" w:styleId="NormalNoIndent">
    <w:name w:val="Normal No Indent"/>
    <w:basedOn w:val="Normal"/>
    <w:link w:val="NormalNoIndentChar"/>
    <w:qFormat/>
    <w:rsid w:val="0040046D"/>
    <w:pPr>
      <w:ind w:firstLine="0"/>
    </w:pPr>
  </w:style>
  <w:style w:type="character" w:customStyle="1" w:styleId="NormalNoIndentChar">
    <w:name w:val="Normal No Indent Char"/>
    <w:link w:val="NormalNoIndent"/>
    <w:rsid w:val="0040046D"/>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40046D"/>
    <w:pPr>
      <w:jc w:val="center"/>
    </w:pPr>
  </w:style>
  <w:style w:type="character" w:customStyle="1" w:styleId="Normal-CenteredChar">
    <w:name w:val="*Normal-Centered Char"/>
    <w:basedOn w:val="NormalNoIndentChar"/>
    <w:link w:val="Normal-Centered"/>
    <w:rsid w:val="0040046D"/>
    <w:rPr>
      <w:rFonts w:ascii="Cambria" w:eastAsia="Calibri" w:hAnsi="Cambria" w:cs="Times New Roman"/>
      <w:kern w:val="0"/>
      <w:szCs w:val="20"/>
      <w14:ligatures w14:val="none"/>
    </w:rPr>
  </w:style>
  <w:style w:type="paragraph" w:customStyle="1" w:styleId="CntrdNoItal">
    <w:name w:val="CntrdNoItal"/>
    <w:basedOn w:val="Normal"/>
    <w:qFormat/>
    <w:rsid w:val="0040046D"/>
    <w:pPr>
      <w:ind w:firstLine="0"/>
      <w:jc w:val="center"/>
    </w:pPr>
    <w:rPr>
      <w:iCs/>
    </w:rPr>
  </w:style>
  <w:style w:type="paragraph" w:styleId="Header">
    <w:name w:val="header"/>
    <w:basedOn w:val="Normal"/>
    <w:link w:val="HeaderChar"/>
    <w:uiPriority w:val="99"/>
    <w:unhideWhenUsed/>
    <w:rsid w:val="00475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068"/>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475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068"/>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1631</Words>
  <Characters>9302</Characters>
  <Application>Microsoft Office Word</Application>
  <DocSecurity>0</DocSecurity>
  <Lines>77</Lines>
  <Paragraphs>21</Paragraphs>
  <ScaleCrop>false</ScaleCrop>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2024-07-15T20:10:00Z</dcterms:created>
  <dcterms:modified xsi:type="dcterms:W3CDTF">2024-07-23T12:34:00Z</dcterms:modified>
</cp:coreProperties>
</file>