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B0AD86" w14:textId="77777777" w:rsidR="00E857E4" w:rsidRPr="00594CC1" w:rsidRDefault="00E857E4" w:rsidP="00594CC1">
      <w:pPr>
        <w:pStyle w:val="Heading7"/>
        <w:jc w:val="center"/>
        <w:rPr>
          <w:rFonts w:ascii="Georgia" w:hAnsi="Georgia"/>
          <w:b/>
          <w:bCs/>
          <w:color w:val="000000" w:themeColor="text1"/>
          <w:sz w:val="32"/>
          <w:szCs w:val="32"/>
        </w:rPr>
      </w:pPr>
      <w:bookmarkStart w:id="0" w:name="_Toc171715654"/>
      <w:r w:rsidRPr="00594CC1">
        <w:rPr>
          <w:rFonts w:ascii="Georgia" w:hAnsi="Georgia"/>
          <w:b/>
          <w:bCs/>
          <w:color w:val="000000" w:themeColor="text1"/>
          <w:sz w:val="32"/>
          <w:szCs w:val="32"/>
        </w:rPr>
        <w:t>Innovation Ventures, LLC v. N.V.E., Inc.</w:t>
      </w:r>
      <w:bookmarkEnd w:id="0"/>
    </w:p>
    <w:p w14:paraId="79FDBE00" w14:textId="77777777" w:rsidR="00E857E4" w:rsidRPr="00594CC1" w:rsidRDefault="00E857E4" w:rsidP="00594CC1">
      <w:pPr>
        <w:pStyle w:val="OpinionCitation"/>
        <w:jc w:val="center"/>
        <w:rPr>
          <w:rFonts w:ascii="Georgia" w:hAnsi="Georgia"/>
        </w:rPr>
      </w:pPr>
      <w:r w:rsidRPr="00594CC1">
        <w:rPr>
          <w:rFonts w:ascii="Georgia" w:hAnsi="Georgia"/>
        </w:rPr>
        <w:t>694 F.3d 723, 729-730 (6th Cir. 2012)</w:t>
      </w:r>
    </w:p>
    <w:p w14:paraId="166EFB6A" w14:textId="77777777" w:rsidR="00E857E4" w:rsidRPr="00594CC1" w:rsidRDefault="00E857E4" w:rsidP="00E857E4">
      <w:pPr>
        <w:rPr>
          <w:rFonts w:ascii="Georgia" w:hAnsi="Georgia"/>
        </w:rPr>
      </w:pPr>
      <w:r w:rsidRPr="00594CC1">
        <w:rPr>
          <w:rFonts w:ascii="Georgia" w:hAnsi="Georgia"/>
        </w:rPr>
        <w:t xml:space="preserve">{Plaintiff Innovation Ventures, LLC, d/b/a Living Essentials (“LE”), produced a beverage under the mark </w:t>
      </w:r>
      <w:r w:rsidRPr="00594CC1">
        <w:rPr>
          <w:rFonts w:ascii="Georgia" w:hAnsi="Georgia"/>
          <w:smallCaps/>
        </w:rPr>
        <w:t>5-hour energy</w:t>
      </w:r>
      <w:r w:rsidRPr="00594CC1">
        <w:rPr>
          <w:rFonts w:ascii="Georgia" w:hAnsi="Georgia"/>
        </w:rPr>
        <w:t xml:space="preserve">. Defendant NVE began to produce a similar beverage under the mark </w:t>
      </w:r>
      <w:r w:rsidRPr="00594CC1">
        <w:rPr>
          <w:rFonts w:ascii="Georgia" w:hAnsi="Georgia"/>
          <w:smallCaps/>
        </w:rPr>
        <w:t>6 hour power</w:t>
      </w:r>
      <w:r w:rsidRPr="00594CC1">
        <w:rPr>
          <w:rFonts w:ascii="Georgia" w:hAnsi="Georgia"/>
        </w:rPr>
        <w:t>. Plaintiff sued and defendant claimed that plaintiff’s mark was merely descriptive. The parties’ cross-moved for summary judgment.}</w:t>
      </w:r>
    </w:p>
    <w:p w14:paraId="3AAFDD43" w14:textId="77777777" w:rsidR="00E857E4" w:rsidRPr="00594CC1" w:rsidRDefault="00E857E4" w:rsidP="00E857E4">
      <w:pPr>
        <w:rPr>
          <w:rFonts w:ascii="Georgia" w:hAnsi="Georgia"/>
        </w:rPr>
      </w:pPr>
    </w:p>
    <w:p w14:paraId="07C81F52" w14:textId="77777777" w:rsidR="00E857E4" w:rsidRPr="00594CC1" w:rsidRDefault="00E857E4" w:rsidP="00E857E4">
      <w:pPr>
        <w:pStyle w:val="Normal-Centered"/>
        <w:rPr>
          <w:rFonts w:ascii="Georgia" w:hAnsi="Georgia"/>
        </w:rPr>
      </w:pPr>
      <w:r w:rsidRPr="00594CC1">
        <w:rPr>
          <w:rFonts w:ascii="Georgia" w:hAnsi="Georgia"/>
          <w:noProof/>
        </w:rPr>
        <w:drawing>
          <wp:inline distT="0" distB="0" distL="0" distR="0" wp14:anchorId="455C2837" wp14:editId="0ECA814E">
            <wp:extent cx="4502785" cy="3750155"/>
            <wp:effectExtent l="0" t="0" r="0" b="3175"/>
            <wp:docPr id="15" name="Picture 158" descr="A close-up of a bott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8" descr="A close-up of a bottle&#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17575" cy="3762473"/>
                    </a:xfrm>
                    <a:prstGeom prst="rect">
                      <a:avLst/>
                    </a:prstGeom>
                    <a:noFill/>
                    <a:ln>
                      <a:noFill/>
                    </a:ln>
                  </pic:spPr>
                </pic:pic>
              </a:graphicData>
            </a:graphic>
          </wp:inline>
        </w:drawing>
      </w:r>
    </w:p>
    <w:p w14:paraId="2366474F" w14:textId="77777777" w:rsidR="00E857E4" w:rsidRPr="00594CC1" w:rsidRDefault="00E857E4" w:rsidP="00E857E4">
      <w:pPr>
        <w:rPr>
          <w:rFonts w:ascii="Georgia" w:hAnsi="Georgia"/>
        </w:rPr>
      </w:pPr>
    </w:p>
    <w:p w14:paraId="25CA7638" w14:textId="77777777" w:rsidR="00E857E4" w:rsidRPr="00594CC1" w:rsidRDefault="00E857E4" w:rsidP="00E857E4">
      <w:pPr>
        <w:pStyle w:val="NormalNoIndent"/>
        <w:rPr>
          <w:rFonts w:ascii="Georgia" w:hAnsi="Georgia"/>
        </w:rPr>
      </w:pPr>
      <w:r w:rsidRPr="00594CC1">
        <w:rPr>
          <w:rFonts w:ascii="Georgia" w:hAnsi="Georgia"/>
        </w:rPr>
        <w:t>Boggs, Circuit Judge</w:t>
      </w:r>
    </w:p>
    <w:p w14:paraId="632617FC" w14:textId="77777777" w:rsidR="00E857E4" w:rsidRPr="00594CC1" w:rsidRDefault="00E857E4" w:rsidP="00E857E4">
      <w:pPr>
        <w:rPr>
          <w:rFonts w:ascii="Georgia" w:hAnsi="Georgia"/>
        </w:rPr>
      </w:pPr>
      <w:r w:rsidRPr="00594CC1">
        <w:rPr>
          <w:rFonts w:ascii="Georgia" w:hAnsi="Georgia"/>
        </w:rPr>
        <w:t xml:space="preserve">. . . . </w:t>
      </w:r>
    </w:p>
    <w:p w14:paraId="47730FFD" w14:textId="77953D74" w:rsidR="00E857E4" w:rsidRPr="00594CC1" w:rsidRDefault="00E857E4" w:rsidP="00E857E4">
      <w:pPr>
        <w:rPr>
          <w:rFonts w:ascii="Georgia" w:hAnsi="Georgia"/>
        </w:rPr>
      </w:pPr>
      <w:r w:rsidRPr="00594CC1">
        <w:rPr>
          <w:rFonts w:ascii="Georgia" w:hAnsi="Georgia"/>
        </w:rPr>
        <w:t xml:space="preserve">NVE claims that the term “5–hour ENERGY” is not a distinctive </w:t>
      </w:r>
      <w:proofErr w:type="gramStart"/>
      <w:r w:rsidRPr="00594CC1">
        <w:rPr>
          <w:rFonts w:ascii="Georgia" w:hAnsi="Georgia"/>
        </w:rPr>
        <w:t>mark, but</w:t>
      </w:r>
      <w:proofErr w:type="gramEnd"/>
      <w:r w:rsidRPr="00594CC1">
        <w:rPr>
          <w:rFonts w:ascii="Georgia" w:hAnsi="Georgia"/>
        </w:rPr>
        <w:t xml:space="preserve"> is a descriptive mark.</w:t>
      </w:r>
      <w:r w:rsidRPr="00594CC1">
        <w:rPr>
          <w:rStyle w:val="FootnoteReference"/>
          <w:rFonts w:ascii="Georgia" w:hAnsi="Georgia"/>
        </w:rPr>
        <w:footnoteReference w:customMarkFollows="1" w:id="1"/>
        <w:t>1</w:t>
      </w:r>
      <w:r w:rsidRPr="00594CC1">
        <w:rPr>
          <w:rFonts w:ascii="Georgia" w:hAnsi="Georgia"/>
        </w:rPr>
        <w:t xml:space="preserve"> A descriptive mark, by itself, is not protectable. However, “[a] </w:t>
      </w:r>
      <w:r w:rsidRPr="00594CC1">
        <w:rPr>
          <w:rFonts w:ascii="Georgia" w:hAnsi="Georgia"/>
        </w:rPr>
        <w:lastRenderedPageBreak/>
        <w:t xml:space="preserve">merely descriptive term . . . can, by acquiring a secondary meaning, i.e., becoming distinctive of the applicant’s goods </w:t>
      </w:r>
      <w:proofErr w:type="gramStart"/>
      <w:r w:rsidRPr="00594CC1">
        <w:rPr>
          <w:rFonts w:ascii="Georgia" w:hAnsi="Georgia"/>
        </w:rPr>
        <w:t>. . . ,</w:t>
      </w:r>
      <w:proofErr w:type="gramEnd"/>
      <w:r w:rsidRPr="00594CC1">
        <w:rPr>
          <w:rFonts w:ascii="Georgia" w:hAnsi="Georgia"/>
        </w:rPr>
        <w:t xml:space="preserve"> become a valid trademark.” Induct–O–Matic Corp. v. </w:t>
      </w:r>
      <w:proofErr w:type="spellStart"/>
      <w:r w:rsidRPr="00594CC1">
        <w:rPr>
          <w:rFonts w:ascii="Georgia" w:hAnsi="Georgia"/>
        </w:rPr>
        <w:t>Inductotherm</w:t>
      </w:r>
      <w:proofErr w:type="spellEnd"/>
      <w:r w:rsidRPr="00594CC1">
        <w:rPr>
          <w:rFonts w:ascii="Georgia" w:hAnsi="Georgia"/>
        </w:rPr>
        <w:t xml:space="preserve"> Corp., 747 F.2d 358, 362 (6th Cir. 1984). LE counters that the “5–hour ENERGY” mark is not descriptive, but rather is distinctive, due to the mark’s suggestiveness. Such a mark “suggests rather than describes an ingredient or characteristic of the goods and requires the observer or listener to use imagination and perception to determine the nature of the goods.” Id. at 362.</w:t>
      </w:r>
    </w:p>
    <w:p w14:paraId="243936E7" w14:textId="3363868C" w:rsidR="00E857E4" w:rsidRPr="00594CC1" w:rsidRDefault="00E857E4" w:rsidP="00E857E4">
      <w:pPr>
        <w:rPr>
          <w:rFonts w:ascii="Georgia" w:hAnsi="Georgia"/>
        </w:rPr>
      </w:pPr>
      <w:r w:rsidRPr="00594CC1">
        <w:rPr>
          <w:rFonts w:ascii="Georgia" w:hAnsi="Georgia"/>
        </w:rPr>
        <w:t xml:space="preserve">The “5–hour ENERGY” mark could be characterized as merely descriptive, in the sense that it simply describes a product that will give someone five hours of energy. But that is not the end of such an inquiry. The first question one would ask is </w:t>
      </w:r>
      <w:r w:rsidRPr="00594CC1">
        <w:rPr>
          <w:rFonts w:ascii="Georgia" w:hAnsi="Georgia"/>
          <w:i/>
        </w:rPr>
        <w:t>how</w:t>
      </w:r>
      <w:r w:rsidRPr="00594CC1">
        <w:rPr>
          <w:rFonts w:ascii="Georgia" w:hAnsi="Georgia"/>
        </w:rPr>
        <w:t xml:space="preserve"> would the energy be transferred? Through food? Through drink? Through injections? Through pills? Through exercise? Also, one would ask what kind of energy is the mark referring to? Food energy (measured in Calories)? Electrical energy? Nuclear energy? With some thought, one could arrive at the conclusion that the mark refers to an energy shot. But it is not as straightforward as NVE suggests. Such cognitive inferences are indicative of “suggestive” rather than descriptive marks.</w:t>
      </w:r>
    </w:p>
    <w:p w14:paraId="41FBF52A" w14:textId="0C2D88FF" w:rsidR="00E857E4" w:rsidRPr="00594CC1" w:rsidRDefault="00E857E4" w:rsidP="00E857E4">
      <w:pPr>
        <w:rPr>
          <w:rFonts w:ascii="Georgia" w:hAnsi="Georgia"/>
        </w:rPr>
      </w:pPr>
      <w:r w:rsidRPr="00594CC1">
        <w:rPr>
          <w:rFonts w:ascii="Georgia" w:hAnsi="Georgia"/>
        </w:rPr>
        <w:t xml:space="preserve">The nature of the “5–hour ENERGY” mark “shares a closer kinship with those marks previously designated as suggestive than those labeled merely descriptive because of the degree of inferential reasoning necessary for a consumer to discern” that the “5–hour ENERGY” mark relates to an energy shot. </w:t>
      </w:r>
      <w:proofErr w:type="spellStart"/>
      <w:r w:rsidRPr="00594CC1">
        <w:rPr>
          <w:rFonts w:ascii="Georgia" w:hAnsi="Georgia"/>
        </w:rPr>
        <w:t>Tumblebus</w:t>
      </w:r>
      <w:proofErr w:type="spellEnd"/>
      <w:r w:rsidRPr="00594CC1">
        <w:rPr>
          <w:rFonts w:ascii="Georgia" w:hAnsi="Georgia"/>
        </w:rPr>
        <w:t xml:space="preserve"> v. Cranmer, 399 F.3d 754, 763 (6th Cir. 2005). The connection between “5–hour” and “ENERGY” is “not so obvious that a consumer seeing [5–hour ENERGY] in isolation would know that the term refers to” an energy shot rather than, for example, a battery for electronics, an exercise program, a backup generator, or a snack for endurance sports. Ibid. Connecting the mark “5–hour ENERGY” with the energy-shot product requires “imagination and perception to determine the nature of the goods.” </w:t>
      </w:r>
      <w:r w:rsidRPr="00594CC1">
        <w:rPr>
          <w:rFonts w:ascii="Georgia" w:hAnsi="Georgia"/>
          <w:i/>
        </w:rPr>
        <w:t>Induct–O–Matic</w:t>
      </w:r>
      <w:r w:rsidRPr="00594CC1">
        <w:rPr>
          <w:rFonts w:ascii="Georgia" w:hAnsi="Georgia"/>
        </w:rPr>
        <w:t>, 747 F.2d at 362.</w:t>
      </w:r>
    </w:p>
    <w:p w14:paraId="79F91D67" w14:textId="49ED53D6" w:rsidR="00E857E4" w:rsidRPr="00594CC1" w:rsidRDefault="00E857E4" w:rsidP="00E857E4">
      <w:pPr>
        <w:rPr>
          <w:rFonts w:ascii="Georgia" w:hAnsi="Georgia"/>
        </w:rPr>
      </w:pPr>
      <w:r w:rsidRPr="00594CC1">
        <w:rPr>
          <w:rFonts w:ascii="Georgia" w:hAnsi="Georgia"/>
        </w:rPr>
        <w:t xml:space="preserve"> “The line between merely descriptive and suggestive marks is admittedly hazy and can be difficult to discern.” </w:t>
      </w:r>
      <w:proofErr w:type="spellStart"/>
      <w:r w:rsidRPr="00594CC1">
        <w:rPr>
          <w:rFonts w:ascii="Georgia" w:hAnsi="Georgia"/>
          <w:i/>
        </w:rPr>
        <w:t>Tumblebus</w:t>
      </w:r>
      <w:proofErr w:type="spellEnd"/>
      <w:r w:rsidRPr="00594CC1">
        <w:rPr>
          <w:rFonts w:ascii="Georgia" w:hAnsi="Georgia"/>
        </w:rPr>
        <w:t xml:space="preserve">, 399 F.3d at 763. However, we disagree with NVE’s contention that the mark is not distinctive and thus not protectable. The “5–hour ENERGY” mark is “suggestive.” </w:t>
      </w:r>
    </w:p>
    <w:p w14:paraId="64E9EDC1" w14:textId="77777777" w:rsidR="00E857E4" w:rsidRPr="00594CC1" w:rsidRDefault="00E857E4" w:rsidP="00E857E4">
      <w:pPr>
        <w:rPr>
          <w:rFonts w:ascii="Georgia" w:hAnsi="Georgia"/>
        </w:rPr>
      </w:pPr>
      <w:r w:rsidRPr="00594CC1">
        <w:rPr>
          <w:rFonts w:ascii="Georgia" w:hAnsi="Georgia"/>
        </w:rPr>
        <w:t>{The Sixth Circuit found other fact issues and remanded.}</w:t>
      </w:r>
    </w:p>
    <w:p w14:paraId="7D52F055" w14:textId="77777777" w:rsidR="00EB3DF5" w:rsidRPr="00594CC1" w:rsidRDefault="00EB3DF5">
      <w:pPr>
        <w:rPr>
          <w:rFonts w:ascii="Georgia" w:hAnsi="Georgia"/>
        </w:rPr>
      </w:pPr>
    </w:p>
    <w:sectPr w:rsidR="00EB3DF5" w:rsidRPr="00594CC1" w:rsidSect="00594CC1">
      <w:footerReference w:type="default" r:id="rId7"/>
      <w:pgSz w:w="12240" w:h="15840"/>
      <w:pgMar w:top="2160" w:right="2160" w:bottom="2160" w:left="21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F2337" w14:textId="77777777" w:rsidR="00841F98" w:rsidRDefault="00841F98" w:rsidP="00E857E4">
      <w:pPr>
        <w:spacing w:after="0" w:line="240" w:lineRule="auto"/>
      </w:pPr>
      <w:r>
        <w:separator/>
      </w:r>
    </w:p>
  </w:endnote>
  <w:endnote w:type="continuationSeparator" w:id="0">
    <w:p w14:paraId="0DD8828E" w14:textId="77777777" w:rsidR="00841F98" w:rsidRDefault="00841F98" w:rsidP="00E857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01741255"/>
      <w:docPartObj>
        <w:docPartGallery w:val="Page Numbers (Bottom of Page)"/>
        <w:docPartUnique/>
      </w:docPartObj>
    </w:sdtPr>
    <w:sdtContent>
      <w:sdt>
        <w:sdtPr>
          <w:id w:val="1728636285"/>
          <w:docPartObj>
            <w:docPartGallery w:val="Page Numbers (Top of Page)"/>
            <w:docPartUnique/>
          </w:docPartObj>
        </w:sdtPr>
        <w:sdtContent>
          <w:p w14:paraId="7DF8BB7B" w14:textId="2F925BDA" w:rsidR="00594CC1" w:rsidRDefault="00594CC1">
            <w:pPr>
              <w:pStyle w:val="Footer"/>
              <w:jc w:val="center"/>
            </w:pPr>
            <w:r w:rsidRPr="00594CC1">
              <w:rPr>
                <w:rFonts w:ascii="Georgia" w:hAnsi="Georgia"/>
              </w:rPr>
              <w:t xml:space="preserve">Page </w:t>
            </w:r>
            <w:r w:rsidRPr="00594CC1">
              <w:rPr>
                <w:rFonts w:ascii="Georgia" w:hAnsi="Georgia"/>
                <w:sz w:val="24"/>
                <w:szCs w:val="24"/>
              </w:rPr>
              <w:fldChar w:fldCharType="begin"/>
            </w:r>
            <w:r w:rsidRPr="00594CC1">
              <w:rPr>
                <w:rFonts w:ascii="Georgia" w:hAnsi="Georgia"/>
              </w:rPr>
              <w:instrText xml:space="preserve"> PAGE </w:instrText>
            </w:r>
            <w:r w:rsidRPr="00594CC1">
              <w:rPr>
                <w:rFonts w:ascii="Georgia" w:hAnsi="Georgia"/>
                <w:sz w:val="24"/>
                <w:szCs w:val="24"/>
              </w:rPr>
              <w:fldChar w:fldCharType="separate"/>
            </w:r>
            <w:r w:rsidRPr="00594CC1">
              <w:rPr>
                <w:rFonts w:ascii="Georgia" w:hAnsi="Georgia"/>
                <w:noProof/>
              </w:rPr>
              <w:t>2</w:t>
            </w:r>
            <w:r w:rsidRPr="00594CC1">
              <w:rPr>
                <w:rFonts w:ascii="Georgia" w:hAnsi="Georgia"/>
                <w:sz w:val="24"/>
                <w:szCs w:val="24"/>
              </w:rPr>
              <w:fldChar w:fldCharType="end"/>
            </w:r>
            <w:r w:rsidRPr="00594CC1">
              <w:rPr>
                <w:rFonts w:ascii="Georgia" w:hAnsi="Georgia"/>
              </w:rPr>
              <w:t xml:space="preserve"> of </w:t>
            </w:r>
            <w:r w:rsidRPr="00594CC1">
              <w:rPr>
                <w:rFonts w:ascii="Georgia" w:hAnsi="Georgia"/>
                <w:sz w:val="24"/>
                <w:szCs w:val="24"/>
              </w:rPr>
              <w:fldChar w:fldCharType="begin"/>
            </w:r>
            <w:r w:rsidRPr="00594CC1">
              <w:rPr>
                <w:rFonts w:ascii="Georgia" w:hAnsi="Georgia"/>
              </w:rPr>
              <w:instrText xml:space="preserve"> NUMPAGES  </w:instrText>
            </w:r>
            <w:r w:rsidRPr="00594CC1">
              <w:rPr>
                <w:rFonts w:ascii="Georgia" w:hAnsi="Georgia"/>
                <w:sz w:val="24"/>
                <w:szCs w:val="24"/>
              </w:rPr>
              <w:fldChar w:fldCharType="separate"/>
            </w:r>
            <w:r w:rsidRPr="00594CC1">
              <w:rPr>
                <w:rFonts w:ascii="Georgia" w:hAnsi="Georgia"/>
                <w:noProof/>
              </w:rPr>
              <w:t>2</w:t>
            </w:r>
            <w:r w:rsidRPr="00594CC1">
              <w:rPr>
                <w:rFonts w:ascii="Georgia" w:hAnsi="Georgia"/>
                <w:sz w:val="24"/>
                <w:szCs w:val="24"/>
              </w:rPr>
              <w:fldChar w:fldCharType="end"/>
            </w:r>
          </w:p>
        </w:sdtContent>
      </w:sdt>
    </w:sdtContent>
  </w:sdt>
  <w:p w14:paraId="2C732106" w14:textId="77777777" w:rsidR="00594CC1" w:rsidRDefault="00594C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AD9E42" w14:textId="77777777" w:rsidR="00841F98" w:rsidRDefault="00841F98" w:rsidP="00E857E4">
      <w:pPr>
        <w:spacing w:after="0" w:line="240" w:lineRule="auto"/>
      </w:pPr>
      <w:r>
        <w:separator/>
      </w:r>
    </w:p>
  </w:footnote>
  <w:footnote w:type="continuationSeparator" w:id="0">
    <w:p w14:paraId="3C5FE703" w14:textId="77777777" w:rsidR="00841F98" w:rsidRDefault="00841F98" w:rsidP="00E857E4">
      <w:pPr>
        <w:spacing w:after="0" w:line="240" w:lineRule="auto"/>
      </w:pPr>
      <w:r>
        <w:continuationSeparator/>
      </w:r>
    </w:p>
  </w:footnote>
  <w:footnote w:id="1">
    <w:p w14:paraId="2010D1FF" w14:textId="77777777" w:rsidR="00E857E4" w:rsidRPr="00594CC1" w:rsidRDefault="00E857E4" w:rsidP="00E857E4">
      <w:pPr>
        <w:pStyle w:val="FootnoteText"/>
        <w:rPr>
          <w:rFonts w:ascii="Georgia" w:hAnsi="Georgia"/>
          <w:sz w:val="20"/>
          <w:szCs w:val="18"/>
        </w:rPr>
      </w:pPr>
      <w:r w:rsidRPr="00594CC1">
        <w:rPr>
          <w:rStyle w:val="FootnoteReference"/>
          <w:rFonts w:ascii="Georgia" w:hAnsi="Georgia"/>
          <w:sz w:val="20"/>
          <w:szCs w:val="18"/>
        </w:rPr>
        <w:t>1</w:t>
      </w:r>
      <w:r w:rsidRPr="00594CC1">
        <w:rPr>
          <w:rFonts w:ascii="Georgia" w:hAnsi="Georgia"/>
          <w:sz w:val="20"/>
          <w:szCs w:val="18"/>
        </w:rPr>
        <w:t xml:space="preserve"> We note that, in contrast with its position in this case, in other litigation NVE has asserted that its own mark, “6 Hour POWER,” is an “inherently distinctive” mark. See Complaint at ¶ 12, N.V.E., Inc. v. N2G </w:t>
      </w:r>
      <w:proofErr w:type="spellStart"/>
      <w:r w:rsidRPr="00594CC1">
        <w:rPr>
          <w:rFonts w:ascii="Georgia" w:hAnsi="Georgia"/>
          <w:sz w:val="20"/>
          <w:szCs w:val="18"/>
        </w:rPr>
        <w:t>Distrib</w:t>
      </w:r>
      <w:proofErr w:type="spellEnd"/>
      <w:r w:rsidRPr="00594CC1">
        <w:rPr>
          <w:rFonts w:ascii="Georgia" w:hAnsi="Georgia"/>
          <w:sz w:val="20"/>
          <w:szCs w:val="18"/>
        </w:rPr>
        <w:t>., Inc. &amp; Alpha Performance Labs, No. 2:08–cv–01824 (D.N.J. Apr. 14, 2008) (“The 6 HOUR POWER mark distinguishes NVE as the source of these products, is inherently distinctive, and has also become distinctive through the acquisition of secondary meaning.” (emphasis added)).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7E4"/>
    <w:rsid w:val="000A4AD4"/>
    <w:rsid w:val="000C53B3"/>
    <w:rsid w:val="00594CC1"/>
    <w:rsid w:val="00673564"/>
    <w:rsid w:val="00841F98"/>
    <w:rsid w:val="00C33EDB"/>
    <w:rsid w:val="00E857E4"/>
    <w:rsid w:val="00EB3DF5"/>
    <w:rsid w:val="00F30D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3CC9"/>
  <w15:chartTrackingRefBased/>
  <w15:docId w15:val="{52F9FE08-9F79-4E35-BA86-289D4C71B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7E4"/>
    <w:pPr>
      <w:spacing w:after="60" w:line="264" w:lineRule="auto"/>
      <w:ind w:firstLine="432"/>
      <w:jc w:val="both"/>
    </w:pPr>
    <w:rPr>
      <w:rFonts w:ascii="Cambria" w:eastAsia="Calibri" w:hAnsi="Cambria" w:cs="Times New Roman"/>
      <w:kern w:val="0"/>
      <w:szCs w:val="20"/>
      <w14:ligatures w14:val="none"/>
    </w:rPr>
  </w:style>
  <w:style w:type="paragraph" w:styleId="Heading1">
    <w:name w:val="heading 1"/>
    <w:basedOn w:val="Normal"/>
    <w:next w:val="Normal"/>
    <w:link w:val="Heading1Char"/>
    <w:uiPriority w:val="9"/>
    <w:qFormat/>
    <w:rsid w:val="00E857E4"/>
    <w:pPr>
      <w:keepNext/>
      <w:keepLines/>
      <w:spacing w:before="360" w:after="80" w:line="259" w:lineRule="auto"/>
      <w:ind w:firstLine="0"/>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857E4"/>
    <w:pPr>
      <w:keepNext/>
      <w:keepLines/>
      <w:spacing w:before="160" w:after="80" w:line="259" w:lineRule="auto"/>
      <w:ind w:firstLine="0"/>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857E4"/>
    <w:pPr>
      <w:keepNext/>
      <w:keepLines/>
      <w:spacing w:before="160" w:after="80" w:line="259" w:lineRule="auto"/>
      <w:ind w:firstLine="0"/>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857E4"/>
    <w:pPr>
      <w:keepNext/>
      <w:keepLines/>
      <w:spacing w:before="80" w:after="40" w:line="259" w:lineRule="auto"/>
      <w:ind w:firstLine="0"/>
      <w:jc w:val="left"/>
      <w:outlineLvl w:val="3"/>
    </w:pPr>
    <w:rPr>
      <w:rFonts w:asciiTheme="minorHAnsi" w:eastAsiaTheme="majorEastAsia" w:hAnsiTheme="minorHAnsi" w:cstheme="majorBidi"/>
      <w:i/>
      <w:iCs/>
      <w:color w:val="0F4761" w:themeColor="accent1" w:themeShade="BF"/>
      <w:kern w:val="2"/>
      <w:szCs w:val="22"/>
      <w14:ligatures w14:val="standardContextual"/>
    </w:rPr>
  </w:style>
  <w:style w:type="paragraph" w:styleId="Heading5">
    <w:name w:val="heading 5"/>
    <w:basedOn w:val="Normal"/>
    <w:next w:val="Normal"/>
    <w:link w:val="Heading5Char"/>
    <w:uiPriority w:val="9"/>
    <w:semiHidden/>
    <w:unhideWhenUsed/>
    <w:qFormat/>
    <w:rsid w:val="00E857E4"/>
    <w:pPr>
      <w:keepNext/>
      <w:keepLines/>
      <w:spacing w:before="80" w:after="40" w:line="259" w:lineRule="auto"/>
      <w:ind w:firstLine="0"/>
      <w:jc w:val="left"/>
      <w:outlineLvl w:val="4"/>
    </w:pPr>
    <w:rPr>
      <w:rFonts w:asciiTheme="minorHAnsi" w:eastAsiaTheme="majorEastAsia" w:hAnsiTheme="minorHAnsi" w:cstheme="majorBidi"/>
      <w:color w:val="0F4761" w:themeColor="accent1" w:themeShade="BF"/>
      <w:kern w:val="2"/>
      <w:szCs w:val="22"/>
      <w14:ligatures w14:val="standardContextual"/>
    </w:rPr>
  </w:style>
  <w:style w:type="paragraph" w:styleId="Heading6">
    <w:name w:val="heading 6"/>
    <w:basedOn w:val="Normal"/>
    <w:next w:val="Normal"/>
    <w:link w:val="Heading6Char"/>
    <w:uiPriority w:val="9"/>
    <w:semiHidden/>
    <w:unhideWhenUsed/>
    <w:qFormat/>
    <w:rsid w:val="00E857E4"/>
    <w:pPr>
      <w:keepNext/>
      <w:keepLines/>
      <w:spacing w:before="40" w:after="0" w:line="259" w:lineRule="auto"/>
      <w:ind w:firstLine="0"/>
      <w:jc w:val="left"/>
      <w:outlineLvl w:val="5"/>
    </w:pPr>
    <w:rPr>
      <w:rFonts w:asciiTheme="minorHAnsi" w:eastAsiaTheme="majorEastAsia" w:hAnsiTheme="minorHAnsi" w:cstheme="majorBidi"/>
      <w:i/>
      <w:iCs/>
      <w:color w:val="595959" w:themeColor="text1" w:themeTint="A6"/>
      <w:kern w:val="2"/>
      <w:szCs w:val="22"/>
      <w14:ligatures w14:val="standardContextual"/>
    </w:rPr>
  </w:style>
  <w:style w:type="paragraph" w:styleId="Heading7">
    <w:name w:val="heading 7"/>
    <w:aliases w:val="Case name"/>
    <w:basedOn w:val="Normal"/>
    <w:next w:val="Normal"/>
    <w:link w:val="Heading7Char"/>
    <w:uiPriority w:val="9"/>
    <w:unhideWhenUsed/>
    <w:qFormat/>
    <w:rsid w:val="00E857E4"/>
    <w:pPr>
      <w:keepNext/>
      <w:keepLines/>
      <w:spacing w:before="40" w:after="0" w:line="259" w:lineRule="auto"/>
      <w:ind w:firstLine="0"/>
      <w:jc w:val="left"/>
      <w:outlineLvl w:val="6"/>
    </w:pPr>
    <w:rPr>
      <w:rFonts w:asciiTheme="minorHAnsi" w:eastAsiaTheme="majorEastAsia" w:hAnsiTheme="minorHAnsi" w:cstheme="majorBidi"/>
      <w:color w:val="595959" w:themeColor="text1" w:themeTint="A6"/>
      <w:kern w:val="2"/>
      <w:szCs w:val="22"/>
      <w14:ligatures w14:val="standardContextual"/>
    </w:rPr>
  </w:style>
  <w:style w:type="paragraph" w:styleId="Heading8">
    <w:name w:val="heading 8"/>
    <w:basedOn w:val="Normal"/>
    <w:next w:val="Normal"/>
    <w:link w:val="Heading8Char"/>
    <w:uiPriority w:val="9"/>
    <w:semiHidden/>
    <w:unhideWhenUsed/>
    <w:qFormat/>
    <w:rsid w:val="00E857E4"/>
    <w:pPr>
      <w:keepNext/>
      <w:keepLines/>
      <w:spacing w:after="0" w:line="259" w:lineRule="auto"/>
      <w:ind w:firstLine="0"/>
      <w:jc w:val="left"/>
      <w:outlineLvl w:val="7"/>
    </w:pPr>
    <w:rPr>
      <w:rFonts w:asciiTheme="minorHAnsi" w:eastAsiaTheme="majorEastAsia" w:hAnsiTheme="minorHAnsi" w:cstheme="majorBidi"/>
      <w:i/>
      <w:iCs/>
      <w:color w:val="272727" w:themeColor="text1" w:themeTint="D8"/>
      <w:kern w:val="2"/>
      <w:szCs w:val="22"/>
      <w14:ligatures w14:val="standardContextual"/>
    </w:rPr>
  </w:style>
  <w:style w:type="paragraph" w:styleId="Heading9">
    <w:name w:val="heading 9"/>
    <w:basedOn w:val="Normal"/>
    <w:next w:val="Normal"/>
    <w:link w:val="Heading9Char"/>
    <w:uiPriority w:val="9"/>
    <w:semiHidden/>
    <w:unhideWhenUsed/>
    <w:qFormat/>
    <w:rsid w:val="00E857E4"/>
    <w:pPr>
      <w:keepNext/>
      <w:keepLines/>
      <w:spacing w:after="0" w:line="259" w:lineRule="auto"/>
      <w:ind w:firstLine="0"/>
      <w:jc w:val="left"/>
      <w:outlineLvl w:val="8"/>
    </w:pPr>
    <w:rPr>
      <w:rFonts w:asciiTheme="minorHAnsi" w:eastAsiaTheme="majorEastAsia" w:hAnsiTheme="minorHAnsi" w:cstheme="majorBidi"/>
      <w:color w:val="272727" w:themeColor="text1" w:themeTint="D8"/>
      <w:kern w:val="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7E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7E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7E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7E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7E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7E4"/>
    <w:rPr>
      <w:rFonts w:eastAsiaTheme="majorEastAsia" w:cstheme="majorBidi"/>
      <w:i/>
      <w:iCs/>
      <w:color w:val="595959" w:themeColor="text1" w:themeTint="A6"/>
    </w:rPr>
  </w:style>
  <w:style w:type="character" w:customStyle="1" w:styleId="Heading7Char">
    <w:name w:val="Heading 7 Char"/>
    <w:aliases w:val="Case name Char"/>
    <w:basedOn w:val="DefaultParagraphFont"/>
    <w:link w:val="Heading7"/>
    <w:uiPriority w:val="9"/>
    <w:rsid w:val="00E857E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7E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7E4"/>
    <w:rPr>
      <w:rFonts w:eastAsiaTheme="majorEastAsia" w:cstheme="majorBidi"/>
      <w:color w:val="272727" w:themeColor="text1" w:themeTint="D8"/>
    </w:rPr>
  </w:style>
  <w:style w:type="paragraph" w:styleId="Title">
    <w:name w:val="Title"/>
    <w:basedOn w:val="Normal"/>
    <w:next w:val="Normal"/>
    <w:link w:val="TitleChar"/>
    <w:uiPriority w:val="10"/>
    <w:qFormat/>
    <w:rsid w:val="00E857E4"/>
    <w:pPr>
      <w:spacing w:after="80" w:line="240" w:lineRule="auto"/>
      <w:ind w:firstLine="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857E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7E4"/>
    <w:pPr>
      <w:numPr>
        <w:ilvl w:val="1"/>
      </w:numPr>
      <w:spacing w:after="160" w:line="259" w:lineRule="auto"/>
      <w:ind w:firstLine="432"/>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857E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7E4"/>
    <w:pPr>
      <w:spacing w:before="160" w:after="160" w:line="259" w:lineRule="auto"/>
      <w:ind w:firstLine="0"/>
      <w:jc w:val="center"/>
    </w:pPr>
    <w:rPr>
      <w:rFonts w:asciiTheme="minorHAnsi" w:eastAsiaTheme="minorHAnsi" w:hAnsiTheme="minorHAnsi" w:cstheme="minorBidi"/>
      <w:i/>
      <w:iCs/>
      <w:color w:val="404040" w:themeColor="text1" w:themeTint="BF"/>
      <w:kern w:val="2"/>
      <w:szCs w:val="22"/>
      <w14:ligatures w14:val="standardContextual"/>
    </w:rPr>
  </w:style>
  <w:style w:type="character" w:customStyle="1" w:styleId="QuoteChar">
    <w:name w:val="Quote Char"/>
    <w:basedOn w:val="DefaultParagraphFont"/>
    <w:link w:val="Quote"/>
    <w:uiPriority w:val="29"/>
    <w:rsid w:val="00E857E4"/>
    <w:rPr>
      <w:i/>
      <w:iCs/>
      <w:color w:val="404040" w:themeColor="text1" w:themeTint="BF"/>
    </w:rPr>
  </w:style>
  <w:style w:type="paragraph" w:styleId="ListParagraph">
    <w:name w:val="List Paragraph"/>
    <w:basedOn w:val="Normal"/>
    <w:uiPriority w:val="34"/>
    <w:qFormat/>
    <w:rsid w:val="00E857E4"/>
    <w:pPr>
      <w:spacing w:after="160" w:line="259" w:lineRule="auto"/>
      <w:ind w:left="720" w:firstLine="0"/>
      <w:contextualSpacing/>
      <w:jc w:val="left"/>
    </w:pPr>
    <w:rPr>
      <w:rFonts w:asciiTheme="minorHAnsi" w:eastAsiaTheme="minorHAnsi" w:hAnsiTheme="minorHAnsi" w:cstheme="minorBidi"/>
      <w:kern w:val="2"/>
      <w:szCs w:val="22"/>
      <w14:ligatures w14:val="standardContextual"/>
    </w:rPr>
  </w:style>
  <w:style w:type="character" w:styleId="IntenseEmphasis">
    <w:name w:val="Intense Emphasis"/>
    <w:basedOn w:val="DefaultParagraphFont"/>
    <w:uiPriority w:val="21"/>
    <w:qFormat/>
    <w:rsid w:val="00E857E4"/>
    <w:rPr>
      <w:i/>
      <w:iCs/>
      <w:color w:val="0F4761" w:themeColor="accent1" w:themeShade="BF"/>
    </w:rPr>
  </w:style>
  <w:style w:type="paragraph" w:styleId="IntenseQuote">
    <w:name w:val="Intense Quote"/>
    <w:basedOn w:val="Normal"/>
    <w:next w:val="Normal"/>
    <w:link w:val="IntenseQuoteChar"/>
    <w:uiPriority w:val="30"/>
    <w:qFormat/>
    <w:rsid w:val="00E857E4"/>
    <w:pPr>
      <w:pBdr>
        <w:top w:val="single" w:sz="4" w:space="10" w:color="0F4761" w:themeColor="accent1" w:themeShade="BF"/>
        <w:bottom w:val="single" w:sz="4" w:space="10" w:color="0F4761" w:themeColor="accent1" w:themeShade="BF"/>
      </w:pBdr>
      <w:spacing w:before="360" w:after="360" w:line="259" w:lineRule="auto"/>
      <w:ind w:left="864" w:right="864" w:firstLine="0"/>
      <w:jc w:val="center"/>
    </w:pPr>
    <w:rPr>
      <w:rFonts w:asciiTheme="minorHAnsi" w:eastAsiaTheme="minorHAnsi" w:hAnsiTheme="minorHAnsi" w:cstheme="minorBidi"/>
      <w:i/>
      <w:iCs/>
      <w:color w:val="0F4761" w:themeColor="accent1" w:themeShade="BF"/>
      <w:kern w:val="2"/>
      <w:szCs w:val="22"/>
      <w14:ligatures w14:val="standardContextual"/>
    </w:rPr>
  </w:style>
  <w:style w:type="character" w:customStyle="1" w:styleId="IntenseQuoteChar">
    <w:name w:val="Intense Quote Char"/>
    <w:basedOn w:val="DefaultParagraphFont"/>
    <w:link w:val="IntenseQuote"/>
    <w:uiPriority w:val="30"/>
    <w:rsid w:val="00E857E4"/>
    <w:rPr>
      <w:i/>
      <w:iCs/>
      <w:color w:val="0F4761" w:themeColor="accent1" w:themeShade="BF"/>
    </w:rPr>
  </w:style>
  <w:style w:type="character" w:styleId="IntenseReference">
    <w:name w:val="Intense Reference"/>
    <w:basedOn w:val="DefaultParagraphFont"/>
    <w:uiPriority w:val="32"/>
    <w:qFormat/>
    <w:rsid w:val="00E857E4"/>
    <w:rPr>
      <w:b/>
      <w:bCs/>
      <w:smallCaps/>
      <w:color w:val="0F4761" w:themeColor="accent1" w:themeShade="BF"/>
      <w:spacing w:val="5"/>
    </w:rPr>
  </w:style>
  <w:style w:type="paragraph" w:customStyle="1" w:styleId="OpinionCitation">
    <w:name w:val="Opinion Citation"/>
    <w:basedOn w:val="Normal"/>
    <w:link w:val="OpinionCitationChar"/>
    <w:qFormat/>
    <w:rsid w:val="00E857E4"/>
    <w:pPr>
      <w:keepNext/>
      <w:spacing w:after="120"/>
      <w:ind w:firstLine="0"/>
    </w:pPr>
    <w:rPr>
      <w:b/>
    </w:rPr>
  </w:style>
  <w:style w:type="character" w:customStyle="1" w:styleId="OpinionCitationChar">
    <w:name w:val="Opinion Citation Char"/>
    <w:link w:val="OpinionCitation"/>
    <w:rsid w:val="00E857E4"/>
    <w:rPr>
      <w:rFonts w:ascii="Cambria" w:eastAsia="Calibri" w:hAnsi="Cambria" w:cs="Times New Roman"/>
      <w:b/>
      <w:kern w:val="0"/>
      <w:szCs w:val="20"/>
      <w14:ligatures w14:val="none"/>
    </w:rPr>
  </w:style>
  <w:style w:type="paragraph" w:styleId="FootnoteText">
    <w:name w:val="footnote text"/>
    <w:basedOn w:val="Normal"/>
    <w:link w:val="FootnoteTextChar"/>
    <w:uiPriority w:val="99"/>
    <w:unhideWhenUsed/>
    <w:qFormat/>
    <w:rsid w:val="00E857E4"/>
  </w:style>
  <w:style w:type="character" w:customStyle="1" w:styleId="FootnoteTextChar">
    <w:name w:val="Footnote Text Char"/>
    <w:basedOn w:val="DefaultParagraphFont"/>
    <w:link w:val="FootnoteText"/>
    <w:uiPriority w:val="99"/>
    <w:rsid w:val="00E857E4"/>
    <w:rPr>
      <w:rFonts w:ascii="Cambria" w:eastAsia="Calibri" w:hAnsi="Cambria" w:cs="Times New Roman"/>
      <w:kern w:val="0"/>
      <w:szCs w:val="20"/>
      <w14:ligatures w14:val="none"/>
    </w:rPr>
  </w:style>
  <w:style w:type="character" w:styleId="FootnoteReference">
    <w:name w:val="footnote reference"/>
    <w:uiPriority w:val="99"/>
    <w:semiHidden/>
    <w:unhideWhenUsed/>
    <w:rsid w:val="00E857E4"/>
    <w:rPr>
      <w:vertAlign w:val="superscript"/>
    </w:rPr>
  </w:style>
  <w:style w:type="paragraph" w:customStyle="1" w:styleId="NormalNoIndent">
    <w:name w:val="Normal No Indent"/>
    <w:basedOn w:val="Normal"/>
    <w:link w:val="NormalNoIndentChar"/>
    <w:qFormat/>
    <w:rsid w:val="00E857E4"/>
    <w:pPr>
      <w:ind w:firstLine="0"/>
    </w:pPr>
  </w:style>
  <w:style w:type="character" w:customStyle="1" w:styleId="NormalNoIndentChar">
    <w:name w:val="Normal No Indent Char"/>
    <w:link w:val="NormalNoIndent"/>
    <w:rsid w:val="00E857E4"/>
    <w:rPr>
      <w:rFonts w:ascii="Cambria" w:eastAsia="Calibri" w:hAnsi="Cambria" w:cs="Times New Roman"/>
      <w:kern w:val="0"/>
      <w:szCs w:val="20"/>
      <w14:ligatures w14:val="none"/>
    </w:rPr>
  </w:style>
  <w:style w:type="paragraph" w:customStyle="1" w:styleId="Normal-Centered">
    <w:name w:val="*Normal-Centered"/>
    <w:basedOn w:val="NormalNoIndent"/>
    <w:link w:val="Normal-CenteredChar"/>
    <w:qFormat/>
    <w:rsid w:val="00E857E4"/>
    <w:pPr>
      <w:jc w:val="center"/>
    </w:pPr>
  </w:style>
  <w:style w:type="character" w:customStyle="1" w:styleId="Normal-CenteredChar">
    <w:name w:val="*Normal-Centered Char"/>
    <w:basedOn w:val="NormalNoIndentChar"/>
    <w:link w:val="Normal-Centered"/>
    <w:rsid w:val="00E857E4"/>
    <w:rPr>
      <w:rFonts w:ascii="Cambria" w:eastAsia="Calibri" w:hAnsi="Cambria" w:cs="Times New Roman"/>
      <w:kern w:val="0"/>
      <w:szCs w:val="20"/>
      <w14:ligatures w14:val="none"/>
    </w:rPr>
  </w:style>
  <w:style w:type="paragraph" w:styleId="Header">
    <w:name w:val="header"/>
    <w:basedOn w:val="Normal"/>
    <w:link w:val="HeaderChar"/>
    <w:uiPriority w:val="99"/>
    <w:unhideWhenUsed/>
    <w:rsid w:val="00594C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4CC1"/>
    <w:rPr>
      <w:rFonts w:ascii="Cambria" w:eastAsia="Calibri" w:hAnsi="Cambria" w:cs="Times New Roman"/>
      <w:kern w:val="0"/>
      <w:szCs w:val="20"/>
      <w14:ligatures w14:val="none"/>
    </w:rPr>
  </w:style>
  <w:style w:type="paragraph" w:styleId="Footer">
    <w:name w:val="footer"/>
    <w:basedOn w:val="Normal"/>
    <w:link w:val="FooterChar"/>
    <w:uiPriority w:val="99"/>
    <w:unhideWhenUsed/>
    <w:rsid w:val="00594C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4CC1"/>
    <w:rPr>
      <w:rFonts w:ascii="Cambria" w:eastAsia="Calibri" w:hAnsi="Cambria"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459</Words>
  <Characters>2617</Characters>
  <Application>Microsoft Office Word</Application>
  <DocSecurity>0</DocSecurity>
  <Lines>21</Lines>
  <Paragraphs>6</Paragraphs>
  <ScaleCrop>false</ScaleCrop>
  <Company/>
  <LinksUpToDate>false</LinksUpToDate>
  <CharactersWithSpaces>3070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Michael</dc:creator>
  <cp:keywords/>
  <dc:description/>
  <cp:lastModifiedBy>Madison, Michael</cp:lastModifiedBy>
  <cp:revision>2</cp:revision>
  <dcterms:created xsi:type="dcterms:W3CDTF">2024-07-15T19:58:00Z</dcterms:created>
  <dcterms:modified xsi:type="dcterms:W3CDTF">2024-07-23T12:31:00Z</dcterms:modified>
</cp:coreProperties>
</file>