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B438B" w14:textId="77777777" w:rsidR="00453E3B" w:rsidRPr="00241B90" w:rsidRDefault="00453E3B" w:rsidP="00241B90">
      <w:pPr>
        <w:pStyle w:val="Heading7"/>
        <w:ind w:firstLine="0"/>
        <w:jc w:val="center"/>
        <w:rPr>
          <w:rFonts w:ascii="Georgia" w:hAnsi="Georgia"/>
          <w:b/>
          <w:bCs/>
          <w:color w:val="000000" w:themeColor="text1"/>
          <w:sz w:val="32"/>
          <w:szCs w:val="28"/>
        </w:rPr>
      </w:pPr>
      <w:bookmarkStart w:id="0" w:name="_Toc171715740"/>
      <w:r w:rsidRPr="00241B90">
        <w:rPr>
          <w:rFonts w:ascii="Georgia" w:hAnsi="Georgia"/>
          <w:b/>
          <w:bCs/>
          <w:color w:val="000000" w:themeColor="text1"/>
          <w:sz w:val="32"/>
          <w:szCs w:val="28"/>
        </w:rPr>
        <w:t>Kelly Services, Inc. v. Creative Harbor, LLC</w:t>
      </w:r>
      <w:bookmarkEnd w:id="0"/>
    </w:p>
    <w:p w14:paraId="1AAAD6CF" w14:textId="582AA37D" w:rsidR="00453E3B" w:rsidRPr="00241B90" w:rsidRDefault="00453E3B" w:rsidP="00241B90">
      <w:pPr>
        <w:pStyle w:val="OpinionCitation"/>
        <w:jc w:val="center"/>
        <w:rPr>
          <w:rFonts w:ascii="Georgia" w:hAnsi="Georgia"/>
          <w:color w:val="000000" w:themeColor="text1"/>
        </w:rPr>
      </w:pPr>
      <w:r w:rsidRPr="00241B90">
        <w:rPr>
          <w:rFonts w:ascii="Georgia" w:hAnsi="Georgia"/>
          <w:color w:val="000000" w:themeColor="text1"/>
        </w:rPr>
        <w:t>846 F.3d 857 (6th Cir. 2017)</w:t>
      </w:r>
    </w:p>
    <w:p w14:paraId="26FF763A" w14:textId="77777777" w:rsidR="00453E3B" w:rsidRPr="00241B90" w:rsidRDefault="00453E3B" w:rsidP="00453E3B">
      <w:pPr>
        <w:pStyle w:val="NormalNoIndent"/>
        <w:rPr>
          <w:rFonts w:ascii="Georgia" w:hAnsi="Georgia"/>
        </w:rPr>
      </w:pPr>
      <w:r w:rsidRPr="00241B90">
        <w:rPr>
          <w:rFonts w:ascii="Georgia" w:hAnsi="Georgia"/>
        </w:rPr>
        <w:t>CLAY, Circuit Judge.</w:t>
      </w:r>
    </w:p>
    <w:p w14:paraId="31675D4C" w14:textId="0228FEFB" w:rsidR="00453E3B" w:rsidRPr="00241B90" w:rsidRDefault="00453E3B" w:rsidP="00453E3B">
      <w:pPr>
        <w:rPr>
          <w:rFonts w:ascii="Georgia" w:hAnsi="Georgia"/>
        </w:rPr>
      </w:pPr>
      <w:r w:rsidRPr="00241B90">
        <w:rPr>
          <w:rFonts w:ascii="Georgia" w:hAnsi="Georgia"/>
        </w:rPr>
        <w:t xml:space="preserve">Defendant Creative Harbor, LLC (“Creative Harbor”) appeals the judgment entered by the district court on February 1, 2016, voiding Creative Harbor’s trademark applications numbered 86198230 and 86198309, respectively. Creative Harbor challenges the district court’s determinations that: (1) Creative Harbor lacked a </w:t>
      </w:r>
      <w:r w:rsidRPr="00241B90">
        <w:rPr>
          <w:rFonts w:ascii="Georgia" w:hAnsi="Georgia"/>
          <w:i/>
          <w:iCs/>
        </w:rPr>
        <w:t>bona fide</w:t>
      </w:r>
      <w:r w:rsidRPr="00241B90">
        <w:rPr>
          <w:rFonts w:ascii="Georgia" w:hAnsi="Georgia"/>
        </w:rPr>
        <w:t xml:space="preserve"> intention to use its requested mark in commerce with respect to some of the goods and services identified in its trademark applications, in violation of § 1(b) of the Lanham Act, 15 U.S.C. § 1051(b); and (2) if Creative Harbor lacked such intent with respect to any of the goods and services, the applications must be voided in their entirety. We have jurisdiction over this appeal pursuant to 28 U.S.C. § 1291. For the reasons set forth below, we </w:t>
      </w:r>
      <w:r w:rsidRPr="00241B90">
        <w:rPr>
          <w:rFonts w:ascii="Georgia" w:hAnsi="Georgia"/>
          <w:bCs/>
        </w:rPr>
        <w:t>AFFIRM IN PART</w:t>
      </w:r>
      <w:r w:rsidRPr="00241B90">
        <w:rPr>
          <w:rFonts w:ascii="Georgia" w:hAnsi="Georgia"/>
        </w:rPr>
        <w:t xml:space="preserve"> and </w:t>
      </w:r>
      <w:r w:rsidRPr="00241B90">
        <w:rPr>
          <w:rFonts w:ascii="Georgia" w:hAnsi="Georgia"/>
          <w:bCs/>
        </w:rPr>
        <w:t>VACATE IN PART</w:t>
      </w:r>
      <w:r w:rsidRPr="00241B90">
        <w:rPr>
          <w:rFonts w:ascii="Georgia" w:hAnsi="Georgia"/>
        </w:rPr>
        <w:t xml:space="preserve"> the district court’s judgment. We </w:t>
      </w:r>
      <w:r w:rsidRPr="00241B90">
        <w:rPr>
          <w:rFonts w:ascii="Georgia" w:hAnsi="Georgia"/>
          <w:bCs/>
        </w:rPr>
        <w:t>REMAND</w:t>
      </w:r>
      <w:r w:rsidRPr="00241B90">
        <w:rPr>
          <w:rFonts w:ascii="Georgia" w:hAnsi="Georgia"/>
        </w:rPr>
        <w:t xml:space="preserve"> for further proceedings consistent with this opinion. </w:t>
      </w:r>
      <w:bookmarkStart w:id="1" w:name="co_anchor_Ife52330fdbd711e79bf099c0ee06c"/>
      <w:bookmarkEnd w:id="1"/>
    </w:p>
    <w:p w14:paraId="6572F85C" w14:textId="77777777" w:rsidR="00453E3B" w:rsidRPr="00241B90" w:rsidRDefault="00453E3B" w:rsidP="00453E3B">
      <w:pPr>
        <w:pStyle w:val="Normal-Centered"/>
        <w:rPr>
          <w:rFonts w:ascii="Georgia" w:hAnsi="Georgia"/>
        </w:rPr>
      </w:pPr>
      <w:r w:rsidRPr="00241B90">
        <w:rPr>
          <w:rFonts w:ascii="Georgia" w:hAnsi="Georgia"/>
        </w:rPr>
        <w:t>BACKGROUND</w:t>
      </w:r>
    </w:p>
    <w:p w14:paraId="06AED3C4" w14:textId="77777777" w:rsidR="00453E3B" w:rsidRPr="00241B90" w:rsidRDefault="00453E3B" w:rsidP="00453E3B">
      <w:pPr>
        <w:pStyle w:val="Normal-Centered"/>
        <w:rPr>
          <w:rFonts w:ascii="Georgia" w:hAnsi="Georgia"/>
        </w:rPr>
      </w:pPr>
      <w:r w:rsidRPr="00241B90">
        <w:rPr>
          <w:rFonts w:ascii="Georgia" w:hAnsi="Georgia"/>
        </w:rPr>
        <w:t>I. Factual History</w:t>
      </w:r>
    </w:p>
    <w:p w14:paraId="7BFEC0B8" w14:textId="79CA9801" w:rsidR="00453E3B" w:rsidRPr="00241B90" w:rsidRDefault="00453E3B" w:rsidP="00453E3B">
      <w:pPr>
        <w:rPr>
          <w:rFonts w:ascii="Georgia" w:hAnsi="Georgia"/>
        </w:rPr>
      </w:pPr>
      <w:r w:rsidRPr="00241B90">
        <w:rPr>
          <w:rFonts w:ascii="Georgia" w:hAnsi="Georgia"/>
        </w:rPr>
        <w:t>We present the facts in the light most favorable to Creative Harbor, against whom the district court entered summary judgment.</w:t>
      </w:r>
    </w:p>
    <w:p w14:paraId="77344DB9" w14:textId="6C3660BD" w:rsidR="00453E3B" w:rsidRPr="00241B90" w:rsidRDefault="00453E3B" w:rsidP="00453E3B">
      <w:pPr>
        <w:rPr>
          <w:rFonts w:ascii="Georgia" w:hAnsi="Georgia"/>
        </w:rPr>
      </w:pPr>
      <w:r w:rsidRPr="00241B90">
        <w:rPr>
          <w:rFonts w:ascii="Georgia" w:hAnsi="Georgia"/>
        </w:rPr>
        <w:t>Defendant Creative Harbor is a California-based technology startup purportedly “engaged in the business of original content creation and concept development for all media, including but not limited to, internet, mobile, photography, film, and TV.” (Answer.) Creative Harbor was founded in 2014 by Christian Jurgensen (“Jurgensen”), who serves as Creative Harbor’s owner, sole manager, and CEO.</w:t>
      </w:r>
    </w:p>
    <w:p w14:paraId="2C96AE37" w14:textId="7D2A25AC" w:rsidR="00453E3B" w:rsidRPr="00241B90" w:rsidRDefault="00453E3B" w:rsidP="00453E3B">
      <w:pPr>
        <w:rPr>
          <w:rFonts w:ascii="Georgia" w:hAnsi="Georgia"/>
        </w:rPr>
      </w:pPr>
      <w:r w:rsidRPr="00241B90">
        <w:rPr>
          <w:rFonts w:ascii="Georgia" w:hAnsi="Georgia"/>
        </w:rPr>
        <w:t xml:space="preserve">Plaintiff Kelly Services, Inc. is a Michigan-based company that is allegedly “one of the world’s largest providers of personnel and managed business services – staffing 99% of Fortune 100 companies and 90% of Fortune 500 companies.” (Complaint.) Plaintiff Kelly Properties, LLC, is an affiliated entity of Kelly Services, Inc. Because Plaintiffs do not assert separate claims or </w:t>
      </w:r>
      <w:proofErr w:type="gramStart"/>
      <w:r w:rsidRPr="00241B90">
        <w:rPr>
          <w:rFonts w:ascii="Georgia" w:hAnsi="Georgia"/>
        </w:rPr>
        <w:t>arguments, and</w:t>
      </w:r>
      <w:proofErr w:type="gramEnd"/>
      <w:r w:rsidRPr="00241B90">
        <w:rPr>
          <w:rFonts w:ascii="Georgia" w:hAnsi="Georgia"/>
        </w:rPr>
        <w:t xml:space="preserve"> have identical interests for the purposes of this appeal, we refer to them collectively as “Kelly Services.”</w:t>
      </w:r>
    </w:p>
    <w:p w14:paraId="2BA63F23" w14:textId="54F430CB" w:rsidR="00453E3B" w:rsidRPr="00241B90" w:rsidRDefault="00453E3B" w:rsidP="00453E3B">
      <w:pPr>
        <w:rPr>
          <w:rFonts w:ascii="Georgia" w:hAnsi="Georgia"/>
        </w:rPr>
      </w:pPr>
      <w:r w:rsidRPr="00241B90">
        <w:rPr>
          <w:rFonts w:ascii="Georgia" w:hAnsi="Georgia"/>
        </w:rPr>
        <w:t>In essence, the parties dispute which of them should have priority to the trademark WORKWIRE (“the Mark”), which both wish to use in connection with their competing employment-based software applications. In September 2013, Jurgensen allegedly developed an idea for a mobile application designed to connect employers with prospective employees. Jurgensen decided to call the application “</w:t>
      </w:r>
      <w:proofErr w:type="spellStart"/>
      <w:r w:rsidRPr="00241B90">
        <w:rPr>
          <w:rFonts w:ascii="Georgia" w:hAnsi="Georgia"/>
        </w:rPr>
        <w:t>WorkWire</w:t>
      </w:r>
      <w:proofErr w:type="spellEnd"/>
      <w:r w:rsidRPr="00241B90">
        <w:rPr>
          <w:rFonts w:ascii="Georgia" w:hAnsi="Georgia"/>
        </w:rPr>
        <w:t xml:space="preserve">,” and formed Creative Harbor in February 2014 to develop the </w:t>
      </w:r>
      <w:proofErr w:type="spellStart"/>
      <w:r w:rsidRPr="00241B90">
        <w:rPr>
          <w:rFonts w:ascii="Georgia" w:hAnsi="Georgia"/>
        </w:rPr>
        <w:t>WorkWire</w:t>
      </w:r>
      <w:proofErr w:type="spellEnd"/>
      <w:r w:rsidRPr="00241B90">
        <w:rPr>
          <w:rFonts w:ascii="Georgia" w:hAnsi="Georgia"/>
        </w:rPr>
        <w:t xml:space="preserve"> application. In early 2014, Creative Harbor hired an intellectual </w:t>
      </w:r>
      <w:r w:rsidRPr="00241B90">
        <w:rPr>
          <w:rFonts w:ascii="Georgia" w:hAnsi="Georgia"/>
        </w:rPr>
        <w:lastRenderedPageBreak/>
        <w:t>property attorney to explore obtaining the WORKWIRE trademark. That attorney allegedly advised Creative Harbor that the Mark was available.</w:t>
      </w:r>
    </w:p>
    <w:p w14:paraId="23D0DC50" w14:textId="3700B895" w:rsidR="00453E3B" w:rsidRPr="00241B90" w:rsidRDefault="00453E3B" w:rsidP="00453E3B">
      <w:pPr>
        <w:rPr>
          <w:rFonts w:ascii="Georgia" w:hAnsi="Georgia"/>
        </w:rPr>
      </w:pPr>
      <w:r w:rsidRPr="00241B90">
        <w:rPr>
          <w:rFonts w:ascii="Georgia" w:hAnsi="Georgia"/>
        </w:rPr>
        <w:t>However, in early 2013, Kelly Services allegedly began developing its own employment-based iPad application, which it intended to distribute through the Apple App Store. Kelly Services also decided to name its application “</w:t>
      </w:r>
      <w:proofErr w:type="spellStart"/>
      <w:r w:rsidRPr="00241B90">
        <w:rPr>
          <w:rFonts w:ascii="Georgia" w:hAnsi="Georgia"/>
        </w:rPr>
        <w:t>WorkWire</w:t>
      </w:r>
      <w:proofErr w:type="spellEnd"/>
      <w:r w:rsidRPr="00241B90">
        <w:rPr>
          <w:rFonts w:ascii="Georgia" w:hAnsi="Georgia"/>
        </w:rPr>
        <w:t xml:space="preserve">.” Kelly Services allegedly completed this iPad application on February 4, 2014, and submitted the application to Apple for its approval and eventual distribution. On February 17, 2014, Apple approved Kelly Services’ </w:t>
      </w:r>
      <w:bookmarkStart w:id="2" w:name="co_pp_sp_506_860_1"/>
      <w:bookmarkEnd w:id="2"/>
      <w:r w:rsidRPr="00241B90">
        <w:rPr>
          <w:rFonts w:ascii="Georgia" w:hAnsi="Georgia"/>
        </w:rPr>
        <w:t>application, but did not release it on the App Store immediately.</w:t>
      </w:r>
    </w:p>
    <w:p w14:paraId="1EA09E30" w14:textId="31B607FE" w:rsidR="00453E3B" w:rsidRPr="00241B90" w:rsidRDefault="00453E3B" w:rsidP="00453E3B">
      <w:pPr>
        <w:rPr>
          <w:rFonts w:ascii="Georgia" w:hAnsi="Georgia"/>
        </w:rPr>
      </w:pPr>
      <w:r w:rsidRPr="00241B90">
        <w:rPr>
          <w:rFonts w:ascii="Georgia" w:hAnsi="Georgia"/>
        </w:rPr>
        <w:t xml:space="preserve">On February 19, 2014, Creative Harbor filed two trademark applications seeking rights to the Mark with the United States Patent and Trademark Office at 6:28 p.m. and 7:56 p.m. Eastern Standard Time, respectively (“the Applications”). The Applications sought the right to use the Mark in connection with thirty-six individually identified goods and services. Creative Harbor affirmed under penalty of perjury that it possessed a </w:t>
      </w:r>
      <w:r w:rsidRPr="00241B90">
        <w:rPr>
          <w:rFonts w:ascii="Georgia" w:hAnsi="Georgia"/>
          <w:i/>
          <w:iCs/>
        </w:rPr>
        <w:t>bona fide</w:t>
      </w:r>
      <w:r w:rsidRPr="00241B90">
        <w:rPr>
          <w:rFonts w:ascii="Georgia" w:hAnsi="Georgia"/>
        </w:rPr>
        <w:t xml:space="preserve"> intention to use the Mark in commerce on or in connection with each of the goods and services listed in the Applications. On the same day, at approximately 8:11 p.m. Eastern Standard Time, Kelly Services’ iPad application became available on the Apple App Store. A customer first downloaded the Kelly Services application on February 20, 2014.</w:t>
      </w:r>
    </w:p>
    <w:p w14:paraId="12E168F6" w14:textId="2F5D6946" w:rsidR="00453E3B" w:rsidRPr="00241B90" w:rsidRDefault="00453E3B" w:rsidP="00453E3B">
      <w:pPr>
        <w:rPr>
          <w:rFonts w:ascii="Georgia" w:hAnsi="Georgia"/>
        </w:rPr>
      </w:pPr>
      <w:r w:rsidRPr="00241B90">
        <w:rPr>
          <w:rFonts w:ascii="Georgia" w:hAnsi="Georgia"/>
        </w:rPr>
        <w:t xml:space="preserve">On March 10, 2014, Creative Harbor sent Kelly Services a </w:t>
      </w:r>
      <w:proofErr w:type="gramStart"/>
      <w:r w:rsidRPr="00241B90">
        <w:rPr>
          <w:rFonts w:ascii="Georgia" w:hAnsi="Georgia"/>
        </w:rPr>
        <w:t>cease and desist</w:t>
      </w:r>
      <w:proofErr w:type="gramEnd"/>
      <w:r w:rsidRPr="00241B90">
        <w:rPr>
          <w:rFonts w:ascii="Georgia" w:hAnsi="Georgia"/>
        </w:rPr>
        <w:t xml:space="preserve"> letter asserting its right to use the Mark, and demanding that Kelly Services cease using the WORKWIRE name in connection with Kelly Services’ Apple App Store iPad application. Sixteen days later, Kelly Services responded to that letter by </w:t>
      </w:r>
      <w:proofErr w:type="gramStart"/>
      <w:r w:rsidRPr="00241B90">
        <w:rPr>
          <w:rFonts w:ascii="Georgia" w:hAnsi="Georgia"/>
        </w:rPr>
        <w:t>bringing suit against</w:t>
      </w:r>
      <w:proofErr w:type="gramEnd"/>
      <w:r w:rsidRPr="00241B90">
        <w:rPr>
          <w:rFonts w:ascii="Georgia" w:hAnsi="Georgia"/>
        </w:rPr>
        <w:t xml:space="preserve"> Creative Harbor in the United States District Court for the Eastern District of Michigan. In its complaint, Kelly Services sought a declaratory judgment, </w:t>
      </w:r>
      <w:r w:rsidRPr="00241B90">
        <w:rPr>
          <w:rFonts w:ascii="Georgia" w:hAnsi="Georgia"/>
          <w:i/>
          <w:iCs/>
        </w:rPr>
        <w:t>inter alia</w:t>
      </w:r>
      <w:r w:rsidRPr="00241B90">
        <w:rPr>
          <w:rFonts w:ascii="Georgia" w:hAnsi="Georgia"/>
        </w:rPr>
        <w:t>, that: (1) it possessed superior rights to the Mark; (2) it had not infringed on Creative Harbor’s rights to the Mark; and (3) Creative Harbor’s rights to the Mark were invalid.</w:t>
      </w:r>
    </w:p>
    <w:p w14:paraId="6C8470D1" w14:textId="2D9C7FA4" w:rsidR="00453E3B" w:rsidRPr="00241B90" w:rsidRDefault="00453E3B" w:rsidP="00453E3B">
      <w:pPr>
        <w:rPr>
          <w:rFonts w:ascii="Georgia" w:hAnsi="Georgia"/>
        </w:rPr>
      </w:pPr>
      <w:r w:rsidRPr="00241B90">
        <w:rPr>
          <w:rFonts w:ascii="Georgia" w:hAnsi="Georgia"/>
        </w:rPr>
        <w:t>On May 2, 2014, Creative Harbor answered the complaint and filed counterclaims against Kelly Services. Relevant to this appeal, Creative Harbor sought a declaratory judgment that it had priority rights to the Mark over Kelly Services because it filed the Applications before Kelly Services began using the Mark in commerce.</w:t>
      </w:r>
    </w:p>
    <w:p w14:paraId="2FE8FEC2" w14:textId="77777777" w:rsidR="00453E3B" w:rsidRPr="00241B90" w:rsidRDefault="00453E3B" w:rsidP="00453E3B">
      <w:pPr>
        <w:rPr>
          <w:rFonts w:ascii="Georgia" w:hAnsi="Georgia"/>
        </w:rPr>
      </w:pPr>
      <w:bookmarkStart w:id="3" w:name="co_anchor_Ife523310dbd711e79bf099c0ee06c"/>
      <w:bookmarkEnd w:id="3"/>
      <w:r w:rsidRPr="00241B90">
        <w:rPr>
          <w:rFonts w:ascii="Georgia" w:hAnsi="Georgia"/>
        </w:rPr>
        <w:t xml:space="preserve">. . . . </w:t>
      </w:r>
    </w:p>
    <w:p w14:paraId="188223A2" w14:textId="77777777" w:rsidR="00453E3B" w:rsidRPr="00241B90" w:rsidRDefault="00453E3B" w:rsidP="00453E3B">
      <w:pPr>
        <w:pStyle w:val="Normal-Centered"/>
        <w:keepNext/>
        <w:rPr>
          <w:rFonts w:ascii="Georgia" w:hAnsi="Georgia"/>
        </w:rPr>
      </w:pPr>
      <w:r w:rsidRPr="00241B90">
        <w:rPr>
          <w:rFonts w:ascii="Georgia" w:hAnsi="Georgia"/>
        </w:rPr>
        <w:t>II. Procedural History</w:t>
      </w:r>
    </w:p>
    <w:p w14:paraId="539DB872" w14:textId="67D98EEB" w:rsidR="00453E3B" w:rsidRPr="00241B90" w:rsidRDefault="00453E3B" w:rsidP="00453E3B">
      <w:pPr>
        <w:rPr>
          <w:rFonts w:ascii="Georgia" w:hAnsi="Georgia"/>
        </w:rPr>
      </w:pPr>
      <w:r w:rsidRPr="00241B90">
        <w:rPr>
          <w:rFonts w:ascii="Georgia" w:hAnsi="Georgia"/>
        </w:rPr>
        <w:t xml:space="preserve">Kelly Services sought discovery related to various issues in the case, including Creative Harbor’s intent to use the Mark in commerce with respect to each of the goods and services listed in the Applications. In response to Kelly Services’ document requests, Creative Harbor produced a PowerPoint presentation that </w:t>
      </w:r>
      <w:r w:rsidRPr="00241B90">
        <w:rPr>
          <w:rFonts w:ascii="Georgia" w:hAnsi="Georgia"/>
        </w:rPr>
        <w:lastRenderedPageBreak/>
        <w:t>included mock-up “wireframes” (a concept map outlining the elements of a software application) for a potential iPhone application.</w:t>
      </w:r>
    </w:p>
    <w:p w14:paraId="64B9C8E6" w14:textId="204CAD22" w:rsidR="00453E3B" w:rsidRPr="00241B90" w:rsidRDefault="00453E3B" w:rsidP="00453E3B">
      <w:pPr>
        <w:rPr>
          <w:rFonts w:ascii="Georgia" w:hAnsi="Georgia"/>
        </w:rPr>
      </w:pPr>
      <w:r w:rsidRPr="00241B90">
        <w:rPr>
          <w:rFonts w:ascii="Georgia" w:hAnsi="Georgia"/>
        </w:rPr>
        <w:t xml:space="preserve">Kelly Services also deposed Jurgensen as Creative Harbor’s representative pursuant to Federal Rule of Civil Procedure 30(b)(6). During the deposition, Kelly Services asked Jurgensen </w:t>
      </w:r>
      <w:proofErr w:type="gramStart"/>
      <w:r w:rsidRPr="00241B90">
        <w:rPr>
          <w:rFonts w:ascii="Georgia" w:hAnsi="Georgia"/>
        </w:rPr>
        <w:t>a number of</w:t>
      </w:r>
      <w:proofErr w:type="gramEnd"/>
      <w:r w:rsidRPr="00241B90">
        <w:rPr>
          <w:rFonts w:ascii="Georgia" w:hAnsi="Georgia"/>
        </w:rPr>
        <w:t xml:space="preserve"> questions related to Creative Harbor’s plans to use the Mark in connection with the thirty-six goods and services identified in the Applications. In response to these questions, Jurgensen testified that Creative Harbor’s outside attorney, David Sharifi, prepared the Applications under Jurgensen’s instructions to “protect the mark” as to different products and services for which the Mark “could” eventually be used “in case the brand got bigger.” (Deposition transcript.) Accordingly, Jurgensen testified that he was not personally aware of the </w:t>
      </w:r>
      <w:proofErr w:type="gramStart"/>
      <w:r w:rsidRPr="00241B90">
        <w:rPr>
          <w:rFonts w:ascii="Georgia" w:hAnsi="Georgia"/>
        </w:rPr>
        <w:t>particular reasons</w:t>
      </w:r>
      <w:proofErr w:type="gramEnd"/>
      <w:r w:rsidRPr="00241B90">
        <w:rPr>
          <w:rFonts w:ascii="Georgia" w:hAnsi="Georgia"/>
        </w:rPr>
        <w:t xml:space="preserve"> why Sharifi included particular</w:t>
      </w:r>
      <w:bookmarkStart w:id="4" w:name="co_pp_sp_506_861_1"/>
      <w:bookmarkEnd w:id="4"/>
      <w:r w:rsidRPr="00241B90">
        <w:rPr>
          <w:rFonts w:ascii="Georgia" w:hAnsi="Georgia"/>
        </w:rPr>
        <w:t xml:space="preserve"> goods and services in the Applications. Jurgensen elaborated that “some of these services might be of future importance. Some of these terms might protect my endeavors in the future that I have . . . with the brand </w:t>
      </w:r>
      <w:proofErr w:type="gramStart"/>
      <w:r w:rsidRPr="00241B90">
        <w:rPr>
          <w:rFonts w:ascii="Georgia" w:hAnsi="Georgia"/>
        </w:rPr>
        <w:t>. . . .</w:t>
      </w:r>
      <w:proofErr w:type="gramEnd"/>
      <w:r w:rsidRPr="00241B90">
        <w:rPr>
          <w:rFonts w:ascii="Georgia" w:hAnsi="Georgia"/>
        </w:rPr>
        <w:t xml:space="preserve"> We can go through every single [</w:t>
      </w:r>
      <w:proofErr w:type="gramStart"/>
      <w:r w:rsidRPr="00241B90">
        <w:rPr>
          <w:rFonts w:ascii="Georgia" w:hAnsi="Georgia"/>
        </w:rPr>
        <w:t>item</w:t>
      </w:r>
      <w:proofErr w:type="gramEnd"/>
      <w:r w:rsidRPr="00241B90">
        <w:rPr>
          <w:rFonts w:ascii="Georgia" w:hAnsi="Georgia"/>
        </w:rPr>
        <w:t>], but I can also say to some of them this would have been a future use.” (</w:t>
      </w:r>
      <w:r w:rsidRPr="00241B90">
        <w:rPr>
          <w:rFonts w:ascii="Georgia" w:hAnsi="Georgia"/>
          <w:i/>
          <w:iCs/>
        </w:rPr>
        <w:t>Id.</w:t>
      </w:r>
      <w:r w:rsidRPr="00241B90">
        <w:rPr>
          <w:rFonts w:ascii="Georgia" w:hAnsi="Georgia"/>
        </w:rPr>
        <w:t>)</w:t>
      </w:r>
    </w:p>
    <w:p w14:paraId="465D1771" w14:textId="389AAA13" w:rsidR="00453E3B" w:rsidRPr="00241B90" w:rsidRDefault="00453E3B" w:rsidP="00453E3B">
      <w:pPr>
        <w:rPr>
          <w:rFonts w:ascii="Georgia" w:hAnsi="Georgia"/>
        </w:rPr>
      </w:pPr>
      <w:r w:rsidRPr="00241B90">
        <w:rPr>
          <w:rFonts w:ascii="Georgia" w:hAnsi="Georgia"/>
        </w:rPr>
        <w:t>Additionally, Jurgensen made several statements concerning the goods and services identified in the Applications. {These statements are discussed below}.</w:t>
      </w:r>
    </w:p>
    <w:p w14:paraId="7C591580" w14:textId="207B61A3" w:rsidR="00453E3B" w:rsidRPr="00241B90" w:rsidRDefault="00453E3B" w:rsidP="00453E3B">
      <w:pPr>
        <w:rPr>
          <w:rFonts w:ascii="Georgia" w:hAnsi="Georgia"/>
        </w:rPr>
      </w:pPr>
      <w:r w:rsidRPr="00241B90">
        <w:rPr>
          <w:rFonts w:ascii="Georgia" w:hAnsi="Georgia"/>
        </w:rPr>
        <w:t xml:space="preserve">On May 14, 2015, Creative Harbor moved for partial summary judgment seeking a declaration that it had priority to the Mark based on the Applications. Kelly Services opposed Creative Harbor’s motion on the ground that the Applications were invalid because Creative Harbor lacked </w:t>
      </w:r>
      <w:r w:rsidRPr="00241B90">
        <w:rPr>
          <w:rFonts w:ascii="Georgia" w:hAnsi="Georgia"/>
          <w:i/>
          <w:iCs/>
        </w:rPr>
        <w:t>bona fide</w:t>
      </w:r>
      <w:r w:rsidRPr="00241B90">
        <w:rPr>
          <w:rFonts w:ascii="Georgia" w:hAnsi="Georgia"/>
        </w:rPr>
        <w:t xml:space="preserve"> intent to use the Mark on some of the goods and services listed in the Applications, as required by § 1(b) of the Lanham Act. The district court construed Kelly Services’ opposition as a cross-motion for summary judgment on the priority issue. </w:t>
      </w:r>
    </w:p>
    <w:p w14:paraId="009ACC56" w14:textId="77777777" w:rsidR="00453E3B" w:rsidRPr="00241B90" w:rsidRDefault="00453E3B" w:rsidP="00453E3B">
      <w:pPr>
        <w:rPr>
          <w:rFonts w:ascii="Georgia" w:hAnsi="Georgia"/>
        </w:rPr>
      </w:pPr>
      <w:bookmarkStart w:id="5" w:name="co_pp_sp_506_862_1"/>
      <w:bookmarkEnd w:id="5"/>
      <w:r w:rsidRPr="00241B90">
        <w:rPr>
          <w:rFonts w:ascii="Georgia" w:hAnsi="Georgia"/>
        </w:rPr>
        <w:t>. . . .</w:t>
      </w:r>
    </w:p>
    <w:p w14:paraId="4D9DA408" w14:textId="385D6FAD" w:rsidR="00453E3B" w:rsidRPr="00241B90" w:rsidRDefault="00453E3B" w:rsidP="00453E3B">
      <w:pPr>
        <w:rPr>
          <w:rFonts w:ascii="Georgia" w:hAnsi="Georgia"/>
        </w:rPr>
      </w:pPr>
      <w:r w:rsidRPr="00241B90">
        <w:rPr>
          <w:rFonts w:ascii="Georgia" w:hAnsi="Georgia"/>
        </w:rPr>
        <w:t xml:space="preserve">On October 16, 2015, the district court granted Kelly Services’ cross-motion for summary judgment, voiding the Applications in their entirety. </w:t>
      </w:r>
      <w:r w:rsidRPr="00241B90">
        <w:rPr>
          <w:rFonts w:ascii="Georgia" w:hAnsi="Georgia"/>
          <w:i/>
          <w:iCs/>
        </w:rPr>
        <w:t>Kelly Servs. II</w:t>
      </w:r>
      <w:r w:rsidRPr="00241B90">
        <w:rPr>
          <w:rFonts w:ascii="Georgia" w:hAnsi="Georgia"/>
        </w:rPr>
        <w:t xml:space="preserve">, 140 F.Supp.3d at 623. The district court concluded that there was no genuine issue of material fact that Creative Harbor lacked a </w:t>
      </w:r>
      <w:r w:rsidRPr="00241B90">
        <w:rPr>
          <w:rFonts w:ascii="Georgia" w:hAnsi="Georgia"/>
          <w:i/>
          <w:iCs/>
        </w:rPr>
        <w:t>bona fide</w:t>
      </w:r>
      <w:r w:rsidRPr="00241B90">
        <w:rPr>
          <w:rFonts w:ascii="Georgia" w:hAnsi="Georgia"/>
        </w:rPr>
        <w:t xml:space="preserve"> intent to use the Mark as to some of the goods and services listed in its </w:t>
      </w:r>
      <w:proofErr w:type="gramStart"/>
      <w:r w:rsidRPr="00241B90">
        <w:rPr>
          <w:rFonts w:ascii="Georgia" w:hAnsi="Georgia"/>
        </w:rPr>
        <w:t>Applications</w:t>
      </w:r>
      <w:proofErr w:type="gramEnd"/>
      <w:r w:rsidRPr="00241B90">
        <w:rPr>
          <w:rFonts w:ascii="Georgia" w:hAnsi="Georgia"/>
        </w:rPr>
        <w:t xml:space="preserve">. </w:t>
      </w:r>
      <w:r w:rsidRPr="00241B90">
        <w:rPr>
          <w:rFonts w:ascii="Georgia" w:hAnsi="Georgia"/>
          <w:i/>
          <w:iCs/>
        </w:rPr>
        <w:t>Id.</w:t>
      </w:r>
      <w:r w:rsidRPr="00241B90">
        <w:rPr>
          <w:rFonts w:ascii="Georgia" w:hAnsi="Georgia"/>
        </w:rPr>
        <w:t xml:space="preserve"> at 618–19. After surveying TTAB precedent, the district court concluded that Creative Harbor’s lack of </w:t>
      </w:r>
      <w:r w:rsidRPr="00241B90">
        <w:rPr>
          <w:rFonts w:ascii="Georgia" w:hAnsi="Georgia"/>
          <w:i/>
          <w:iCs/>
        </w:rPr>
        <w:t>bona fide</w:t>
      </w:r>
      <w:r w:rsidRPr="00241B90">
        <w:rPr>
          <w:rFonts w:ascii="Georgia" w:hAnsi="Georgia"/>
        </w:rPr>
        <w:t xml:space="preserve"> intent as to some of the goods and services necessitated voiding the Applications in their entirety. </w:t>
      </w:r>
      <w:r w:rsidRPr="00241B90">
        <w:rPr>
          <w:rFonts w:ascii="Georgia" w:hAnsi="Georgia"/>
          <w:i/>
          <w:iCs/>
        </w:rPr>
        <w:t>Id.</w:t>
      </w:r>
      <w:r w:rsidRPr="00241B90">
        <w:rPr>
          <w:rFonts w:ascii="Georgia" w:hAnsi="Georgia"/>
        </w:rPr>
        <w:t xml:space="preserve"> at 622.</w:t>
      </w:r>
    </w:p>
    <w:p w14:paraId="33AAA7DE" w14:textId="77777777" w:rsidR="00453E3B" w:rsidRPr="00241B90" w:rsidRDefault="00453E3B" w:rsidP="00453E3B">
      <w:pPr>
        <w:rPr>
          <w:rFonts w:ascii="Georgia" w:hAnsi="Georgia"/>
        </w:rPr>
      </w:pPr>
      <w:r w:rsidRPr="00241B90">
        <w:rPr>
          <w:rFonts w:ascii="Georgia" w:hAnsi="Georgia"/>
        </w:rPr>
        <w:t>. . . .</w:t>
      </w:r>
    </w:p>
    <w:p w14:paraId="34F6B03D" w14:textId="77777777" w:rsidR="00453E3B" w:rsidRPr="00241B90" w:rsidRDefault="00453E3B" w:rsidP="00453E3B">
      <w:pPr>
        <w:pStyle w:val="Normal-Centered"/>
        <w:rPr>
          <w:rFonts w:ascii="Georgia" w:hAnsi="Georgia"/>
        </w:rPr>
      </w:pPr>
      <w:bookmarkStart w:id="6" w:name="co_anchor_Ife523311dbd711e79bf099c0ee06c"/>
      <w:bookmarkEnd w:id="6"/>
      <w:r w:rsidRPr="00241B90">
        <w:rPr>
          <w:rFonts w:ascii="Georgia" w:hAnsi="Georgia"/>
        </w:rPr>
        <w:t>DISCUSSION</w:t>
      </w:r>
    </w:p>
    <w:p w14:paraId="76D3DDA9" w14:textId="739201EE" w:rsidR="00453E3B" w:rsidRPr="00241B90" w:rsidRDefault="00453E3B" w:rsidP="00453E3B">
      <w:pPr>
        <w:rPr>
          <w:rFonts w:ascii="Georgia" w:hAnsi="Georgia"/>
        </w:rPr>
      </w:pPr>
      <w:r w:rsidRPr="00241B90">
        <w:rPr>
          <w:rFonts w:ascii="Georgia" w:hAnsi="Georgia"/>
        </w:rPr>
        <w:t xml:space="preserve">On appeal, Creative Harbor argues that: (1) the district court erred in concluding that it lacked a </w:t>
      </w:r>
      <w:r w:rsidRPr="00241B90">
        <w:rPr>
          <w:rFonts w:ascii="Georgia" w:hAnsi="Georgia"/>
          <w:i/>
          <w:iCs/>
        </w:rPr>
        <w:t>bona fide</w:t>
      </w:r>
      <w:r w:rsidRPr="00241B90">
        <w:rPr>
          <w:rFonts w:ascii="Georgia" w:hAnsi="Georgia"/>
        </w:rPr>
        <w:t xml:space="preserve"> intent to use the Mark in commerce with respect to some of the goods and services listed in the Applications at the time the Applications were filed; and (2) even if Creative Harbor did lack </w:t>
      </w:r>
      <w:r w:rsidRPr="00241B90">
        <w:rPr>
          <w:rFonts w:ascii="Georgia" w:hAnsi="Georgia"/>
          <w:i/>
          <w:iCs/>
        </w:rPr>
        <w:t>bona fide</w:t>
      </w:r>
      <w:r w:rsidRPr="00241B90">
        <w:rPr>
          <w:rFonts w:ascii="Georgia" w:hAnsi="Georgia"/>
        </w:rPr>
        <w:t xml:space="preserve"> intent </w:t>
      </w:r>
      <w:r w:rsidRPr="00241B90">
        <w:rPr>
          <w:rFonts w:ascii="Georgia" w:hAnsi="Georgia"/>
        </w:rPr>
        <w:lastRenderedPageBreak/>
        <w:t>as to certain goods and services, the Applications should not have been voided in their entirety. We address each of these arguments in turn.</w:t>
      </w:r>
      <w:bookmarkStart w:id="7" w:name="co_anchor_Ife523312dbd711e79bf099c0ee06c"/>
      <w:bookmarkEnd w:id="7"/>
    </w:p>
    <w:p w14:paraId="38EBA3DE" w14:textId="77777777" w:rsidR="00453E3B" w:rsidRPr="00241B90" w:rsidRDefault="00453E3B" w:rsidP="00453E3B">
      <w:pPr>
        <w:pStyle w:val="Normal-Centered"/>
        <w:keepNext/>
        <w:rPr>
          <w:rFonts w:ascii="Georgia" w:hAnsi="Georgia"/>
        </w:rPr>
      </w:pPr>
      <w:r w:rsidRPr="00241B90">
        <w:rPr>
          <w:rFonts w:ascii="Georgia" w:hAnsi="Georgia"/>
        </w:rPr>
        <w:t xml:space="preserve">I. </w:t>
      </w:r>
      <w:r w:rsidRPr="00241B90">
        <w:rPr>
          <w:rFonts w:ascii="Georgia" w:hAnsi="Georgia"/>
          <w:i/>
          <w:iCs/>
        </w:rPr>
        <w:t>Bona Fide</w:t>
      </w:r>
      <w:r w:rsidRPr="00241B90">
        <w:rPr>
          <w:rFonts w:ascii="Georgia" w:hAnsi="Georgia"/>
        </w:rPr>
        <w:t xml:space="preserve"> Intent</w:t>
      </w:r>
    </w:p>
    <w:p w14:paraId="42FA3EB6" w14:textId="77777777" w:rsidR="00453E3B" w:rsidRPr="00241B90" w:rsidRDefault="00453E3B" w:rsidP="00453E3B">
      <w:pPr>
        <w:pStyle w:val="Normal-Centered"/>
        <w:keepNext/>
        <w:rPr>
          <w:rFonts w:ascii="Georgia" w:hAnsi="Georgia"/>
        </w:rPr>
      </w:pPr>
      <w:r w:rsidRPr="00241B90">
        <w:rPr>
          <w:rFonts w:ascii="Georgia" w:hAnsi="Georgia"/>
        </w:rPr>
        <w:t>A. Standard of Review</w:t>
      </w:r>
      <w:bookmarkStart w:id="8" w:name="co_anchor_B12040812672_1"/>
      <w:bookmarkEnd w:id="8"/>
    </w:p>
    <w:p w14:paraId="15449566" w14:textId="43610F9B" w:rsidR="00453E3B" w:rsidRPr="00241B90" w:rsidRDefault="00453E3B" w:rsidP="00453E3B">
      <w:pPr>
        <w:rPr>
          <w:rFonts w:ascii="Georgia" w:hAnsi="Georgia"/>
        </w:rPr>
      </w:pPr>
      <w:r w:rsidRPr="00241B90">
        <w:rPr>
          <w:rFonts w:ascii="Georgia" w:hAnsi="Georgia"/>
        </w:rPr>
        <w:t xml:space="preserve">We review </w:t>
      </w:r>
      <w:r w:rsidRPr="00241B90">
        <w:rPr>
          <w:rFonts w:ascii="Georgia" w:hAnsi="Georgia"/>
          <w:i/>
          <w:iCs/>
        </w:rPr>
        <w:t>de novo</w:t>
      </w:r>
      <w:r w:rsidRPr="00241B90">
        <w:rPr>
          <w:rFonts w:ascii="Georgia" w:hAnsi="Georgia"/>
        </w:rPr>
        <w:t xml:space="preserve"> the district court’s partial grant of summary judgment </w:t>
      </w:r>
      <w:proofErr w:type="gramStart"/>
      <w:r w:rsidRPr="00241B90">
        <w:rPr>
          <w:rFonts w:ascii="Georgia" w:hAnsi="Georgia"/>
        </w:rPr>
        <w:t>. . . .</w:t>
      </w:r>
      <w:proofErr w:type="gramEnd"/>
      <w:r w:rsidRPr="00241B90">
        <w:rPr>
          <w:rFonts w:ascii="Georgia" w:hAnsi="Georgia"/>
        </w:rPr>
        <w:t xml:space="preserve"> </w:t>
      </w:r>
      <w:bookmarkStart w:id="9" w:name="co_anchor_Ife523313dbd711e79bf099c0ee06c"/>
      <w:bookmarkEnd w:id="9"/>
    </w:p>
    <w:p w14:paraId="03243643" w14:textId="77777777" w:rsidR="00453E3B" w:rsidRPr="00241B90" w:rsidRDefault="00453E3B" w:rsidP="00453E3B">
      <w:pPr>
        <w:pStyle w:val="Normal-Centered"/>
        <w:rPr>
          <w:rFonts w:ascii="Georgia" w:hAnsi="Georgia"/>
        </w:rPr>
      </w:pPr>
      <w:r w:rsidRPr="00241B90">
        <w:rPr>
          <w:rFonts w:ascii="Georgia" w:hAnsi="Georgia"/>
        </w:rPr>
        <w:t>B. Applicable Legal Principles</w:t>
      </w:r>
    </w:p>
    <w:p w14:paraId="1F425167" w14:textId="77777777" w:rsidR="00453E3B" w:rsidRPr="00241B90" w:rsidRDefault="00453E3B" w:rsidP="00453E3B">
      <w:pPr>
        <w:rPr>
          <w:rFonts w:ascii="Georgia" w:hAnsi="Georgia"/>
        </w:rPr>
      </w:pPr>
      <w:r w:rsidRPr="00241B90">
        <w:rPr>
          <w:rFonts w:ascii="Georgia" w:hAnsi="Georgia"/>
        </w:rPr>
        <w:t>. . . .</w:t>
      </w:r>
    </w:p>
    <w:p w14:paraId="4E39A493" w14:textId="7DA088CB" w:rsidR="00453E3B" w:rsidRPr="00241B90" w:rsidRDefault="00453E3B" w:rsidP="00453E3B">
      <w:pPr>
        <w:rPr>
          <w:rFonts w:ascii="Georgia" w:hAnsi="Georgia"/>
          <w:lang w:val="de-DE"/>
        </w:rPr>
      </w:pPr>
      <w:bookmarkStart w:id="10" w:name="co_anchor_B32040812672_1"/>
      <w:bookmarkEnd w:id="10"/>
      <w:r w:rsidRPr="00241B90">
        <w:rPr>
          <w:rFonts w:ascii="Georgia" w:hAnsi="Georgia"/>
        </w:rPr>
        <w:t xml:space="preserve">Two of our sister Circuits and the TTAB have held that “lack of a bona fide intent is proper statutory grounds on which to challenge a trademark application.” </w:t>
      </w:r>
      <w:r w:rsidRPr="00241B90">
        <w:rPr>
          <w:rFonts w:ascii="Georgia" w:hAnsi="Georgia"/>
          <w:i/>
          <w:iCs/>
        </w:rPr>
        <w:t>M.Z. Berger</w:t>
      </w:r>
      <w:r w:rsidRPr="00241B90">
        <w:rPr>
          <w:rFonts w:ascii="Georgia" w:hAnsi="Georgia"/>
        </w:rPr>
        <w:t xml:space="preserve">, 787 F.3d at 1375; </w:t>
      </w:r>
      <w:proofErr w:type="spellStart"/>
      <w:r w:rsidRPr="00241B90">
        <w:rPr>
          <w:rFonts w:ascii="Georgia" w:hAnsi="Georgia"/>
          <w:i/>
          <w:iCs/>
        </w:rPr>
        <w:t>Aktieselskabet</w:t>
      </w:r>
      <w:proofErr w:type="spellEnd"/>
      <w:r w:rsidRPr="00241B90">
        <w:rPr>
          <w:rFonts w:ascii="Georgia" w:hAnsi="Georgia"/>
          <w:i/>
          <w:iCs/>
        </w:rPr>
        <w:t xml:space="preserve"> AF 21. Nov. 2001 v. Fame Jeans Inc.</w:t>
      </w:r>
      <w:r w:rsidRPr="00241B90">
        <w:rPr>
          <w:rFonts w:ascii="Georgia" w:hAnsi="Georgia"/>
        </w:rPr>
        <w:t xml:space="preserve">, 525 F.3d 8, 21 (D.C. Cir. 2008); </w:t>
      </w:r>
      <w:r w:rsidRPr="00241B90">
        <w:rPr>
          <w:rFonts w:ascii="Georgia" w:hAnsi="Georgia"/>
          <w:i/>
          <w:iCs/>
        </w:rPr>
        <w:t>L’Oreal S.A. v. Marcon</w:t>
      </w:r>
      <w:r w:rsidRPr="00241B90">
        <w:rPr>
          <w:rFonts w:ascii="Georgia" w:hAnsi="Georgia"/>
        </w:rPr>
        <w:t>, 102 U.S.P.Q.2d 1434, 2012 WL 1267956, at *11 (T.T.A.B. 2012).</w:t>
      </w:r>
      <w:bookmarkStart w:id="11" w:name="co_footnoteReference_B00012040812672_ID0"/>
      <w:bookmarkEnd w:id="11"/>
      <w:r w:rsidRPr="00241B90">
        <w:rPr>
          <w:rFonts w:ascii="Georgia" w:hAnsi="Georgia"/>
        </w:rPr>
        <w:t xml:space="preserve"> The parties do not contest that premise. More importantly, § 1(b) explicitly requires that an ITU applicant have a </w:t>
      </w:r>
      <w:r w:rsidRPr="00241B90">
        <w:rPr>
          <w:rFonts w:ascii="Georgia" w:hAnsi="Georgia"/>
          <w:i/>
          <w:iCs/>
        </w:rPr>
        <w:t>bona fide</w:t>
      </w:r>
      <w:r w:rsidRPr="00241B90">
        <w:rPr>
          <w:rFonts w:ascii="Georgia" w:hAnsi="Georgia"/>
        </w:rPr>
        <w:t xml:space="preserve"> intent to use the mark in commerce as to the goods and services listed in the application. 15 U.S.C. § 1051(b)(1). We therefore join the Federal and D.C. </w:t>
      </w:r>
      <w:bookmarkStart w:id="12" w:name="co_pp_sp_506_864_1"/>
      <w:bookmarkEnd w:id="12"/>
      <w:r w:rsidRPr="00241B90">
        <w:rPr>
          <w:rFonts w:ascii="Georgia" w:hAnsi="Georgia"/>
        </w:rPr>
        <w:t xml:space="preserve">Circuits and hold that a lack of </w:t>
      </w:r>
      <w:r w:rsidRPr="00241B90">
        <w:rPr>
          <w:rFonts w:ascii="Georgia" w:hAnsi="Georgia"/>
          <w:i/>
          <w:iCs/>
        </w:rPr>
        <w:t>bona fide</w:t>
      </w:r>
      <w:r w:rsidRPr="00241B90">
        <w:rPr>
          <w:rFonts w:ascii="Georgia" w:hAnsi="Georgia"/>
        </w:rPr>
        <w:t xml:space="preserve"> intent is a proper ground on which to oppose an ITU application. </w:t>
      </w:r>
      <w:r w:rsidRPr="00241B90">
        <w:rPr>
          <w:rFonts w:ascii="Georgia" w:hAnsi="Georgia"/>
          <w:i/>
          <w:iCs/>
          <w:lang w:val="de-DE"/>
        </w:rPr>
        <w:t>M.Z. Berger</w:t>
      </w:r>
      <w:r w:rsidRPr="00241B90">
        <w:rPr>
          <w:rFonts w:ascii="Georgia" w:hAnsi="Georgia"/>
          <w:lang w:val="de-DE"/>
        </w:rPr>
        <w:t xml:space="preserve">, 787 F.3d at 1375; </w:t>
      </w:r>
      <w:r w:rsidRPr="00241B90">
        <w:rPr>
          <w:rFonts w:ascii="Georgia" w:hAnsi="Georgia"/>
          <w:i/>
          <w:iCs/>
          <w:lang w:val="de-DE"/>
        </w:rPr>
        <w:t>Aktieselskabet</w:t>
      </w:r>
      <w:r w:rsidRPr="00241B90">
        <w:rPr>
          <w:rFonts w:ascii="Georgia" w:hAnsi="Georgia"/>
          <w:lang w:val="de-DE"/>
        </w:rPr>
        <w:t>, 525 F.3d at 21.</w:t>
      </w:r>
    </w:p>
    <w:p w14:paraId="146B892D" w14:textId="12ACCBA2" w:rsidR="00453E3B" w:rsidRPr="00241B90" w:rsidRDefault="00453E3B" w:rsidP="00453E3B">
      <w:pPr>
        <w:rPr>
          <w:rFonts w:ascii="Georgia" w:hAnsi="Georgia"/>
        </w:rPr>
      </w:pPr>
      <w:r w:rsidRPr="00241B90">
        <w:rPr>
          <w:rFonts w:ascii="Georgia" w:hAnsi="Georgia"/>
        </w:rPr>
        <w:t xml:space="preserve">Although the Lanham Act does not define what constitutes a </w:t>
      </w:r>
      <w:r w:rsidRPr="00241B90">
        <w:rPr>
          <w:rFonts w:ascii="Georgia" w:hAnsi="Georgia"/>
          <w:i/>
          <w:iCs/>
        </w:rPr>
        <w:t>bona fide</w:t>
      </w:r>
      <w:r w:rsidRPr="00241B90">
        <w:rPr>
          <w:rFonts w:ascii="Georgia" w:hAnsi="Georgia"/>
        </w:rPr>
        <w:t xml:space="preserve"> intent to later use a mark in commerce, the Federal Circuit has explained “that the applicant’s intent must be demonstrable and more than a mere subjective belief.” </w:t>
      </w:r>
      <w:r w:rsidRPr="00241B90">
        <w:rPr>
          <w:rFonts w:ascii="Georgia" w:hAnsi="Georgia"/>
          <w:i/>
          <w:iCs/>
        </w:rPr>
        <w:t>M.Z. Berger</w:t>
      </w:r>
      <w:r w:rsidRPr="00241B90">
        <w:rPr>
          <w:rFonts w:ascii="Georgia" w:hAnsi="Georgia"/>
        </w:rPr>
        <w:t xml:space="preserve">, 787 F.3d at 1375; 3 </w:t>
      </w:r>
      <w:r w:rsidRPr="00241B90">
        <w:rPr>
          <w:rFonts w:ascii="Georgia" w:hAnsi="Georgia"/>
          <w:i/>
          <w:iCs/>
        </w:rPr>
        <w:t>McCarthy on Trademarks</w:t>
      </w:r>
      <w:r w:rsidRPr="00241B90">
        <w:rPr>
          <w:rFonts w:ascii="Georgia" w:hAnsi="Georgia"/>
        </w:rPr>
        <w:t xml:space="preserve"> § 19.14, at 19.48 (“Congress did not intend the issue to be resolved simply by an officer of the applicant later testifying, ‘Yes, indeed, at the time we filed that application, I did truly intend to use the mark at some time in the future.’”). Accordingly, “whether an applicant had a ‘bona fide intent’ to use the mark in commerce at the time of the application requires </w:t>
      </w:r>
      <w:r w:rsidRPr="00241B90">
        <w:rPr>
          <w:rFonts w:ascii="Georgia" w:hAnsi="Georgia"/>
          <w:i/>
          <w:iCs/>
        </w:rPr>
        <w:t>objective</w:t>
      </w:r>
      <w:r w:rsidRPr="00241B90">
        <w:rPr>
          <w:rFonts w:ascii="Georgia" w:hAnsi="Georgia"/>
        </w:rPr>
        <w:t xml:space="preserve"> evidence of intent.” </w:t>
      </w:r>
      <w:r w:rsidRPr="00241B90">
        <w:rPr>
          <w:rFonts w:ascii="Georgia" w:hAnsi="Georgia"/>
          <w:i/>
          <w:iCs/>
        </w:rPr>
        <w:t>M.Z. Berger</w:t>
      </w:r>
      <w:r w:rsidRPr="00241B90">
        <w:rPr>
          <w:rFonts w:ascii="Georgia" w:hAnsi="Georgia"/>
        </w:rPr>
        <w:t xml:space="preserve">, 787 F.3d at 1376 (emphasis added). “Although the evidentiary bar is not high, the circumstances must indicate that the applicant’s intent to use the mark was firm </w:t>
      </w:r>
      <w:r w:rsidRPr="00241B90">
        <w:rPr>
          <w:rFonts w:ascii="Georgia" w:hAnsi="Georgia"/>
          <w:i/>
          <w:iCs/>
        </w:rPr>
        <w:t>and not merely intent to reserve a right in the mark</w:t>
      </w:r>
      <w:r w:rsidRPr="00241B90">
        <w:rPr>
          <w:rFonts w:ascii="Georgia" w:hAnsi="Georgia"/>
        </w:rPr>
        <w:t xml:space="preserve">.” </w:t>
      </w:r>
      <w:r w:rsidRPr="00241B90">
        <w:rPr>
          <w:rFonts w:ascii="Georgia" w:hAnsi="Georgia"/>
          <w:i/>
          <w:iCs/>
        </w:rPr>
        <w:t>Id.</w:t>
      </w:r>
      <w:r w:rsidRPr="00241B90">
        <w:rPr>
          <w:rFonts w:ascii="Georgia" w:hAnsi="Georgia"/>
        </w:rPr>
        <w:t xml:space="preserve"> (emphasis added). This determination must be made on a “case-by-case basis considering the totality of the circumstances,” and may be assessed as of the time the application was filed. </w:t>
      </w:r>
      <w:r w:rsidRPr="00241B90">
        <w:rPr>
          <w:rFonts w:ascii="Georgia" w:hAnsi="Georgia"/>
          <w:i/>
          <w:iCs/>
        </w:rPr>
        <w:t>Id </w:t>
      </w:r>
      <w:proofErr w:type="gramStart"/>
      <w:r w:rsidRPr="00241B90">
        <w:rPr>
          <w:rFonts w:ascii="Georgia" w:hAnsi="Georgia"/>
          <w:i/>
          <w:iCs/>
        </w:rPr>
        <w:t>. . . .</w:t>
      </w:r>
      <w:proofErr w:type="gramEnd"/>
    </w:p>
    <w:p w14:paraId="7C7A3ACB" w14:textId="0A0CD14F" w:rsidR="00453E3B" w:rsidRPr="00241B90" w:rsidRDefault="00453E3B" w:rsidP="00453E3B">
      <w:pPr>
        <w:rPr>
          <w:rFonts w:ascii="Georgia" w:hAnsi="Georgia"/>
        </w:rPr>
      </w:pPr>
      <w:r w:rsidRPr="00241B90">
        <w:rPr>
          <w:rFonts w:ascii="Georgia" w:hAnsi="Georgia"/>
        </w:rPr>
        <w:t xml:space="preserve"> “Neither the [Lanham Act] nor [its] legislative history indicates the specific quantum or type of objective evidence required to meet the bar” to show </w:t>
      </w:r>
      <w:r w:rsidRPr="00241B90">
        <w:rPr>
          <w:rFonts w:ascii="Georgia" w:hAnsi="Georgia"/>
          <w:i/>
          <w:iCs/>
        </w:rPr>
        <w:t>bona fide</w:t>
      </w:r>
      <w:r w:rsidRPr="00241B90">
        <w:rPr>
          <w:rFonts w:ascii="Georgia" w:hAnsi="Georgia"/>
        </w:rPr>
        <w:t xml:space="preserve"> intent. </w:t>
      </w:r>
      <w:r w:rsidRPr="00241B90">
        <w:rPr>
          <w:rFonts w:ascii="Georgia" w:hAnsi="Georgia"/>
          <w:i/>
          <w:iCs/>
        </w:rPr>
        <w:t>M.Z. Berger</w:t>
      </w:r>
      <w:r w:rsidRPr="00241B90">
        <w:rPr>
          <w:rFonts w:ascii="Georgia" w:hAnsi="Georgia"/>
        </w:rPr>
        <w:t xml:space="preserve">, 787 F.3d at 1376. Drawing from the relevant legislative history, however, the TTAB has provided “several specific examples of objective circumstances which, if proven, ‘may cast doubt on the bona fide nature of the intent or even disprove it entirely.’” </w:t>
      </w:r>
      <w:r w:rsidRPr="00241B90">
        <w:rPr>
          <w:rFonts w:ascii="Georgia" w:hAnsi="Georgia"/>
          <w:i/>
          <w:iCs/>
        </w:rPr>
        <w:t>Lane</w:t>
      </w:r>
      <w:r w:rsidRPr="00241B90">
        <w:rPr>
          <w:rFonts w:ascii="Georgia" w:hAnsi="Georgia"/>
        </w:rPr>
        <w:t>, 1994 WL 740491, at *6 (quoting S. Rep. No. 100-515, at 23 (1988)).</w:t>
      </w:r>
    </w:p>
    <w:p w14:paraId="782E6778" w14:textId="77777777" w:rsidR="00453E3B" w:rsidRPr="00241B90" w:rsidRDefault="00453E3B" w:rsidP="00453E3B">
      <w:pPr>
        <w:pStyle w:val="Blockquote"/>
        <w:rPr>
          <w:rFonts w:ascii="Georgia" w:hAnsi="Georgia"/>
        </w:rPr>
      </w:pPr>
      <w:r w:rsidRPr="00241B90">
        <w:rPr>
          <w:rFonts w:ascii="Georgia" w:hAnsi="Georgia"/>
        </w:rPr>
        <w:lastRenderedPageBreak/>
        <w:t xml:space="preserve">For example, the applicant may have filed numerous intent-to-use applications to register the same mark for many more new products than are contemplated, numerous intent-to-use applications for a variety of desirable trademarks intended to be used on [a] single new product, numerous intent-to-use applications to register marks consisting of or incorporating descriptive terms relating to a contemplated new product, numerous intent-to-use applications to replace applications which have lapsed because no timely declaration of use has been filed, an excessive number of intent-to-use applications to register marks which ultimately were not actually used, an excessive number of intent-to-use applications in relation to the number of products the applicant is likely to introduce under the applied-for marks during the pendency of the applications, or applications unreasonably lacking in specificity in describing the proposed goods. Other circumstances may also indicate </w:t>
      </w:r>
      <w:bookmarkStart w:id="13" w:name="co_pp_sp_506_865_1"/>
      <w:bookmarkEnd w:id="13"/>
      <w:r w:rsidRPr="00241B90">
        <w:rPr>
          <w:rFonts w:ascii="Georgia" w:hAnsi="Georgia"/>
        </w:rPr>
        <w:t xml:space="preserve">the absence of genuine bona fide intent to </w:t>
      </w:r>
      <w:proofErr w:type="gramStart"/>
      <w:r w:rsidRPr="00241B90">
        <w:rPr>
          <w:rFonts w:ascii="Georgia" w:hAnsi="Georgia"/>
        </w:rPr>
        <w:t>actually use</w:t>
      </w:r>
      <w:proofErr w:type="gramEnd"/>
      <w:r w:rsidRPr="00241B90">
        <w:rPr>
          <w:rFonts w:ascii="Georgia" w:hAnsi="Georgia"/>
        </w:rPr>
        <w:t xml:space="preserve"> the mark.</w:t>
      </w:r>
    </w:p>
    <w:p w14:paraId="27444BD3" w14:textId="77777777" w:rsidR="00453E3B" w:rsidRPr="00241B90" w:rsidRDefault="00453E3B" w:rsidP="00453E3B">
      <w:pPr>
        <w:pStyle w:val="NormalNoIndent"/>
        <w:rPr>
          <w:rFonts w:ascii="Georgia" w:hAnsi="Georgia"/>
        </w:rPr>
      </w:pPr>
      <w:r w:rsidRPr="00241B90">
        <w:rPr>
          <w:rFonts w:ascii="Georgia" w:hAnsi="Georgia"/>
          <w:i/>
          <w:iCs/>
        </w:rPr>
        <w:t>Id.</w:t>
      </w:r>
      <w:r w:rsidRPr="00241B90">
        <w:rPr>
          <w:rFonts w:ascii="Georgia" w:hAnsi="Georgia"/>
        </w:rPr>
        <w:t xml:space="preserve"> (quoting S. Rep. No. 100-515, at 23–24).</w:t>
      </w:r>
    </w:p>
    <w:p w14:paraId="021DA06B" w14:textId="28C673CE" w:rsidR="00453E3B" w:rsidRPr="00241B90" w:rsidRDefault="00453E3B" w:rsidP="00453E3B">
      <w:pPr>
        <w:rPr>
          <w:rFonts w:ascii="Georgia" w:hAnsi="Georgia"/>
        </w:rPr>
      </w:pPr>
      <w:r w:rsidRPr="00241B90">
        <w:rPr>
          <w:rFonts w:ascii="Georgia" w:hAnsi="Georgia"/>
        </w:rPr>
        <w:t xml:space="preserve">Further, one prominent practitioner has recently compiled a list of “affirmative activities that have been deemed indicative of the </w:t>
      </w:r>
      <w:r w:rsidRPr="00241B90">
        <w:rPr>
          <w:rFonts w:ascii="Georgia" w:hAnsi="Georgia"/>
          <w:i/>
          <w:iCs/>
        </w:rPr>
        <w:t>presence</w:t>
      </w:r>
      <w:r w:rsidRPr="00241B90">
        <w:rPr>
          <w:rFonts w:ascii="Georgia" w:hAnsi="Georgia"/>
        </w:rPr>
        <w:t xml:space="preserve"> of a bona fide intent to use,” including:</w:t>
      </w:r>
    </w:p>
    <w:p w14:paraId="459FD647" w14:textId="77777777" w:rsidR="00453E3B" w:rsidRPr="00241B90" w:rsidRDefault="00453E3B" w:rsidP="00453E3B">
      <w:pPr>
        <w:numPr>
          <w:ilvl w:val="0"/>
          <w:numId w:val="3"/>
        </w:numPr>
        <w:rPr>
          <w:rFonts w:ascii="Georgia" w:hAnsi="Georgia"/>
        </w:rPr>
      </w:pPr>
      <w:r w:rsidRPr="00241B90">
        <w:rPr>
          <w:rFonts w:ascii="Georgia" w:hAnsi="Georgia"/>
        </w:rPr>
        <w:t xml:space="preserve">conducting a trademark availability </w:t>
      </w:r>
      <w:proofErr w:type="gramStart"/>
      <w:r w:rsidRPr="00241B90">
        <w:rPr>
          <w:rFonts w:ascii="Georgia" w:hAnsi="Georgia"/>
        </w:rPr>
        <w:t>search;</w:t>
      </w:r>
      <w:proofErr w:type="gramEnd"/>
    </w:p>
    <w:p w14:paraId="1FEC3E7C" w14:textId="77777777" w:rsidR="00453E3B" w:rsidRPr="00241B90" w:rsidRDefault="00453E3B" w:rsidP="00453E3B">
      <w:pPr>
        <w:numPr>
          <w:ilvl w:val="0"/>
          <w:numId w:val="3"/>
        </w:numPr>
        <w:rPr>
          <w:rFonts w:ascii="Georgia" w:hAnsi="Georgia"/>
        </w:rPr>
      </w:pPr>
      <w:r w:rsidRPr="00241B90">
        <w:rPr>
          <w:rFonts w:ascii="Georgia" w:hAnsi="Georgia"/>
        </w:rPr>
        <w:t xml:space="preserve">performing preparatory graphic design work or labeling on sales material for a </w:t>
      </w:r>
      <w:proofErr w:type="gramStart"/>
      <w:r w:rsidRPr="00241B90">
        <w:rPr>
          <w:rFonts w:ascii="Georgia" w:hAnsi="Georgia"/>
        </w:rPr>
        <w:t>product;</w:t>
      </w:r>
      <w:proofErr w:type="gramEnd"/>
    </w:p>
    <w:p w14:paraId="4525D99D" w14:textId="77777777" w:rsidR="00453E3B" w:rsidRPr="00241B90" w:rsidRDefault="00453E3B" w:rsidP="00453E3B">
      <w:pPr>
        <w:numPr>
          <w:ilvl w:val="0"/>
          <w:numId w:val="3"/>
        </w:numPr>
        <w:rPr>
          <w:rFonts w:ascii="Georgia" w:hAnsi="Georgia"/>
        </w:rPr>
      </w:pPr>
      <w:r w:rsidRPr="00241B90">
        <w:rPr>
          <w:rFonts w:ascii="Georgia" w:hAnsi="Georgia"/>
        </w:rPr>
        <w:t xml:space="preserve">using a mark in test </w:t>
      </w:r>
      <w:proofErr w:type="gramStart"/>
      <w:r w:rsidRPr="00241B90">
        <w:rPr>
          <w:rFonts w:ascii="Georgia" w:hAnsi="Georgia"/>
        </w:rPr>
        <w:t>marketing;</w:t>
      </w:r>
      <w:proofErr w:type="gramEnd"/>
    </w:p>
    <w:p w14:paraId="581A2936" w14:textId="77777777" w:rsidR="00453E3B" w:rsidRPr="00241B90" w:rsidRDefault="00453E3B" w:rsidP="00453E3B">
      <w:pPr>
        <w:numPr>
          <w:ilvl w:val="0"/>
          <w:numId w:val="3"/>
        </w:numPr>
        <w:rPr>
          <w:rFonts w:ascii="Georgia" w:hAnsi="Georgia"/>
        </w:rPr>
      </w:pPr>
      <w:r w:rsidRPr="00241B90">
        <w:rPr>
          <w:rFonts w:ascii="Georgia" w:hAnsi="Georgia"/>
        </w:rPr>
        <w:t xml:space="preserve">testimony regarding informal, unwritten business plans or market </w:t>
      </w:r>
      <w:proofErr w:type="gramStart"/>
      <w:r w:rsidRPr="00241B90">
        <w:rPr>
          <w:rFonts w:ascii="Georgia" w:hAnsi="Georgia"/>
        </w:rPr>
        <w:t>research;</w:t>
      </w:r>
      <w:proofErr w:type="gramEnd"/>
    </w:p>
    <w:p w14:paraId="7EABD9E6" w14:textId="77777777" w:rsidR="00453E3B" w:rsidRPr="00241B90" w:rsidRDefault="00453E3B" w:rsidP="00453E3B">
      <w:pPr>
        <w:numPr>
          <w:ilvl w:val="0"/>
          <w:numId w:val="3"/>
        </w:numPr>
        <w:rPr>
          <w:rFonts w:ascii="Georgia" w:hAnsi="Georgia"/>
        </w:rPr>
      </w:pPr>
      <w:r w:rsidRPr="00241B90">
        <w:rPr>
          <w:rFonts w:ascii="Georgia" w:hAnsi="Georgia"/>
        </w:rPr>
        <w:t xml:space="preserve">obtaining necessary regulatory </w:t>
      </w:r>
      <w:proofErr w:type="gramStart"/>
      <w:r w:rsidRPr="00241B90">
        <w:rPr>
          <w:rFonts w:ascii="Georgia" w:hAnsi="Georgia"/>
        </w:rPr>
        <w:t>permits;</w:t>
      </w:r>
      <w:proofErr w:type="gramEnd"/>
    </w:p>
    <w:p w14:paraId="21D3523B" w14:textId="77777777" w:rsidR="00453E3B" w:rsidRPr="00241B90" w:rsidRDefault="00453E3B" w:rsidP="00453E3B">
      <w:pPr>
        <w:numPr>
          <w:ilvl w:val="0"/>
          <w:numId w:val="3"/>
        </w:numPr>
        <w:rPr>
          <w:rFonts w:ascii="Georgia" w:hAnsi="Georgia"/>
        </w:rPr>
      </w:pPr>
      <w:r w:rsidRPr="00241B90">
        <w:rPr>
          <w:rFonts w:ascii="Georgia" w:hAnsi="Georgia"/>
        </w:rPr>
        <w:t xml:space="preserve">obtaining a correlative domain name for the mark or setting up a </w:t>
      </w:r>
      <w:proofErr w:type="gramStart"/>
      <w:r w:rsidRPr="00241B90">
        <w:rPr>
          <w:rFonts w:ascii="Georgia" w:hAnsi="Georgia"/>
        </w:rPr>
        <w:t>website;</w:t>
      </w:r>
      <w:proofErr w:type="gramEnd"/>
    </w:p>
    <w:p w14:paraId="430656B5" w14:textId="77777777" w:rsidR="00453E3B" w:rsidRPr="00241B90" w:rsidRDefault="00453E3B" w:rsidP="00453E3B">
      <w:pPr>
        <w:numPr>
          <w:ilvl w:val="0"/>
          <w:numId w:val="3"/>
        </w:numPr>
        <w:rPr>
          <w:rFonts w:ascii="Georgia" w:hAnsi="Georgia"/>
        </w:rPr>
      </w:pPr>
      <w:r w:rsidRPr="00241B90">
        <w:rPr>
          <w:rFonts w:ascii="Georgia" w:hAnsi="Georgia"/>
        </w:rPr>
        <w:t xml:space="preserve">making contacts with individuals who might help develop a </w:t>
      </w:r>
      <w:proofErr w:type="gramStart"/>
      <w:r w:rsidRPr="00241B90">
        <w:rPr>
          <w:rFonts w:ascii="Georgia" w:hAnsi="Georgia"/>
        </w:rPr>
        <w:t>business;</w:t>
      </w:r>
      <w:proofErr w:type="gramEnd"/>
    </w:p>
    <w:p w14:paraId="65393D36" w14:textId="77777777" w:rsidR="00453E3B" w:rsidRPr="00241B90" w:rsidRDefault="00453E3B" w:rsidP="00453E3B">
      <w:pPr>
        <w:numPr>
          <w:ilvl w:val="0"/>
          <w:numId w:val="3"/>
        </w:numPr>
        <w:rPr>
          <w:rFonts w:ascii="Georgia" w:hAnsi="Georgia"/>
        </w:rPr>
      </w:pPr>
      <w:r w:rsidRPr="00241B90">
        <w:rPr>
          <w:rFonts w:ascii="Georgia" w:hAnsi="Georgia"/>
        </w:rPr>
        <w:t xml:space="preserve">correspondence mentioning the planned use of the </w:t>
      </w:r>
      <w:proofErr w:type="gramStart"/>
      <w:r w:rsidRPr="00241B90">
        <w:rPr>
          <w:rFonts w:ascii="Georgia" w:hAnsi="Georgia"/>
        </w:rPr>
        <w:t>mark;</w:t>
      </w:r>
      <w:proofErr w:type="gramEnd"/>
    </w:p>
    <w:p w14:paraId="5FEE2A31" w14:textId="77777777" w:rsidR="00453E3B" w:rsidRPr="00241B90" w:rsidRDefault="00453E3B" w:rsidP="00453E3B">
      <w:pPr>
        <w:numPr>
          <w:ilvl w:val="0"/>
          <w:numId w:val="3"/>
        </w:numPr>
        <w:rPr>
          <w:rFonts w:ascii="Georgia" w:hAnsi="Georgia"/>
        </w:rPr>
      </w:pPr>
      <w:r w:rsidRPr="00241B90">
        <w:rPr>
          <w:rFonts w:ascii="Georgia" w:hAnsi="Georgia"/>
        </w:rPr>
        <w:t>attempts to find licensees, including ones outside of the U.S.; [and]</w:t>
      </w:r>
    </w:p>
    <w:p w14:paraId="4ED57104" w14:textId="77777777" w:rsidR="00453E3B" w:rsidRPr="00241B90" w:rsidRDefault="00453E3B" w:rsidP="00453E3B">
      <w:pPr>
        <w:numPr>
          <w:ilvl w:val="0"/>
          <w:numId w:val="3"/>
        </w:numPr>
        <w:rPr>
          <w:rFonts w:ascii="Georgia" w:hAnsi="Georgia"/>
        </w:rPr>
      </w:pPr>
      <w:r w:rsidRPr="00241B90">
        <w:rPr>
          <w:rFonts w:ascii="Georgia" w:hAnsi="Georgia"/>
        </w:rPr>
        <w:t>obtaining commercial space in which to perform the services.</w:t>
      </w:r>
    </w:p>
    <w:p w14:paraId="6D5D90C6" w14:textId="77777777" w:rsidR="00453E3B" w:rsidRPr="00241B90" w:rsidRDefault="00453E3B" w:rsidP="00453E3B">
      <w:pPr>
        <w:pStyle w:val="NormalNoIndent"/>
        <w:rPr>
          <w:rFonts w:ascii="Georgia" w:hAnsi="Georgia"/>
        </w:rPr>
      </w:pPr>
      <w:r w:rsidRPr="00241B90">
        <w:rPr>
          <w:rFonts w:ascii="Georgia" w:hAnsi="Georgia"/>
          <w:i/>
          <w:iCs/>
        </w:rPr>
        <w:t>See</w:t>
      </w:r>
      <w:r w:rsidRPr="00241B90">
        <w:rPr>
          <w:rFonts w:ascii="Georgia" w:hAnsi="Georgia"/>
        </w:rPr>
        <w:t xml:space="preserve"> Sandra Edelman, </w:t>
      </w:r>
      <w:r w:rsidRPr="00241B90">
        <w:rPr>
          <w:rFonts w:ascii="Georgia" w:hAnsi="Georgia"/>
          <w:i/>
          <w:iCs/>
        </w:rPr>
        <w:t>Proving Your Bona Fides—Establishing Bona Fide Intent to Use Under the U.S. Trademark (Lanham) Act</w:t>
      </w:r>
      <w:r w:rsidRPr="00241B90">
        <w:rPr>
          <w:rFonts w:ascii="Georgia" w:hAnsi="Georgia"/>
        </w:rPr>
        <w:t xml:space="preserve">, 99 </w:t>
      </w:r>
      <w:r w:rsidRPr="00241B90">
        <w:rPr>
          <w:rFonts w:ascii="Georgia" w:hAnsi="Georgia"/>
          <w:smallCaps/>
        </w:rPr>
        <w:t xml:space="preserve">Trademark </w:t>
      </w:r>
      <w:proofErr w:type="spellStart"/>
      <w:r w:rsidRPr="00241B90">
        <w:rPr>
          <w:rFonts w:ascii="Georgia" w:hAnsi="Georgia"/>
          <w:smallCaps/>
        </w:rPr>
        <w:t>Rptr</w:t>
      </w:r>
      <w:proofErr w:type="spellEnd"/>
      <w:r w:rsidRPr="00241B90">
        <w:rPr>
          <w:rFonts w:ascii="Georgia" w:hAnsi="Georgia"/>
        </w:rPr>
        <w:t>. 763, 781–82 (2009) (footnotes omitted) (emphasis in original).</w:t>
      </w:r>
    </w:p>
    <w:p w14:paraId="3987F278" w14:textId="605570D6" w:rsidR="00453E3B" w:rsidRPr="00241B90" w:rsidRDefault="00453E3B" w:rsidP="00453E3B">
      <w:pPr>
        <w:rPr>
          <w:rFonts w:ascii="Georgia" w:hAnsi="Georgia"/>
        </w:rPr>
      </w:pPr>
      <w:bookmarkStart w:id="14" w:name="co_anchor_B62040812672_1"/>
      <w:bookmarkStart w:id="15" w:name="co_anchor_B72040812672_1"/>
      <w:bookmarkEnd w:id="14"/>
      <w:bookmarkEnd w:id="15"/>
      <w:r w:rsidRPr="00241B90">
        <w:rPr>
          <w:rFonts w:ascii="Georgia" w:hAnsi="Georgia"/>
        </w:rPr>
        <w:t xml:space="preserve">On a motion for summary judgment in an action challenging an ITU application for lack of </w:t>
      </w:r>
      <w:r w:rsidRPr="00241B90">
        <w:rPr>
          <w:rFonts w:ascii="Georgia" w:hAnsi="Georgia"/>
          <w:i/>
          <w:iCs/>
        </w:rPr>
        <w:t>bona fide</w:t>
      </w:r>
      <w:r w:rsidRPr="00241B90">
        <w:rPr>
          <w:rFonts w:ascii="Georgia" w:hAnsi="Georgia"/>
        </w:rPr>
        <w:t xml:space="preserve"> intent, the party opposing the application (“opposing party” or “opposer”) “has the initial burden of demonstrating by a </w:t>
      </w:r>
      <w:r w:rsidRPr="00241B90">
        <w:rPr>
          <w:rFonts w:ascii="Georgia" w:hAnsi="Georgia"/>
        </w:rPr>
        <w:lastRenderedPageBreak/>
        <w:t xml:space="preserve">preponderance of the evidence that [the] applicant lacked a bona fide intent to use the mark on the identified goods.” </w:t>
      </w:r>
      <w:r w:rsidRPr="00241B90">
        <w:rPr>
          <w:rFonts w:ascii="Georgia" w:hAnsi="Georgia"/>
          <w:i/>
          <w:iCs/>
        </w:rPr>
        <w:t>Bos. Red Sox Baseball Club LP v. Sherman</w:t>
      </w:r>
      <w:r w:rsidRPr="00241B90">
        <w:rPr>
          <w:rFonts w:ascii="Georgia" w:hAnsi="Georgia"/>
        </w:rPr>
        <w:t xml:space="preserve">, 88 U.S.P.Q.2d 1581, 2008 WL 4149008, at *6 (T.T.A.B. 2007). Once this showing is made, the applicant must either come forward with objective documentary evidence demonstrating </w:t>
      </w:r>
      <w:r w:rsidRPr="00241B90">
        <w:rPr>
          <w:rFonts w:ascii="Georgia" w:hAnsi="Georgia"/>
          <w:i/>
          <w:iCs/>
        </w:rPr>
        <w:t>bona fide</w:t>
      </w:r>
      <w:r w:rsidRPr="00241B90">
        <w:rPr>
          <w:rFonts w:ascii="Georgia" w:hAnsi="Georgia"/>
        </w:rPr>
        <w:t xml:space="preserve"> intent, or else provide “other facts . . . which adequately explain or outweigh [the] applicant’s failure to provide such documentary evidence.” </w:t>
      </w:r>
      <w:r w:rsidRPr="00241B90">
        <w:rPr>
          <w:rFonts w:ascii="Georgia" w:hAnsi="Georgia"/>
          <w:i/>
          <w:iCs/>
        </w:rPr>
        <w:t>Honda Motor Co.</w:t>
      </w:r>
      <w:r w:rsidRPr="00241B90">
        <w:rPr>
          <w:rFonts w:ascii="Georgia" w:hAnsi="Georgia"/>
        </w:rPr>
        <w:t xml:space="preserve">, 2009 WL 962810, at *2. Without a valid excuse, the “absence of any documentary evidence on the part of an applicant regarding [bona fide intent] constitutes objective proof sufficient to prove that the applicant lack[ed] a bona fide intention to use its mark in commerce.” </w:t>
      </w:r>
      <w:r w:rsidRPr="00241B90">
        <w:rPr>
          <w:rFonts w:ascii="Georgia" w:hAnsi="Georgia"/>
          <w:i/>
          <w:iCs/>
        </w:rPr>
        <w:t>Bos. Red Sox</w:t>
      </w:r>
      <w:r w:rsidRPr="00241B90">
        <w:rPr>
          <w:rFonts w:ascii="Georgia" w:hAnsi="Georgia"/>
        </w:rPr>
        <w:t xml:space="preserve">, 2008 WL 4149008, at *6. “While the burden to produce evidence shifts, the burden of persuasion by a preponderance of the evidence remains with the party asserting a lack of a bona fide intention to use.” </w:t>
      </w:r>
      <w:r w:rsidRPr="00241B90">
        <w:rPr>
          <w:rFonts w:ascii="Georgia" w:hAnsi="Georgia"/>
          <w:i/>
          <w:iCs/>
        </w:rPr>
        <w:t>Intel Corp.</w:t>
      </w:r>
      <w:r w:rsidRPr="00241B90">
        <w:rPr>
          <w:rFonts w:ascii="Georgia" w:hAnsi="Georgia"/>
        </w:rPr>
        <w:t>, 2007 WL 1520948, at *4.</w:t>
      </w:r>
      <w:bookmarkStart w:id="16" w:name="co_anchor_Ife523314dbd711e79bf099c0ee06c"/>
      <w:bookmarkEnd w:id="16"/>
    </w:p>
    <w:p w14:paraId="2F6DA6DC" w14:textId="77777777" w:rsidR="00453E3B" w:rsidRPr="00241B90" w:rsidRDefault="00453E3B" w:rsidP="00453E3B">
      <w:pPr>
        <w:pStyle w:val="Normal-Centered"/>
        <w:rPr>
          <w:rFonts w:ascii="Georgia" w:hAnsi="Georgia"/>
        </w:rPr>
      </w:pPr>
      <w:r w:rsidRPr="00241B90">
        <w:rPr>
          <w:rFonts w:ascii="Georgia" w:hAnsi="Georgia"/>
        </w:rPr>
        <w:t>C. Analysis</w:t>
      </w:r>
    </w:p>
    <w:p w14:paraId="1CA7016B" w14:textId="48D6BB20" w:rsidR="00453E3B" w:rsidRPr="00241B90" w:rsidRDefault="00453E3B" w:rsidP="00453E3B">
      <w:pPr>
        <w:rPr>
          <w:rFonts w:ascii="Georgia" w:hAnsi="Georgia"/>
        </w:rPr>
      </w:pPr>
      <w:r w:rsidRPr="00241B90">
        <w:rPr>
          <w:rFonts w:ascii="Georgia" w:hAnsi="Georgia"/>
        </w:rPr>
        <w:t xml:space="preserve">Creative Harbor argues that the evidence in the record shows that it had a </w:t>
      </w:r>
      <w:r w:rsidRPr="00241B90">
        <w:rPr>
          <w:rFonts w:ascii="Georgia" w:hAnsi="Georgia"/>
          <w:i/>
          <w:iCs/>
        </w:rPr>
        <w:t>bona fide</w:t>
      </w:r>
      <w:r w:rsidRPr="00241B90">
        <w:rPr>
          <w:rFonts w:ascii="Georgia" w:hAnsi="Georgia"/>
        </w:rPr>
        <w:t xml:space="preserve"> intent to use the Mark in connection with </w:t>
      </w:r>
      <w:proofErr w:type="gramStart"/>
      <w:r w:rsidRPr="00241B90">
        <w:rPr>
          <w:rFonts w:ascii="Georgia" w:hAnsi="Georgia"/>
        </w:rPr>
        <w:t>each and every</w:t>
      </w:r>
      <w:proofErr w:type="gramEnd"/>
      <w:r w:rsidRPr="00241B90">
        <w:rPr>
          <w:rFonts w:ascii="Georgia" w:hAnsi="Georgia"/>
        </w:rPr>
        <w:t xml:space="preserve"> one of the thirty-six goods and services listed in the Applications at the time they were filed. We disagree. </w:t>
      </w:r>
      <w:bookmarkStart w:id="17" w:name="co_anchor_Ife523315dbd711e79bf099c0ee06c"/>
      <w:bookmarkEnd w:id="17"/>
    </w:p>
    <w:p w14:paraId="4DEE21E3" w14:textId="77777777" w:rsidR="00453E3B" w:rsidRPr="00241B90" w:rsidRDefault="00453E3B" w:rsidP="00453E3B">
      <w:pPr>
        <w:pStyle w:val="NormalNoIndent"/>
        <w:rPr>
          <w:rFonts w:ascii="Georgia" w:hAnsi="Georgia"/>
        </w:rPr>
      </w:pPr>
      <w:r w:rsidRPr="00241B90">
        <w:rPr>
          <w:rFonts w:ascii="Georgia" w:hAnsi="Georgia"/>
        </w:rPr>
        <w:t xml:space="preserve">1. </w:t>
      </w:r>
      <w:r w:rsidRPr="00241B90">
        <w:rPr>
          <w:rFonts w:ascii="Georgia" w:hAnsi="Georgia"/>
          <w:i/>
          <w:iCs/>
        </w:rPr>
        <w:t>Prime Facie</w:t>
      </w:r>
      <w:r w:rsidRPr="00241B90">
        <w:rPr>
          <w:rFonts w:ascii="Georgia" w:hAnsi="Georgia"/>
        </w:rPr>
        <w:t xml:space="preserve"> Showing of Lack of </w:t>
      </w:r>
      <w:r w:rsidRPr="00241B90">
        <w:rPr>
          <w:rFonts w:ascii="Georgia" w:hAnsi="Georgia"/>
          <w:i/>
          <w:iCs/>
        </w:rPr>
        <w:t>Bona Fide</w:t>
      </w:r>
      <w:r w:rsidRPr="00241B90">
        <w:rPr>
          <w:rFonts w:ascii="Georgia" w:hAnsi="Georgia"/>
        </w:rPr>
        <w:t xml:space="preserve"> Intent</w:t>
      </w:r>
    </w:p>
    <w:p w14:paraId="4396EE43" w14:textId="70D59E5A" w:rsidR="00453E3B" w:rsidRPr="00241B90" w:rsidRDefault="00453E3B" w:rsidP="00453E3B">
      <w:pPr>
        <w:rPr>
          <w:rFonts w:ascii="Georgia" w:hAnsi="Georgia"/>
        </w:rPr>
      </w:pPr>
      <w:r w:rsidRPr="00241B90">
        <w:rPr>
          <w:rFonts w:ascii="Georgia" w:hAnsi="Georgia"/>
        </w:rPr>
        <w:t>As the party challenging Creative Harbor’s Applications, Kelly Services bore</w:t>
      </w:r>
      <w:bookmarkStart w:id="18" w:name="co_pp_sp_506_866_1"/>
      <w:bookmarkEnd w:id="18"/>
      <w:r w:rsidRPr="00241B90">
        <w:rPr>
          <w:rFonts w:ascii="Georgia" w:hAnsi="Georgia"/>
        </w:rPr>
        <w:t xml:space="preserve"> “the initial burden of demonstrating by a preponderance of the evidence that [Creative Harbor] lacked a bona fide intent to use the mark on the identified goods.” </w:t>
      </w:r>
      <w:r w:rsidRPr="00241B90">
        <w:rPr>
          <w:rFonts w:ascii="Georgia" w:hAnsi="Georgia"/>
          <w:i/>
          <w:iCs/>
        </w:rPr>
        <w:t>Bos. Red Sox</w:t>
      </w:r>
      <w:r w:rsidRPr="00241B90">
        <w:rPr>
          <w:rFonts w:ascii="Georgia" w:hAnsi="Georgia"/>
        </w:rPr>
        <w:t>, 2008 WL 4149008, at *6. We hold that Kelly Services met this initial burden.</w:t>
      </w:r>
    </w:p>
    <w:p w14:paraId="103F504B" w14:textId="4E28D9D5" w:rsidR="00453E3B" w:rsidRPr="00241B90" w:rsidRDefault="00453E3B" w:rsidP="00453E3B">
      <w:pPr>
        <w:rPr>
          <w:rFonts w:ascii="Georgia" w:hAnsi="Georgia"/>
        </w:rPr>
      </w:pPr>
      <w:r w:rsidRPr="00241B90">
        <w:rPr>
          <w:rFonts w:ascii="Georgia" w:hAnsi="Georgia"/>
        </w:rPr>
        <w:t xml:space="preserve">As the district court correctly found, Jurgensen’s deposition testimony on behalf of Creative Harbor was sufficient to demonstrate by a preponderance of the evidence that Creative Harbor lacked </w:t>
      </w:r>
      <w:r w:rsidRPr="00241B90">
        <w:rPr>
          <w:rFonts w:ascii="Georgia" w:hAnsi="Georgia"/>
          <w:i/>
          <w:iCs/>
        </w:rPr>
        <w:t>bona fide</w:t>
      </w:r>
      <w:r w:rsidRPr="00241B90">
        <w:rPr>
          <w:rFonts w:ascii="Georgia" w:hAnsi="Georgia"/>
        </w:rPr>
        <w:t xml:space="preserve"> intent to use the Mark as to at least some of the goods and services identified in the Applications at the time the Applications were filed. The district court and Kelly Services specifically reference the following portions of Jurgensen’s deposition:</w:t>
      </w:r>
    </w:p>
    <w:p w14:paraId="67F7F974" w14:textId="77777777" w:rsidR="00453E3B" w:rsidRPr="00241B90" w:rsidRDefault="00453E3B" w:rsidP="00453E3B">
      <w:pPr>
        <w:numPr>
          <w:ilvl w:val="0"/>
          <w:numId w:val="2"/>
        </w:numPr>
        <w:rPr>
          <w:rFonts w:ascii="Georgia" w:hAnsi="Georgia"/>
        </w:rPr>
      </w:pPr>
      <w:r w:rsidRPr="00241B90">
        <w:rPr>
          <w:rFonts w:ascii="Georgia" w:hAnsi="Georgia"/>
        </w:rPr>
        <w:t xml:space="preserve">Mr. Jurgensen testified that he asked his attorney to file the [Applications] in order ‘to protect this brand . . . </w:t>
      </w:r>
      <w:r w:rsidRPr="00241B90">
        <w:rPr>
          <w:rFonts w:ascii="Georgia" w:hAnsi="Georgia"/>
          <w:i/>
          <w:iCs/>
        </w:rPr>
        <w:t>in case the brand got bigger; in case it diversifies a little bit</w:t>
      </w:r>
      <w:r w:rsidRPr="00241B90">
        <w:rPr>
          <w:rFonts w:ascii="Georgia" w:hAnsi="Georgia"/>
        </w:rPr>
        <w:t>.’ (Deposition testimony.</w:t>
      </w:r>
      <w:proofErr w:type="gramStart"/>
      <w:r w:rsidRPr="00241B90">
        <w:rPr>
          <w:rFonts w:ascii="Georgia" w:hAnsi="Georgia"/>
        </w:rPr>
        <w:t>);</w:t>
      </w:r>
      <w:proofErr w:type="gramEnd"/>
    </w:p>
    <w:p w14:paraId="2F29B76D" w14:textId="77777777" w:rsidR="00453E3B" w:rsidRPr="00241B90" w:rsidRDefault="00453E3B" w:rsidP="00453E3B">
      <w:pPr>
        <w:numPr>
          <w:ilvl w:val="0"/>
          <w:numId w:val="2"/>
        </w:numPr>
        <w:rPr>
          <w:rFonts w:ascii="Georgia" w:hAnsi="Georgia"/>
        </w:rPr>
      </w:pPr>
      <w:r w:rsidRPr="00241B90">
        <w:rPr>
          <w:rFonts w:ascii="Georgia" w:hAnsi="Georgia"/>
        </w:rPr>
        <w:t xml:space="preserve">Mr. Jurgensen said that the services and goods listed on the [Applications] ‘were defined with the idea of protecting my present and </w:t>
      </w:r>
      <w:r w:rsidRPr="00241B90">
        <w:rPr>
          <w:rFonts w:ascii="Georgia" w:hAnsi="Georgia"/>
          <w:i/>
          <w:iCs/>
        </w:rPr>
        <w:t>future exploration of this name—of this brand</w:t>
      </w:r>
      <w:r w:rsidRPr="00241B90">
        <w:rPr>
          <w:rFonts w:ascii="Georgia" w:hAnsi="Georgia"/>
        </w:rPr>
        <w:t>.’ (</w:t>
      </w:r>
      <w:r w:rsidRPr="00241B90">
        <w:rPr>
          <w:rFonts w:ascii="Georgia" w:hAnsi="Georgia"/>
          <w:i/>
          <w:iCs/>
        </w:rPr>
        <w:t>Id.</w:t>
      </w:r>
      <w:proofErr w:type="gramStart"/>
      <w:r w:rsidRPr="00241B90">
        <w:rPr>
          <w:rFonts w:ascii="Georgia" w:hAnsi="Georgia"/>
        </w:rPr>
        <w:t>);</w:t>
      </w:r>
      <w:proofErr w:type="gramEnd"/>
    </w:p>
    <w:p w14:paraId="6E6E93BB" w14:textId="77777777" w:rsidR="00453E3B" w:rsidRPr="00241B90" w:rsidRDefault="00453E3B" w:rsidP="00453E3B">
      <w:pPr>
        <w:numPr>
          <w:ilvl w:val="0"/>
          <w:numId w:val="2"/>
        </w:numPr>
        <w:rPr>
          <w:rFonts w:ascii="Georgia" w:hAnsi="Georgia"/>
        </w:rPr>
      </w:pPr>
      <w:r w:rsidRPr="00241B90">
        <w:rPr>
          <w:rFonts w:ascii="Georgia" w:hAnsi="Georgia"/>
        </w:rPr>
        <w:t xml:space="preserve">Mr. Jurgensen conceded that at the time his attorney drafted the [Application] he (Jurgensen) ‘had clear ideas for some of them, and </w:t>
      </w:r>
      <w:r w:rsidRPr="00241B90">
        <w:rPr>
          <w:rFonts w:ascii="Georgia" w:hAnsi="Georgia"/>
          <w:i/>
          <w:iCs/>
        </w:rPr>
        <w:t>some of them were meant for future exploration</w:t>
      </w:r>
      <w:r w:rsidRPr="00241B90">
        <w:rPr>
          <w:rFonts w:ascii="Georgia" w:hAnsi="Georgia"/>
        </w:rPr>
        <w:t>.’ (</w:t>
      </w:r>
      <w:r w:rsidRPr="00241B90">
        <w:rPr>
          <w:rFonts w:ascii="Georgia" w:hAnsi="Georgia"/>
          <w:i/>
          <w:iCs/>
        </w:rPr>
        <w:t>Id.</w:t>
      </w:r>
      <w:proofErr w:type="gramStart"/>
      <w:r w:rsidRPr="00241B90">
        <w:rPr>
          <w:rFonts w:ascii="Georgia" w:hAnsi="Georgia"/>
        </w:rPr>
        <w:t>);</w:t>
      </w:r>
      <w:proofErr w:type="gramEnd"/>
    </w:p>
    <w:p w14:paraId="2326638C" w14:textId="77777777" w:rsidR="00453E3B" w:rsidRPr="00241B90" w:rsidRDefault="00453E3B" w:rsidP="00453E3B">
      <w:pPr>
        <w:numPr>
          <w:ilvl w:val="0"/>
          <w:numId w:val="2"/>
        </w:numPr>
        <w:rPr>
          <w:rFonts w:ascii="Georgia" w:hAnsi="Georgia"/>
        </w:rPr>
      </w:pPr>
      <w:r w:rsidRPr="00241B90">
        <w:rPr>
          <w:rFonts w:ascii="Georgia" w:hAnsi="Georgia"/>
        </w:rPr>
        <w:lastRenderedPageBreak/>
        <w:t xml:space="preserve">Mr. Jurgensen acknowledged that some of the listed ‘services </w:t>
      </w:r>
      <w:r w:rsidRPr="00241B90">
        <w:rPr>
          <w:rFonts w:ascii="Georgia" w:hAnsi="Georgia"/>
          <w:i/>
          <w:iCs/>
        </w:rPr>
        <w:t>might</w:t>
      </w:r>
      <w:r w:rsidRPr="00241B90">
        <w:rPr>
          <w:rFonts w:ascii="Georgia" w:hAnsi="Georgia"/>
        </w:rPr>
        <w:t xml:space="preserve"> be of future importance’ and that they ‘</w:t>
      </w:r>
      <w:r w:rsidRPr="00241B90">
        <w:rPr>
          <w:rFonts w:ascii="Georgia" w:hAnsi="Georgia"/>
          <w:i/>
          <w:iCs/>
        </w:rPr>
        <w:t>might</w:t>
      </w:r>
      <w:r w:rsidRPr="00241B90">
        <w:rPr>
          <w:rFonts w:ascii="Georgia" w:hAnsi="Georgia"/>
        </w:rPr>
        <w:t xml:space="preserve"> protect my endeavors in the future that I have </w:t>
      </w:r>
      <w:proofErr w:type="gramStart"/>
      <w:r w:rsidRPr="00241B90">
        <w:rPr>
          <w:rFonts w:ascii="Georgia" w:hAnsi="Georgia"/>
        </w:rPr>
        <w:t>. . . .</w:t>
      </w:r>
      <w:proofErr w:type="gramEnd"/>
      <w:r w:rsidRPr="00241B90">
        <w:rPr>
          <w:rFonts w:ascii="Georgia" w:hAnsi="Georgia"/>
        </w:rPr>
        <w:t>’ (</w:t>
      </w:r>
      <w:r w:rsidRPr="00241B90">
        <w:rPr>
          <w:rFonts w:ascii="Georgia" w:hAnsi="Georgia"/>
          <w:i/>
          <w:iCs/>
        </w:rPr>
        <w:t>Id.</w:t>
      </w:r>
      <w:proofErr w:type="gramStart"/>
      <w:r w:rsidRPr="00241B90">
        <w:rPr>
          <w:rFonts w:ascii="Georgia" w:hAnsi="Georgia"/>
        </w:rPr>
        <w:t>);</w:t>
      </w:r>
      <w:proofErr w:type="gramEnd"/>
    </w:p>
    <w:p w14:paraId="12C5BA05" w14:textId="77777777" w:rsidR="00453E3B" w:rsidRPr="00241B90" w:rsidRDefault="00453E3B" w:rsidP="00453E3B">
      <w:pPr>
        <w:numPr>
          <w:ilvl w:val="0"/>
          <w:numId w:val="2"/>
        </w:numPr>
        <w:rPr>
          <w:rFonts w:ascii="Georgia" w:hAnsi="Georgia"/>
        </w:rPr>
      </w:pPr>
      <w:r w:rsidRPr="00241B90">
        <w:rPr>
          <w:rFonts w:ascii="Georgia" w:hAnsi="Georgia"/>
        </w:rPr>
        <w:t>In the [Applications], Creative Harbor stated that it intended to use the Mark with ‘computer game software,’ but Mr. Jurgensen testified that Creative Harbor did ‘not’ intend to use the Mark ‘with a game.’ (</w:t>
      </w:r>
      <w:r w:rsidRPr="00241B90">
        <w:rPr>
          <w:rFonts w:ascii="Georgia" w:hAnsi="Georgia"/>
          <w:i/>
        </w:rPr>
        <w:t>Id</w:t>
      </w:r>
      <w:r w:rsidRPr="00241B90">
        <w:rPr>
          <w:rFonts w:ascii="Georgia" w:hAnsi="Georgia"/>
        </w:rPr>
        <w:t>.</w:t>
      </w:r>
      <w:proofErr w:type="gramStart"/>
      <w:r w:rsidRPr="00241B90">
        <w:rPr>
          <w:rFonts w:ascii="Georgia" w:hAnsi="Georgia"/>
        </w:rPr>
        <w:t>);</w:t>
      </w:r>
      <w:proofErr w:type="gramEnd"/>
    </w:p>
    <w:p w14:paraId="467E0238" w14:textId="77777777" w:rsidR="00453E3B" w:rsidRPr="00241B90" w:rsidRDefault="00453E3B" w:rsidP="00453E3B">
      <w:pPr>
        <w:numPr>
          <w:ilvl w:val="0"/>
          <w:numId w:val="2"/>
        </w:numPr>
        <w:rPr>
          <w:rFonts w:ascii="Georgia" w:hAnsi="Georgia"/>
        </w:rPr>
      </w:pPr>
      <w:r w:rsidRPr="00241B90">
        <w:rPr>
          <w:rFonts w:ascii="Georgia" w:hAnsi="Georgia"/>
        </w:rPr>
        <w:t xml:space="preserve">In the [Applications], Creative Harbor said that it intended to use the Mark in connection with ‘professional credentialing verification services . . . on behalf of others,’ but Mr. Jurgensen acknowledged that he simply ‘wanted </w:t>
      </w:r>
      <w:r w:rsidRPr="00241B90">
        <w:rPr>
          <w:rFonts w:ascii="Georgia" w:hAnsi="Georgia"/>
          <w:i/>
          <w:iCs/>
        </w:rPr>
        <w:t>to keep the option open to at some point do that</w:t>
      </w:r>
      <w:r w:rsidRPr="00241B90">
        <w:rPr>
          <w:rFonts w:ascii="Georgia" w:hAnsi="Georgia"/>
        </w:rPr>
        <w:t>.’ (</w:t>
      </w:r>
      <w:r w:rsidRPr="00241B90">
        <w:rPr>
          <w:rFonts w:ascii="Georgia" w:hAnsi="Georgia"/>
          <w:i/>
          <w:iCs/>
        </w:rPr>
        <w:t>Id.</w:t>
      </w:r>
      <w:proofErr w:type="gramStart"/>
      <w:r w:rsidRPr="00241B90">
        <w:rPr>
          <w:rFonts w:ascii="Georgia" w:hAnsi="Georgia"/>
        </w:rPr>
        <w:t>);</w:t>
      </w:r>
      <w:proofErr w:type="gramEnd"/>
    </w:p>
    <w:p w14:paraId="6B280538" w14:textId="77777777" w:rsidR="00453E3B" w:rsidRPr="00241B90" w:rsidRDefault="00453E3B" w:rsidP="00453E3B">
      <w:pPr>
        <w:numPr>
          <w:ilvl w:val="0"/>
          <w:numId w:val="2"/>
        </w:numPr>
        <w:rPr>
          <w:rFonts w:ascii="Georgia" w:hAnsi="Georgia"/>
        </w:rPr>
      </w:pPr>
      <w:r w:rsidRPr="00241B90">
        <w:rPr>
          <w:rFonts w:ascii="Georgia" w:hAnsi="Georgia"/>
        </w:rPr>
        <w:t>In the [Applications], Creative Harbor said that it intended to use the Mark in connection with ‘employee relations information services,’ but when asked about that listing, Mr. Jurgensen did not know what it ‘refers to.’ (</w:t>
      </w:r>
      <w:r w:rsidRPr="00241B90">
        <w:rPr>
          <w:rFonts w:ascii="Georgia" w:hAnsi="Georgia"/>
          <w:i/>
          <w:iCs/>
        </w:rPr>
        <w:t>Id.</w:t>
      </w:r>
      <w:proofErr w:type="gramStart"/>
      <w:r w:rsidRPr="00241B90">
        <w:rPr>
          <w:rFonts w:ascii="Georgia" w:hAnsi="Georgia"/>
        </w:rPr>
        <w:t>);</w:t>
      </w:r>
      <w:proofErr w:type="gramEnd"/>
    </w:p>
    <w:p w14:paraId="795D1E3D" w14:textId="77777777" w:rsidR="00453E3B" w:rsidRPr="00241B90" w:rsidRDefault="00453E3B" w:rsidP="00453E3B">
      <w:pPr>
        <w:numPr>
          <w:ilvl w:val="0"/>
          <w:numId w:val="2"/>
        </w:numPr>
        <w:rPr>
          <w:rFonts w:ascii="Georgia" w:hAnsi="Georgia"/>
        </w:rPr>
      </w:pPr>
      <w:r w:rsidRPr="00241B90">
        <w:rPr>
          <w:rFonts w:ascii="Georgia" w:hAnsi="Georgia"/>
        </w:rPr>
        <w:t>In the [Applications], Creative Harbor said that it intended to use the Mark in connection with ‘employment staffing consultation services,’ and Mr. Jurgensen explained that Creative Harbor included this service because ‘</w:t>
      </w:r>
      <w:r w:rsidRPr="00241B90">
        <w:rPr>
          <w:rFonts w:ascii="Georgia" w:hAnsi="Georgia"/>
          <w:i/>
          <w:iCs/>
        </w:rPr>
        <w:t>maybe at some point</w:t>
      </w:r>
      <w:r w:rsidRPr="00241B90">
        <w:rPr>
          <w:rFonts w:ascii="Georgia" w:hAnsi="Georgia"/>
        </w:rPr>
        <w:t xml:space="preserve"> [the </w:t>
      </w:r>
      <w:proofErr w:type="spellStart"/>
      <w:r w:rsidRPr="00241B90">
        <w:rPr>
          <w:rFonts w:ascii="Georgia" w:hAnsi="Georgia"/>
        </w:rPr>
        <w:t>WorkWire</w:t>
      </w:r>
      <w:proofErr w:type="spellEnd"/>
      <w:r w:rsidRPr="00241B90">
        <w:rPr>
          <w:rFonts w:ascii="Georgia" w:hAnsi="Georgia"/>
        </w:rPr>
        <w:t xml:space="preserve"> application] would have consulting in there, </w:t>
      </w:r>
      <w:r w:rsidRPr="00241B90">
        <w:rPr>
          <w:rFonts w:ascii="Georgia" w:hAnsi="Georgia"/>
          <w:i/>
          <w:iCs/>
        </w:rPr>
        <w:t>maybe some kind of career advisor</w:t>
      </w:r>
      <w:r w:rsidRPr="00241B90">
        <w:rPr>
          <w:rFonts w:ascii="Georgia" w:hAnsi="Georgia"/>
        </w:rPr>
        <w:t>, something like this.’ (</w:t>
      </w:r>
      <w:r w:rsidRPr="00241B90">
        <w:rPr>
          <w:rFonts w:ascii="Georgia" w:hAnsi="Georgia"/>
          <w:i/>
          <w:iCs/>
        </w:rPr>
        <w:t>Id.</w:t>
      </w:r>
      <w:proofErr w:type="gramStart"/>
      <w:r w:rsidRPr="00241B90">
        <w:rPr>
          <w:rFonts w:ascii="Georgia" w:hAnsi="Georgia"/>
        </w:rPr>
        <w:t>);</w:t>
      </w:r>
      <w:proofErr w:type="gramEnd"/>
    </w:p>
    <w:p w14:paraId="045E15C1" w14:textId="77777777" w:rsidR="00453E3B" w:rsidRPr="00241B90" w:rsidRDefault="00453E3B" w:rsidP="00453E3B">
      <w:pPr>
        <w:numPr>
          <w:ilvl w:val="0"/>
          <w:numId w:val="2"/>
        </w:numPr>
        <w:rPr>
          <w:rFonts w:ascii="Georgia" w:hAnsi="Georgia"/>
        </w:rPr>
      </w:pPr>
      <w:r w:rsidRPr="00241B90">
        <w:rPr>
          <w:rFonts w:ascii="Georgia" w:hAnsi="Georgia"/>
        </w:rPr>
        <w:t>In the [Applications], Creative Harbor said that it intended to use the Mark in connection with ‘business consulting’ services, but Mr. Jurgensen conceded that he ‘wanted to make sure [that] was there included’ because the company ‘could’ perhaps perform those services ‘at some point’ in the future. (</w:t>
      </w:r>
      <w:r w:rsidRPr="00241B90">
        <w:rPr>
          <w:rFonts w:ascii="Georgia" w:hAnsi="Georgia"/>
          <w:i/>
          <w:iCs/>
        </w:rPr>
        <w:t>Id.</w:t>
      </w:r>
      <w:r w:rsidRPr="00241B90">
        <w:rPr>
          <w:rFonts w:ascii="Georgia" w:hAnsi="Georgia"/>
        </w:rPr>
        <w:t>)</w:t>
      </w:r>
    </w:p>
    <w:p w14:paraId="28754FE0" w14:textId="77777777" w:rsidR="00453E3B" w:rsidRPr="00241B90" w:rsidRDefault="00453E3B" w:rsidP="00453E3B">
      <w:pPr>
        <w:pStyle w:val="NormalNoIndent"/>
        <w:rPr>
          <w:rFonts w:ascii="Georgia" w:hAnsi="Georgia"/>
        </w:rPr>
      </w:pPr>
      <w:r w:rsidRPr="00241B90">
        <w:rPr>
          <w:rFonts w:ascii="Georgia" w:hAnsi="Georgia"/>
          <w:i/>
          <w:iCs/>
        </w:rPr>
        <w:t>Kelly Servs. II</w:t>
      </w:r>
      <w:r w:rsidRPr="00241B90">
        <w:rPr>
          <w:rFonts w:ascii="Georgia" w:hAnsi="Georgia"/>
        </w:rPr>
        <w:t>, 140 F.Supp.3d at 617–18 (emphasis in original) (record citations altered).</w:t>
      </w:r>
    </w:p>
    <w:p w14:paraId="37861825" w14:textId="10399307" w:rsidR="00453E3B" w:rsidRPr="00241B90" w:rsidRDefault="00453E3B" w:rsidP="00453E3B">
      <w:pPr>
        <w:rPr>
          <w:rFonts w:ascii="Georgia" w:hAnsi="Georgia"/>
        </w:rPr>
      </w:pPr>
      <w:bookmarkStart w:id="19" w:name="co_anchor_B82040812672_1"/>
      <w:bookmarkEnd w:id="19"/>
      <w:r w:rsidRPr="00241B90">
        <w:rPr>
          <w:rFonts w:ascii="Georgia" w:hAnsi="Georgia"/>
        </w:rPr>
        <w:t xml:space="preserve">These excerpts establish that Creative Harbor did not have a “firm” intention to use the Mark in connection with computer software games, professional credentialing verification services, employee relations </w:t>
      </w:r>
      <w:bookmarkStart w:id="20" w:name="co_pp_sp_506_867_1"/>
      <w:bookmarkEnd w:id="20"/>
      <w:r w:rsidRPr="00241B90">
        <w:rPr>
          <w:rFonts w:ascii="Georgia" w:hAnsi="Georgia"/>
        </w:rPr>
        <w:t xml:space="preserve">information services, employment staffing consultation services, and business consulting services—all goods and services listed in the Applications. </w:t>
      </w:r>
      <w:r w:rsidRPr="00241B90">
        <w:rPr>
          <w:rFonts w:ascii="Georgia" w:hAnsi="Georgia"/>
          <w:i/>
          <w:iCs/>
        </w:rPr>
        <w:t>See M.Z. Berger</w:t>
      </w:r>
      <w:r w:rsidRPr="00241B90">
        <w:rPr>
          <w:rFonts w:ascii="Georgia" w:hAnsi="Georgia"/>
        </w:rPr>
        <w:t xml:space="preserve">, 787 F.3d at 1376. Moreover, several of Jurgensen’s other statements strongly suggest that Creative Harbor included some goods and services in the Applications merely to “reserve a right in the mark” in case it ever decided to expand its commercial activities into those areas. </w:t>
      </w:r>
      <w:r w:rsidRPr="00241B90">
        <w:rPr>
          <w:rFonts w:ascii="Georgia" w:hAnsi="Georgia"/>
          <w:i/>
          <w:iCs/>
        </w:rPr>
        <w:t>Id.</w:t>
      </w:r>
      <w:r w:rsidRPr="00241B90">
        <w:rPr>
          <w:rFonts w:ascii="Georgia" w:hAnsi="Georgia"/>
        </w:rPr>
        <w:t xml:space="preserve"> Jurgensen’s statement that, at the time the Applications were filed, Creative Harbor “had clear ideas for some of [the goods and services], and </w:t>
      </w:r>
      <w:r w:rsidRPr="00241B90">
        <w:rPr>
          <w:rFonts w:ascii="Georgia" w:hAnsi="Georgia"/>
          <w:i/>
          <w:iCs/>
        </w:rPr>
        <w:t>some of them were meant for future exploration</w:t>
      </w:r>
      <w:r w:rsidRPr="00241B90">
        <w:rPr>
          <w:rFonts w:ascii="Georgia" w:hAnsi="Georgia"/>
        </w:rPr>
        <w:t xml:space="preserve">” is particularly indicative of Creative Harbor’s lack of firm intent. Creative Harbor was not permitted to claim the Mark for uses that might only materialize after some unspecified “future exploration”—it was required to have firm plans to use the Mark at the time the Applications were </w:t>
      </w:r>
      <w:r w:rsidRPr="00241B90">
        <w:rPr>
          <w:rFonts w:ascii="Georgia" w:hAnsi="Georgia"/>
        </w:rPr>
        <w:lastRenderedPageBreak/>
        <w:t xml:space="preserve">filed. </w:t>
      </w:r>
      <w:r w:rsidRPr="00241B90">
        <w:rPr>
          <w:rFonts w:ascii="Georgia" w:hAnsi="Georgia"/>
          <w:i/>
          <w:iCs/>
        </w:rPr>
        <w:t>M.Z. Berger</w:t>
      </w:r>
      <w:r w:rsidRPr="00241B90">
        <w:rPr>
          <w:rFonts w:ascii="Georgia" w:hAnsi="Georgia"/>
        </w:rPr>
        <w:t xml:space="preserve">, 787 F.3d at 1376. Taking </w:t>
      </w:r>
      <w:proofErr w:type="gramStart"/>
      <w:r w:rsidRPr="00241B90">
        <w:rPr>
          <w:rFonts w:ascii="Georgia" w:hAnsi="Georgia"/>
        </w:rPr>
        <w:t>all of</w:t>
      </w:r>
      <w:proofErr w:type="gramEnd"/>
      <w:r w:rsidRPr="00241B90">
        <w:rPr>
          <w:rFonts w:ascii="Georgia" w:hAnsi="Georgia"/>
        </w:rPr>
        <w:t xml:space="preserve"> Jurgensen’s statements together, we are persuaded that the district court was correct in concluding that Kelly Services carried its initial burden in showing that it was more likely than not that Creative Harbor lacked </w:t>
      </w:r>
      <w:r w:rsidRPr="00241B90">
        <w:rPr>
          <w:rFonts w:ascii="Georgia" w:hAnsi="Georgia"/>
          <w:i/>
          <w:iCs/>
        </w:rPr>
        <w:t>bona fide</w:t>
      </w:r>
      <w:r w:rsidRPr="00241B90">
        <w:rPr>
          <w:rFonts w:ascii="Georgia" w:hAnsi="Georgia"/>
        </w:rPr>
        <w:t xml:space="preserve"> intent as to some of the goods and services listed in the Applications. </w:t>
      </w:r>
    </w:p>
    <w:p w14:paraId="2E592021" w14:textId="77777777" w:rsidR="00453E3B" w:rsidRPr="00241B90" w:rsidRDefault="00453E3B" w:rsidP="00453E3B">
      <w:pPr>
        <w:rPr>
          <w:rFonts w:ascii="Georgia" w:hAnsi="Georgia"/>
        </w:rPr>
      </w:pPr>
      <w:r w:rsidRPr="00241B90">
        <w:rPr>
          <w:rFonts w:ascii="Georgia" w:hAnsi="Georgia"/>
        </w:rPr>
        <w:t>. . . .</w:t>
      </w:r>
    </w:p>
    <w:p w14:paraId="2C325FEA" w14:textId="0BCA346F" w:rsidR="00453E3B" w:rsidRPr="00241B90" w:rsidRDefault="00453E3B" w:rsidP="00453E3B">
      <w:pPr>
        <w:rPr>
          <w:rFonts w:ascii="Georgia" w:hAnsi="Georgia"/>
        </w:rPr>
      </w:pPr>
      <w:bookmarkStart w:id="21" w:name="co_pp_sp_506_868_1"/>
      <w:bookmarkEnd w:id="21"/>
      <w:r w:rsidRPr="00241B90">
        <w:rPr>
          <w:rFonts w:ascii="Georgia" w:hAnsi="Georgia"/>
        </w:rPr>
        <w:t xml:space="preserve">Accordingly, we hold that Kelly Services met its initial burden of production to show that Creative Harbor lacked </w:t>
      </w:r>
      <w:r w:rsidRPr="00241B90">
        <w:rPr>
          <w:rFonts w:ascii="Georgia" w:hAnsi="Georgia"/>
          <w:i/>
          <w:iCs/>
        </w:rPr>
        <w:t>bona fide</w:t>
      </w:r>
      <w:r w:rsidRPr="00241B90">
        <w:rPr>
          <w:rFonts w:ascii="Georgia" w:hAnsi="Georgia"/>
        </w:rPr>
        <w:t xml:space="preserve"> intent as to some of the goods and services listed in the Applications.</w:t>
      </w:r>
      <w:bookmarkStart w:id="22" w:name="co_anchor_Ife523316dbd711e79bf099c0ee06c"/>
      <w:bookmarkEnd w:id="22"/>
    </w:p>
    <w:p w14:paraId="23966A41" w14:textId="77777777" w:rsidR="00453E3B" w:rsidRPr="00241B90" w:rsidRDefault="00453E3B" w:rsidP="00453E3B">
      <w:pPr>
        <w:pStyle w:val="NormalNoIndent"/>
        <w:rPr>
          <w:rFonts w:ascii="Georgia" w:hAnsi="Georgia"/>
        </w:rPr>
      </w:pPr>
      <w:r w:rsidRPr="00241B90">
        <w:rPr>
          <w:rFonts w:ascii="Georgia" w:hAnsi="Georgia"/>
        </w:rPr>
        <w:t>2. Rebuttal Evidence</w:t>
      </w:r>
    </w:p>
    <w:p w14:paraId="5C76F5B6" w14:textId="674A4556" w:rsidR="00453E3B" w:rsidRPr="00241B90" w:rsidRDefault="00453E3B" w:rsidP="00453E3B">
      <w:pPr>
        <w:rPr>
          <w:rFonts w:ascii="Georgia" w:hAnsi="Georgia"/>
        </w:rPr>
      </w:pPr>
      <w:r w:rsidRPr="00241B90">
        <w:rPr>
          <w:rFonts w:ascii="Georgia" w:hAnsi="Georgia"/>
        </w:rPr>
        <w:t xml:space="preserve">Once Kelly Services met its initial burden of production, Creative Harbor was required to come forward with either objective documentary evidence establishing its </w:t>
      </w:r>
      <w:r w:rsidRPr="00241B90">
        <w:rPr>
          <w:rFonts w:ascii="Georgia" w:hAnsi="Georgia"/>
          <w:i/>
          <w:iCs/>
        </w:rPr>
        <w:t>bona fide</w:t>
      </w:r>
      <w:r w:rsidRPr="00241B90">
        <w:rPr>
          <w:rFonts w:ascii="Georgia" w:hAnsi="Georgia"/>
        </w:rPr>
        <w:t xml:space="preserve"> intent, or facts supporting a sound explanation as to why such evidence was lacking. </w:t>
      </w:r>
      <w:r w:rsidRPr="00241B90">
        <w:rPr>
          <w:rFonts w:ascii="Georgia" w:hAnsi="Georgia"/>
          <w:i/>
          <w:iCs/>
        </w:rPr>
        <w:t>Honda Motor Co.</w:t>
      </w:r>
      <w:r w:rsidRPr="00241B90">
        <w:rPr>
          <w:rFonts w:ascii="Georgia" w:hAnsi="Georgia"/>
        </w:rPr>
        <w:t>, 2009 WL 962810, at *2. We hold that Creative Harbor provided sufficient objective evidence as to some of the goods and services listed in the Applications, but not others.</w:t>
      </w:r>
    </w:p>
    <w:p w14:paraId="5ABD2680" w14:textId="2752EB3B" w:rsidR="00453E3B" w:rsidRPr="00241B90" w:rsidRDefault="00453E3B" w:rsidP="00453E3B">
      <w:pPr>
        <w:rPr>
          <w:rFonts w:ascii="Georgia" w:hAnsi="Georgia"/>
        </w:rPr>
      </w:pPr>
      <w:r w:rsidRPr="00241B90">
        <w:rPr>
          <w:rFonts w:ascii="Georgia" w:hAnsi="Georgia"/>
        </w:rPr>
        <w:t xml:space="preserve">In its summary judgment briefing, and again on appeal, Creative Harbor marshals significant evidence demonstrating its </w:t>
      </w:r>
      <w:r w:rsidRPr="00241B90">
        <w:rPr>
          <w:rFonts w:ascii="Georgia" w:hAnsi="Georgia"/>
          <w:i/>
          <w:iCs/>
        </w:rPr>
        <w:t>bona fide</w:t>
      </w:r>
      <w:r w:rsidRPr="00241B90">
        <w:rPr>
          <w:rFonts w:ascii="Georgia" w:hAnsi="Georgia"/>
        </w:rPr>
        <w:t xml:space="preserve"> intent. A representative sample of Creative Harbor’s evidence includes:</w:t>
      </w:r>
    </w:p>
    <w:p w14:paraId="257ADF1C" w14:textId="77777777" w:rsidR="00453E3B" w:rsidRPr="00241B90" w:rsidRDefault="00453E3B" w:rsidP="00453E3B">
      <w:pPr>
        <w:numPr>
          <w:ilvl w:val="0"/>
          <w:numId w:val="1"/>
        </w:numPr>
        <w:rPr>
          <w:rFonts w:ascii="Georgia" w:hAnsi="Georgia"/>
        </w:rPr>
      </w:pPr>
      <w:r w:rsidRPr="00241B90">
        <w:rPr>
          <w:rFonts w:ascii="Georgia" w:hAnsi="Georgia"/>
        </w:rPr>
        <w:t>Its hiring of a computer program development firm to develop an employment-based software application for Apple’s “App Store.” (App Developer Agreement</w:t>
      </w:r>
      <w:proofErr w:type="gramStart"/>
      <w:r w:rsidRPr="00241B90">
        <w:rPr>
          <w:rFonts w:ascii="Georgia" w:hAnsi="Georgia"/>
        </w:rPr>
        <w:t>);</w:t>
      </w:r>
      <w:proofErr w:type="gramEnd"/>
    </w:p>
    <w:p w14:paraId="75CDEA25" w14:textId="77777777" w:rsidR="00453E3B" w:rsidRPr="00241B90" w:rsidRDefault="00453E3B" w:rsidP="00453E3B">
      <w:pPr>
        <w:numPr>
          <w:ilvl w:val="0"/>
          <w:numId w:val="1"/>
        </w:numPr>
        <w:rPr>
          <w:rFonts w:ascii="Georgia" w:hAnsi="Georgia"/>
        </w:rPr>
      </w:pPr>
      <w:r w:rsidRPr="00241B90">
        <w:rPr>
          <w:rFonts w:ascii="Georgia" w:hAnsi="Georgia"/>
        </w:rPr>
        <w:t>A trademark search it purportedly conducted to determine whether the WORKWIRE name was available. (Deposition testimony</w:t>
      </w:r>
      <w:proofErr w:type="gramStart"/>
      <w:r w:rsidRPr="00241B90">
        <w:rPr>
          <w:rFonts w:ascii="Georgia" w:hAnsi="Georgia"/>
        </w:rPr>
        <w:t>);</w:t>
      </w:r>
      <w:proofErr w:type="gramEnd"/>
    </w:p>
    <w:p w14:paraId="779C7763" w14:textId="77777777" w:rsidR="00453E3B" w:rsidRPr="00241B90" w:rsidRDefault="00453E3B" w:rsidP="00453E3B">
      <w:pPr>
        <w:numPr>
          <w:ilvl w:val="0"/>
          <w:numId w:val="1"/>
        </w:numPr>
        <w:rPr>
          <w:rFonts w:ascii="Georgia" w:hAnsi="Georgia"/>
        </w:rPr>
      </w:pPr>
      <w:r w:rsidRPr="00241B90">
        <w:rPr>
          <w:rFonts w:ascii="Georgia" w:hAnsi="Georgia"/>
        </w:rPr>
        <w:t>The wireframes it developed for its proposed employment-based software application. (</w:t>
      </w:r>
      <w:r w:rsidRPr="00241B90">
        <w:rPr>
          <w:rFonts w:ascii="Georgia" w:hAnsi="Georgia"/>
          <w:i/>
          <w:iCs/>
        </w:rPr>
        <w:t>Id.</w:t>
      </w:r>
      <w:proofErr w:type="gramStart"/>
      <w:r w:rsidRPr="00241B90">
        <w:rPr>
          <w:rFonts w:ascii="Georgia" w:hAnsi="Georgia"/>
        </w:rPr>
        <w:t>);</w:t>
      </w:r>
      <w:proofErr w:type="gramEnd"/>
    </w:p>
    <w:p w14:paraId="489D0B2C" w14:textId="77777777" w:rsidR="00453E3B" w:rsidRPr="00241B90" w:rsidRDefault="00453E3B" w:rsidP="00453E3B">
      <w:pPr>
        <w:numPr>
          <w:ilvl w:val="0"/>
          <w:numId w:val="1"/>
        </w:numPr>
        <w:rPr>
          <w:rFonts w:ascii="Georgia" w:hAnsi="Georgia"/>
        </w:rPr>
      </w:pPr>
      <w:r w:rsidRPr="00241B90">
        <w:rPr>
          <w:rFonts w:ascii="Georgia" w:hAnsi="Georgia"/>
        </w:rPr>
        <w:t>Its business plans for the proposed application. (5 Year Business Plan</w:t>
      </w:r>
      <w:proofErr w:type="gramStart"/>
      <w:r w:rsidRPr="00241B90">
        <w:rPr>
          <w:rFonts w:ascii="Georgia" w:hAnsi="Georgia"/>
        </w:rPr>
        <w:t>);</w:t>
      </w:r>
      <w:proofErr w:type="gramEnd"/>
    </w:p>
    <w:p w14:paraId="4BC27AB7" w14:textId="77777777" w:rsidR="00453E3B" w:rsidRPr="00241B90" w:rsidRDefault="00453E3B" w:rsidP="00453E3B">
      <w:pPr>
        <w:numPr>
          <w:ilvl w:val="0"/>
          <w:numId w:val="1"/>
        </w:numPr>
        <w:rPr>
          <w:rFonts w:ascii="Georgia" w:hAnsi="Georgia"/>
        </w:rPr>
      </w:pPr>
      <w:r w:rsidRPr="00241B90">
        <w:rPr>
          <w:rFonts w:ascii="Georgia" w:hAnsi="Georgia"/>
        </w:rPr>
        <w:t>Its obtaining of the www.work-wire.com domain name. (Domain Registration); and</w:t>
      </w:r>
    </w:p>
    <w:p w14:paraId="7EEA8F40" w14:textId="77777777" w:rsidR="00453E3B" w:rsidRPr="00241B90" w:rsidRDefault="00453E3B" w:rsidP="00453E3B">
      <w:pPr>
        <w:numPr>
          <w:ilvl w:val="0"/>
          <w:numId w:val="1"/>
        </w:numPr>
        <w:rPr>
          <w:rFonts w:ascii="Georgia" w:hAnsi="Georgia"/>
        </w:rPr>
      </w:pPr>
      <w:r w:rsidRPr="00241B90">
        <w:rPr>
          <w:rFonts w:ascii="Georgia" w:hAnsi="Georgia"/>
        </w:rPr>
        <w:t>Its press release regarding its employment-based software application. (Press Release.)</w:t>
      </w:r>
    </w:p>
    <w:p w14:paraId="0786831D" w14:textId="3316FAFE" w:rsidR="00453E3B" w:rsidRPr="00241B90" w:rsidRDefault="00453E3B" w:rsidP="00453E3B">
      <w:pPr>
        <w:rPr>
          <w:rFonts w:ascii="Georgia" w:hAnsi="Georgia"/>
        </w:rPr>
      </w:pPr>
      <w:r w:rsidRPr="00241B90">
        <w:rPr>
          <w:rFonts w:ascii="Georgia" w:hAnsi="Georgia"/>
        </w:rPr>
        <w:t xml:space="preserve">The district court correctly acknowledged that Creative Harbor’s evidence “makes clear” that Creative Harbor had a </w:t>
      </w:r>
      <w:r w:rsidRPr="00241B90">
        <w:rPr>
          <w:rFonts w:ascii="Georgia" w:hAnsi="Georgia"/>
          <w:i/>
          <w:iCs/>
        </w:rPr>
        <w:t>bona fide</w:t>
      </w:r>
      <w:r w:rsidRPr="00241B90">
        <w:rPr>
          <w:rFonts w:ascii="Georgia" w:hAnsi="Georgia"/>
        </w:rPr>
        <w:t xml:space="preserve"> intent as to some of the goods and services listed in the Applications. </w:t>
      </w:r>
      <w:r w:rsidRPr="00241B90">
        <w:rPr>
          <w:rFonts w:ascii="Georgia" w:hAnsi="Georgia"/>
          <w:i/>
          <w:iCs/>
        </w:rPr>
        <w:t>Kelly Servs. II</w:t>
      </w:r>
      <w:r w:rsidRPr="00241B90">
        <w:rPr>
          <w:rFonts w:ascii="Georgia" w:hAnsi="Georgia"/>
        </w:rPr>
        <w:t xml:space="preserve">, 140 F.Supp.3d at 618. For example, the district court noted “that Creative Harbor had a ‘firm’ intent to use the Mark in connection with an iPhone application that connected job seekers with employers.” </w:t>
      </w:r>
      <w:r w:rsidRPr="00241B90">
        <w:rPr>
          <w:rFonts w:ascii="Georgia" w:hAnsi="Georgia"/>
          <w:i/>
          <w:iCs/>
        </w:rPr>
        <w:t>Id.</w:t>
      </w:r>
      <w:r w:rsidRPr="00241B90">
        <w:rPr>
          <w:rFonts w:ascii="Georgia" w:hAnsi="Georgia"/>
        </w:rPr>
        <w:t xml:space="preserve"> We agree with the district court, however, that Creative Harbor’s evidence ultimately “misses the mark.” </w:t>
      </w:r>
      <w:r w:rsidRPr="00241B90">
        <w:rPr>
          <w:rFonts w:ascii="Georgia" w:hAnsi="Georgia"/>
          <w:i/>
          <w:iCs/>
        </w:rPr>
        <w:t>Id.</w:t>
      </w:r>
    </w:p>
    <w:p w14:paraId="4E60A290" w14:textId="13A7C3D5" w:rsidR="00453E3B" w:rsidRPr="00241B90" w:rsidRDefault="00453E3B" w:rsidP="00453E3B">
      <w:pPr>
        <w:rPr>
          <w:rFonts w:ascii="Georgia" w:hAnsi="Georgia"/>
        </w:rPr>
      </w:pPr>
      <w:r w:rsidRPr="00241B90">
        <w:rPr>
          <w:rFonts w:ascii="Georgia" w:hAnsi="Georgia"/>
        </w:rPr>
        <w:lastRenderedPageBreak/>
        <w:t xml:space="preserve">As the district court correctly noted, “evidence that Creative Harbor intended to use the Mark with respect to </w:t>
      </w:r>
      <w:r w:rsidRPr="00241B90">
        <w:rPr>
          <w:rFonts w:ascii="Georgia" w:hAnsi="Georgia"/>
          <w:i/>
          <w:iCs/>
        </w:rPr>
        <w:t>some</w:t>
      </w:r>
      <w:r w:rsidRPr="00241B90">
        <w:rPr>
          <w:rFonts w:ascii="Georgia" w:hAnsi="Georgia"/>
        </w:rPr>
        <w:t xml:space="preserve"> of the goods and services listed in the [Applications] does not contradict Kelly [Services’] evidence that Creative Harbor </w:t>
      </w:r>
      <w:r w:rsidRPr="00241B90">
        <w:rPr>
          <w:rFonts w:ascii="Georgia" w:hAnsi="Georgia"/>
          <w:i/>
          <w:iCs/>
        </w:rPr>
        <w:t>lacked</w:t>
      </w:r>
      <w:r w:rsidRPr="00241B90">
        <w:rPr>
          <w:rFonts w:ascii="Georgia" w:hAnsi="Georgia"/>
        </w:rPr>
        <w:t xml:space="preserve"> a firm intent to use the Mark on several of the </w:t>
      </w:r>
      <w:r w:rsidRPr="00241B90">
        <w:rPr>
          <w:rFonts w:ascii="Georgia" w:hAnsi="Georgia"/>
          <w:i/>
          <w:iCs/>
        </w:rPr>
        <w:t>other</w:t>
      </w:r>
      <w:r w:rsidRPr="00241B90">
        <w:rPr>
          <w:rFonts w:ascii="Georgia" w:hAnsi="Georgia"/>
        </w:rPr>
        <w:t xml:space="preserve"> services and goods listed in the [Applications.]” </w:t>
      </w:r>
      <w:r w:rsidRPr="00241B90">
        <w:rPr>
          <w:rFonts w:ascii="Georgia" w:hAnsi="Georgia"/>
          <w:i/>
          <w:iCs/>
        </w:rPr>
        <w:t>Id.</w:t>
      </w:r>
      <w:r w:rsidRPr="00241B90">
        <w:rPr>
          <w:rFonts w:ascii="Georgia" w:hAnsi="Georgia"/>
        </w:rPr>
        <w:t xml:space="preserve"> (emphasis in original). Creative Harbor, for example, failed to come forward with any objective evidence showing a </w:t>
      </w:r>
      <w:r w:rsidRPr="00241B90">
        <w:rPr>
          <w:rFonts w:ascii="Georgia" w:hAnsi="Georgia"/>
          <w:i/>
          <w:iCs/>
        </w:rPr>
        <w:t>bona fide</w:t>
      </w:r>
      <w:r w:rsidRPr="00241B90">
        <w:rPr>
          <w:rFonts w:ascii="Georgia" w:hAnsi="Georgia"/>
        </w:rPr>
        <w:t xml:space="preserve"> intent to use the Mark in connection with computer software games, professional credentialing verification services, employee relations information services, employment staffing consultation services, and business consulting services—the goods and services most fatally undermined by Jurgensen’s deposition testimony. Nor did Creative Harbor offer any reasons excusing its failure to come forward with such objective evidence </w:t>
      </w:r>
      <w:proofErr w:type="gramStart"/>
      <w:r w:rsidRPr="00241B90">
        <w:rPr>
          <w:rFonts w:ascii="Georgia" w:hAnsi="Georgia"/>
        </w:rPr>
        <w:t>. . . .</w:t>
      </w:r>
      <w:proofErr w:type="gramEnd"/>
    </w:p>
    <w:p w14:paraId="6C493C89" w14:textId="261088E3" w:rsidR="00453E3B" w:rsidRPr="00241B90" w:rsidRDefault="00453E3B" w:rsidP="00453E3B">
      <w:pPr>
        <w:rPr>
          <w:rFonts w:ascii="Georgia" w:hAnsi="Georgia"/>
        </w:rPr>
      </w:pPr>
      <w:bookmarkStart w:id="23" w:name="co_pp_sp_506_869_1"/>
      <w:bookmarkEnd w:id="23"/>
      <w:r w:rsidRPr="00241B90">
        <w:rPr>
          <w:rFonts w:ascii="Georgia" w:hAnsi="Georgia"/>
        </w:rPr>
        <w:t xml:space="preserve">Accordingly, we hold that Creative Harbor lacked a </w:t>
      </w:r>
      <w:r w:rsidRPr="00241B90">
        <w:rPr>
          <w:rFonts w:ascii="Georgia" w:hAnsi="Georgia"/>
          <w:i/>
          <w:iCs/>
        </w:rPr>
        <w:t>bona fide</w:t>
      </w:r>
      <w:r w:rsidRPr="00241B90">
        <w:rPr>
          <w:rFonts w:ascii="Georgia" w:hAnsi="Georgia"/>
        </w:rPr>
        <w:t xml:space="preserve"> intent to use the Mark in connection with at least some of the goods and services listed in the Applications.</w:t>
      </w:r>
      <w:bookmarkStart w:id="24" w:name="co_anchor_Ife523317dbd711e79bf099c0ee06c"/>
      <w:bookmarkEnd w:id="24"/>
    </w:p>
    <w:p w14:paraId="50A445E2" w14:textId="77777777" w:rsidR="00453E3B" w:rsidRPr="00241B90" w:rsidRDefault="00453E3B" w:rsidP="00453E3B">
      <w:pPr>
        <w:pStyle w:val="Normal-Centered"/>
        <w:rPr>
          <w:rFonts w:ascii="Georgia" w:hAnsi="Georgia"/>
        </w:rPr>
      </w:pPr>
      <w:r w:rsidRPr="00241B90">
        <w:rPr>
          <w:rFonts w:ascii="Georgia" w:hAnsi="Georgia"/>
        </w:rPr>
        <w:t>II. Remedy</w:t>
      </w:r>
    </w:p>
    <w:p w14:paraId="4919E184" w14:textId="77777777" w:rsidR="00453E3B" w:rsidRPr="00241B90" w:rsidRDefault="00453E3B" w:rsidP="00453E3B">
      <w:pPr>
        <w:rPr>
          <w:rFonts w:ascii="Georgia" w:hAnsi="Georgia"/>
        </w:rPr>
      </w:pPr>
      <w:bookmarkStart w:id="25" w:name="co_anchor_B112040812672_1"/>
      <w:bookmarkEnd w:id="25"/>
      <w:r w:rsidRPr="00241B90">
        <w:rPr>
          <w:rFonts w:ascii="Georgia" w:hAnsi="Georgia"/>
        </w:rPr>
        <w:t>. . . .</w:t>
      </w:r>
    </w:p>
    <w:p w14:paraId="00ED6CCF" w14:textId="63604361" w:rsidR="00453E3B" w:rsidRPr="00241B90" w:rsidRDefault="00453E3B" w:rsidP="00453E3B">
      <w:pPr>
        <w:rPr>
          <w:rFonts w:ascii="Georgia" w:hAnsi="Georgia"/>
        </w:rPr>
      </w:pPr>
      <w:r w:rsidRPr="00241B90">
        <w:rPr>
          <w:rFonts w:ascii="Georgia" w:hAnsi="Georgia"/>
        </w:rPr>
        <w:t xml:space="preserve">Finally, the district court’s interpretation {of </w:t>
      </w:r>
      <w:r w:rsidRPr="00241B90">
        <w:rPr>
          <w:rFonts w:ascii="Georgia" w:hAnsi="Georgia"/>
          <w:i/>
        </w:rPr>
        <w:t xml:space="preserve">Spirits International, B.V. v. S.S. Taris </w:t>
      </w:r>
      <w:proofErr w:type="spellStart"/>
      <w:r w:rsidRPr="00241B90">
        <w:rPr>
          <w:rFonts w:ascii="Georgia" w:hAnsi="Georgia"/>
          <w:i/>
        </w:rPr>
        <w:t>Zeytin</w:t>
      </w:r>
      <w:proofErr w:type="spellEnd"/>
      <w:r w:rsidRPr="00241B90">
        <w:rPr>
          <w:rFonts w:ascii="Georgia" w:hAnsi="Georgia"/>
          <w:i/>
        </w:rPr>
        <w:t xml:space="preserve"> Ve </w:t>
      </w:r>
      <w:proofErr w:type="spellStart"/>
      <w:r w:rsidRPr="00241B90">
        <w:rPr>
          <w:rFonts w:ascii="Georgia" w:hAnsi="Georgia"/>
          <w:i/>
        </w:rPr>
        <w:t>Zeytinyagi</w:t>
      </w:r>
      <w:proofErr w:type="spellEnd"/>
      <w:r w:rsidRPr="00241B90">
        <w:rPr>
          <w:rFonts w:ascii="Georgia" w:hAnsi="Georgia"/>
          <w:i/>
        </w:rPr>
        <w:t xml:space="preserve"> Tarim Satis </w:t>
      </w:r>
      <w:proofErr w:type="spellStart"/>
      <w:r w:rsidRPr="00241B90">
        <w:rPr>
          <w:rFonts w:ascii="Georgia" w:hAnsi="Georgia"/>
          <w:i/>
        </w:rPr>
        <w:t>Kooperatifleri</w:t>
      </w:r>
      <w:proofErr w:type="spellEnd"/>
      <w:r w:rsidRPr="00241B90">
        <w:rPr>
          <w:rFonts w:ascii="Georgia" w:hAnsi="Georgia"/>
          <w:i/>
        </w:rPr>
        <w:t xml:space="preserve"> </w:t>
      </w:r>
      <w:proofErr w:type="spellStart"/>
      <w:r w:rsidRPr="00241B90">
        <w:rPr>
          <w:rFonts w:ascii="Georgia" w:hAnsi="Georgia"/>
          <w:i/>
        </w:rPr>
        <w:t>Birligi</w:t>
      </w:r>
      <w:proofErr w:type="spellEnd"/>
      <w:r w:rsidRPr="00241B90">
        <w:rPr>
          <w:rFonts w:ascii="Georgia" w:hAnsi="Georgia"/>
        </w:rPr>
        <w:t>, 99 U.S.P.Q.2d 1545, 2011 WL 2909909 (T.T.A.B. 2011)}</w:t>
      </w:r>
      <w:r w:rsidRPr="00241B90">
        <w:rPr>
          <w:rFonts w:ascii="Georgia" w:hAnsi="Georgia"/>
          <w:i/>
        </w:rPr>
        <w:t xml:space="preserve"> </w:t>
      </w:r>
      <w:r w:rsidRPr="00241B90">
        <w:rPr>
          <w:rFonts w:ascii="Georgia" w:hAnsi="Georgia"/>
        </w:rPr>
        <w:t xml:space="preserve">would lead to perverse results. Imagine a hypothetical § 1(b) ITU applicant who </w:t>
      </w:r>
      <w:proofErr w:type="gramStart"/>
      <w:r w:rsidRPr="00241B90">
        <w:rPr>
          <w:rFonts w:ascii="Georgia" w:hAnsi="Georgia"/>
        </w:rPr>
        <w:t>submits an application</w:t>
      </w:r>
      <w:proofErr w:type="gramEnd"/>
      <w:r w:rsidRPr="00241B90">
        <w:rPr>
          <w:rFonts w:ascii="Georgia" w:hAnsi="Georgia"/>
        </w:rPr>
        <w:t xml:space="preserve"> listing 100 goods associated with the requested mark with a subjective intention to use the mark in connection with all of the goods. The hypothetical applicant has at least some objective documentary evidence supporting its </w:t>
      </w:r>
      <w:r w:rsidRPr="00241B90">
        <w:rPr>
          <w:rFonts w:ascii="Georgia" w:hAnsi="Georgia"/>
          <w:i/>
        </w:rPr>
        <w:t>bona fide</w:t>
      </w:r>
      <w:r w:rsidRPr="00241B90">
        <w:rPr>
          <w:rFonts w:ascii="Georgia" w:hAnsi="Georgia"/>
        </w:rPr>
        <w:t xml:space="preserve"> intent as to all 100 goods, but a competitor nevertheless challenges the applicant’s </w:t>
      </w:r>
      <w:r w:rsidRPr="00241B90">
        <w:rPr>
          <w:rFonts w:ascii="Georgia" w:hAnsi="Georgia"/>
          <w:i/>
        </w:rPr>
        <w:t>bona fide</w:t>
      </w:r>
      <w:r w:rsidRPr="00241B90">
        <w:rPr>
          <w:rFonts w:ascii="Georgia" w:hAnsi="Georgia"/>
        </w:rPr>
        <w:t xml:space="preserve"> intent as to ten of the goods in a declaratory action in federal district court. Under the district court and Kelly Services’ interpretation of </w:t>
      </w:r>
      <w:r w:rsidRPr="00241B90">
        <w:rPr>
          <w:rFonts w:ascii="Georgia" w:hAnsi="Georgia"/>
          <w:i/>
        </w:rPr>
        <w:t>Spirits International</w:t>
      </w:r>
      <w:r w:rsidRPr="00241B90">
        <w:rPr>
          <w:rFonts w:ascii="Georgia" w:hAnsi="Georgia"/>
        </w:rPr>
        <w:t xml:space="preserve">, the applicant is put in quite a quandary: he must either (1) voluntarily delete the challenged goods, even if the challenges lack merit; or (2) risk having his entire application voided if the district court determines that he lacked </w:t>
      </w:r>
      <w:r w:rsidRPr="00241B90">
        <w:rPr>
          <w:rFonts w:ascii="Georgia" w:hAnsi="Georgia"/>
          <w:i/>
        </w:rPr>
        <w:t>bona fide</w:t>
      </w:r>
      <w:r w:rsidRPr="00241B90">
        <w:rPr>
          <w:rFonts w:ascii="Georgia" w:hAnsi="Georgia"/>
        </w:rPr>
        <w:t xml:space="preserve"> intent for even a single item. If the applicant lacks ironclad documentary evidence for even one item—which is likely in circumstances where the application lists </w:t>
      </w:r>
      <w:proofErr w:type="gramStart"/>
      <w:r w:rsidRPr="00241B90">
        <w:rPr>
          <w:rFonts w:ascii="Georgia" w:hAnsi="Georgia"/>
        </w:rPr>
        <w:t>a large number of</w:t>
      </w:r>
      <w:proofErr w:type="gramEnd"/>
      <w:r w:rsidRPr="00241B90">
        <w:rPr>
          <w:rFonts w:ascii="Georgia" w:hAnsi="Georgia"/>
        </w:rPr>
        <w:t xml:space="preserve"> goods and services—his incentive is to delete the challenged goods rather than risk losing the entire application. Similarly, his competitor is incentivized to bring </w:t>
      </w:r>
      <w:r w:rsidRPr="00241B90">
        <w:rPr>
          <w:rFonts w:ascii="Georgia" w:hAnsi="Georgia"/>
          <w:i/>
        </w:rPr>
        <w:t>bona fide</w:t>
      </w:r>
      <w:r w:rsidRPr="00241B90">
        <w:rPr>
          <w:rFonts w:ascii="Georgia" w:hAnsi="Georgia"/>
        </w:rPr>
        <w:t xml:space="preserve"> intent challenges to all of the applicant’s future applications, because the competitor can likely bully the applicant into at least some concessions, and the only consequence for the competitor if it loses is legal fees, which may be a relative pittance depending on the industry and the value of the mark </w:t>
      </w:r>
      <w:proofErr w:type="gramStart"/>
      <w:r w:rsidRPr="00241B90">
        <w:rPr>
          <w:rFonts w:ascii="Georgia" w:hAnsi="Georgia"/>
        </w:rPr>
        <w:t>. . . .</w:t>
      </w:r>
      <w:proofErr w:type="gramEnd"/>
    </w:p>
    <w:p w14:paraId="2F73EB3C" w14:textId="77777777" w:rsidR="00453E3B" w:rsidRPr="00241B90" w:rsidRDefault="00453E3B" w:rsidP="00453E3B">
      <w:pPr>
        <w:rPr>
          <w:rFonts w:ascii="Georgia" w:hAnsi="Georgia"/>
        </w:rPr>
      </w:pPr>
      <w:r w:rsidRPr="00241B90">
        <w:rPr>
          <w:rFonts w:ascii="Georgia" w:hAnsi="Georgia"/>
        </w:rPr>
        <w:t>. . . .</w:t>
      </w:r>
    </w:p>
    <w:p w14:paraId="0D1432D2" w14:textId="7F05D50C" w:rsidR="00453E3B" w:rsidRPr="00241B90" w:rsidRDefault="00453E3B" w:rsidP="00453E3B">
      <w:pPr>
        <w:rPr>
          <w:rFonts w:ascii="Georgia" w:hAnsi="Georgia"/>
        </w:rPr>
      </w:pPr>
      <w:r w:rsidRPr="00241B90">
        <w:rPr>
          <w:rFonts w:ascii="Georgia" w:hAnsi="Georgia"/>
        </w:rPr>
        <w:lastRenderedPageBreak/>
        <w:t xml:space="preserve">Accordingly, we hold that when a § 1(b) ITU applicant lacks </w:t>
      </w:r>
      <w:r w:rsidRPr="00241B90">
        <w:rPr>
          <w:rFonts w:ascii="Georgia" w:hAnsi="Georgia"/>
          <w:i/>
          <w:iCs/>
        </w:rPr>
        <w:t>bona fide</w:t>
      </w:r>
      <w:r w:rsidRPr="00241B90">
        <w:rPr>
          <w:rFonts w:ascii="Georgia" w:hAnsi="Georgia"/>
        </w:rPr>
        <w:t xml:space="preserve"> intent as to some, but not all, of the goods and services listed in her application, the application should not be voided in its entirety absent fraud or other egregious conduct. </w:t>
      </w:r>
      <w:r w:rsidRPr="00241B90">
        <w:rPr>
          <w:rFonts w:ascii="Georgia" w:hAnsi="Georgia"/>
          <w:i/>
          <w:iCs/>
        </w:rPr>
        <w:t>Grand Canyon</w:t>
      </w:r>
      <w:r w:rsidRPr="00241B90">
        <w:rPr>
          <w:rFonts w:ascii="Georgia" w:hAnsi="Georgia"/>
        </w:rPr>
        <w:t xml:space="preserve">, 2006 WL 802407, at *1–3. Rather, the court should determine as to which goods and services the applicant lacked </w:t>
      </w:r>
      <w:r w:rsidRPr="00241B90">
        <w:rPr>
          <w:rFonts w:ascii="Georgia" w:hAnsi="Georgia"/>
          <w:i/>
          <w:iCs/>
        </w:rPr>
        <w:t>bona fide</w:t>
      </w:r>
      <w:r w:rsidRPr="00241B90">
        <w:rPr>
          <w:rFonts w:ascii="Georgia" w:hAnsi="Georgia"/>
        </w:rPr>
        <w:t xml:space="preserve"> </w:t>
      </w:r>
      <w:proofErr w:type="gramStart"/>
      <w:r w:rsidRPr="00241B90">
        <w:rPr>
          <w:rFonts w:ascii="Georgia" w:hAnsi="Georgia"/>
        </w:rPr>
        <w:t>intent, and</w:t>
      </w:r>
      <w:proofErr w:type="gramEnd"/>
      <w:r w:rsidRPr="00241B90">
        <w:rPr>
          <w:rFonts w:ascii="Georgia" w:hAnsi="Georgia"/>
        </w:rPr>
        <w:t xml:space="preserve"> excise the overbroad portions of the application. We thus hold that the district court erred in voiding Creative Harbor’s Applications in their entirety. </w:t>
      </w:r>
      <w:bookmarkStart w:id="26" w:name="co_anchor_Ife52331adbd711e79bf099c0ee06c"/>
      <w:bookmarkEnd w:id="26"/>
    </w:p>
    <w:p w14:paraId="5AEE4EFC" w14:textId="77777777" w:rsidR="00453E3B" w:rsidRPr="00241B90" w:rsidRDefault="00453E3B" w:rsidP="00453E3B">
      <w:pPr>
        <w:pStyle w:val="Normal-Centered"/>
        <w:rPr>
          <w:rFonts w:ascii="Georgia" w:hAnsi="Georgia"/>
        </w:rPr>
      </w:pPr>
      <w:r w:rsidRPr="00241B90">
        <w:rPr>
          <w:rFonts w:ascii="Georgia" w:hAnsi="Georgia"/>
        </w:rPr>
        <w:t>III. Remand</w:t>
      </w:r>
    </w:p>
    <w:p w14:paraId="0358ED95" w14:textId="77777777" w:rsidR="00453E3B" w:rsidRPr="00241B90" w:rsidRDefault="00453E3B" w:rsidP="00453E3B">
      <w:pPr>
        <w:rPr>
          <w:rFonts w:ascii="Georgia" w:hAnsi="Georgia"/>
        </w:rPr>
      </w:pPr>
      <w:r w:rsidRPr="00241B90">
        <w:rPr>
          <w:rFonts w:ascii="Georgia" w:hAnsi="Georgia"/>
        </w:rPr>
        <w:t>. . . .</w:t>
      </w:r>
    </w:p>
    <w:p w14:paraId="059F28A0" w14:textId="1DCB3462" w:rsidR="00453E3B" w:rsidRPr="00241B90" w:rsidRDefault="00453E3B" w:rsidP="00453E3B">
      <w:pPr>
        <w:rPr>
          <w:rFonts w:ascii="Georgia" w:hAnsi="Georgia"/>
        </w:rPr>
      </w:pPr>
      <w:r w:rsidRPr="00241B90">
        <w:rPr>
          <w:rFonts w:ascii="Georgia" w:hAnsi="Georgia"/>
        </w:rPr>
        <w:t xml:space="preserve">On remand, the district court should evaluate each of the thirty-six goods and services listed in the </w:t>
      </w:r>
      <w:proofErr w:type="gramStart"/>
      <w:r w:rsidRPr="00241B90">
        <w:rPr>
          <w:rFonts w:ascii="Georgia" w:hAnsi="Georgia"/>
        </w:rPr>
        <w:t>Applications, and</w:t>
      </w:r>
      <w:proofErr w:type="gramEnd"/>
      <w:r w:rsidRPr="00241B90">
        <w:rPr>
          <w:rFonts w:ascii="Georgia" w:hAnsi="Georgia"/>
        </w:rPr>
        <w:t xml:space="preserve"> make individualized determinations as to whether Creative Harbor’s objective documentary evidence establishes a </w:t>
      </w:r>
      <w:r w:rsidRPr="00241B90">
        <w:rPr>
          <w:rFonts w:ascii="Georgia" w:hAnsi="Georgia"/>
          <w:i/>
          <w:iCs/>
        </w:rPr>
        <w:t>bona fide</w:t>
      </w:r>
      <w:r w:rsidRPr="00241B90">
        <w:rPr>
          <w:rFonts w:ascii="Georgia" w:hAnsi="Georgia"/>
        </w:rPr>
        <w:t xml:space="preserve"> intention to eventually use those items in commerce.</w:t>
      </w:r>
      <w:bookmarkStart w:id="27" w:name="co_footnoteReference_B00052040812672_ID0"/>
      <w:bookmarkEnd w:id="27"/>
      <w:r w:rsidRPr="00241B90">
        <w:rPr>
          <w:rFonts w:ascii="Georgia" w:hAnsi="Georgia"/>
        </w:rPr>
        <w:t xml:space="preserve"> The district court may wish to </w:t>
      </w:r>
      <w:bookmarkStart w:id="28" w:name="co_pp_sp_506_876_1"/>
      <w:bookmarkEnd w:id="28"/>
      <w:r w:rsidRPr="00241B90">
        <w:rPr>
          <w:rFonts w:ascii="Georgia" w:hAnsi="Georgia"/>
        </w:rPr>
        <w:t>conduct an evidentiary hearing in service of this inquiry, although we do not require it to do so.</w:t>
      </w:r>
    </w:p>
    <w:p w14:paraId="45E63E24" w14:textId="77777777" w:rsidR="00453E3B" w:rsidRPr="00241B90" w:rsidRDefault="00453E3B" w:rsidP="00453E3B">
      <w:pPr>
        <w:rPr>
          <w:rFonts w:ascii="Georgia" w:hAnsi="Georgia"/>
        </w:rPr>
      </w:pPr>
      <w:bookmarkStart w:id="29" w:name="co_anchor_Ife52331bdbd711e79bf099c0ee06c"/>
      <w:bookmarkEnd w:id="29"/>
      <w:r w:rsidRPr="00241B90">
        <w:rPr>
          <w:rFonts w:ascii="Georgia" w:hAnsi="Georgia"/>
        </w:rPr>
        <w:t>. . . .</w:t>
      </w:r>
    </w:p>
    <w:p w14:paraId="2CEAD7E0" w14:textId="77777777" w:rsidR="00453E3B" w:rsidRPr="00241B90" w:rsidRDefault="00453E3B" w:rsidP="00453E3B">
      <w:pPr>
        <w:rPr>
          <w:rFonts w:ascii="Georgia" w:hAnsi="Georgia"/>
        </w:rPr>
      </w:pPr>
      <w:bookmarkStart w:id="30" w:name="co_cipdip_opinion_1"/>
      <w:bookmarkEnd w:id="30"/>
    </w:p>
    <w:p w14:paraId="48687C53" w14:textId="77777777" w:rsidR="00453E3B" w:rsidRPr="00241B90" w:rsidRDefault="00453E3B" w:rsidP="00453E3B">
      <w:pPr>
        <w:pStyle w:val="NormalNoIndent"/>
        <w:rPr>
          <w:rFonts w:ascii="Georgia" w:hAnsi="Georgia"/>
        </w:rPr>
      </w:pPr>
      <w:r w:rsidRPr="00241B90">
        <w:rPr>
          <w:rFonts w:ascii="Georgia" w:hAnsi="Georgia"/>
        </w:rPr>
        <w:t xml:space="preserve">ALICE M. BATCHELDER, Circuit Judge, concurring in part and dissenting in part and dissenting from the judgment. </w:t>
      </w:r>
    </w:p>
    <w:p w14:paraId="6B764EB9" w14:textId="77777777" w:rsidR="00453E3B" w:rsidRPr="00241B90" w:rsidRDefault="00453E3B" w:rsidP="00453E3B">
      <w:pPr>
        <w:rPr>
          <w:rFonts w:ascii="Georgia" w:hAnsi="Georgia"/>
        </w:rPr>
      </w:pPr>
      <w:r w:rsidRPr="00241B90">
        <w:rPr>
          <w:rFonts w:ascii="Georgia" w:hAnsi="Georgia"/>
        </w:rPr>
        <w:t xml:space="preserve">. . . . </w:t>
      </w:r>
    </w:p>
    <w:p w14:paraId="34B6EF7E" w14:textId="17A5535E" w:rsidR="00453E3B" w:rsidRPr="00241B90" w:rsidRDefault="00453E3B" w:rsidP="00453E3B">
      <w:pPr>
        <w:rPr>
          <w:rFonts w:ascii="Georgia" w:hAnsi="Georgia"/>
        </w:rPr>
      </w:pPr>
      <w:r w:rsidRPr="00241B90">
        <w:rPr>
          <w:rFonts w:ascii="Georgia" w:hAnsi="Georgia"/>
        </w:rPr>
        <w:t xml:space="preserve">TTAB precedent suggests that it is incumbent upon the applicant to amend its application to eliminate portions of its § 1(b) ITU application for which it cannot demonstrate bona fide intent, or else risk having the entire application voided. Creative Harbor refused to take advantage of this remedy. The district court therefore correctly voided both of Creative Harbor’s </w:t>
      </w:r>
      <w:bookmarkStart w:id="31" w:name="co_pp_sp_506_879_1"/>
      <w:bookmarkEnd w:id="31"/>
      <w:r w:rsidRPr="00241B90">
        <w:rPr>
          <w:rFonts w:ascii="Georgia" w:hAnsi="Georgia"/>
        </w:rPr>
        <w:t xml:space="preserve">applications </w:t>
      </w:r>
      <w:r w:rsidRPr="00241B90">
        <w:rPr>
          <w:rFonts w:ascii="Georgia" w:hAnsi="Georgia"/>
          <w:i/>
          <w:iCs/>
        </w:rPr>
        <w:t>ab initio</w:t>
      </w:r>
      <w:r w:rsidRPr="00241B90">
        <w:rPr>
          <w:rFonts w:ascii="Georgia" w:hAnsi="Georgia"/>
        </w:rPr>
        <w:t xml:space="preserve">. Because my colleagues reach the opposite conclusion, I respectfully dissent. </w:t>
      </w:r>
    </w:p>
    <w:p w14:paraId="6DCDFAC9" w14:textId="77777777" w:rsidR="00EB3DF5" w:rsidRPr="00241B90" w:rsidRDefault="00EB3DF5">
      <w:pPr>
        <w:rPr>
          <w:rFonts w:ascii="Georgia" w:hAnsi="Georgia"/>
        </w:rPr>
      </w:pPr>
    </w:p>
    <w:sectPr w:rsidR="00EB3DF5" w:rsidRPr="00241B90" w:rsidSect="00241B90">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99DF6" w14:textId="77777777" w:rsidR="00704733" w:rsidRDefault="00704733" w:rsidP="00241B90">
      <w:pPr>
        <w:spacing w:after="0" w:line="240" w:lineRule="auto"/>
      </w:pPr>
      <w:r>
        <w:separator/>
      </w:r>
    </w:p>
  </w:endnote>
  <w:endnote w:type="continuationSeparator" w:id="0">
    <w:p w14:paraId="23B8EFFA" w14:textId="77777777" w:rsidR="00704733" w:rsidRDefault="00704733" w:rsidP="0024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067938"/>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59F3063E" w14:textId="2D088F96" w:rsidR="00241B90" w:rsidRPr="00241B90" w:rsidRDefault="00241B90">
            <w:pPr>
              <w:pStyle w:val="Footer"/>
              <w:jc w:val="center"/>
              <w:rPr>
                <w:rFonts w:ascii="Georgia" w:hAnsi="Georgia"/>
              </w:rPr>
            </w:pPr>
            <w:r w:rsidRPr="00241B90">
              <w:rPr>
                <w:rFonts w:ascii="Georgia" w:hAnsi="Georgia"/>
              </w:rPr>
              <w:t xml:space="preserve">Page </w:t>
            </w:r>
            <w:r w:rsidRPr="00241B90">
              <w:rPr>
                <w:rFonts w:ascii="Georgia" w:hAnsi="Georgia"/>
                <w:sz w:val="24"/>
                <w:szCs w:val="24"/>
              </w:rPr>
              <w:fldChar w:fldCharType="begin"/>
            </w:r>
            <w:r w:rsidRPr="00241B90">
              <w:rPr>
                <w:rFonts w:ascii="Georgia" w:hAnsi="Georgia"/>
              </w:rPr>
              <w:instrText xml:space="preserve"> PAGE </w:instrText>
            </w:r>
            <w:r w:rsidRPr="00241B90">
              <w:rPr>
                <w:rFonts w:ascii="Georgia" w:hAnsi="Georgia"/>
                <w:sz w:val="24"/>
                <w:szCs w:val="24"/>
              </w:rPr>
              <w:fldChar w:fldCharType="separate"/>
            </w:r>
            <w:r w:rsidRPr="00241B90">
              <w:rPr>
                <w:rFonts w:ascii="Georgia" w:hAnsi="Georgia"/>
                <w:noProof/>
              </w:rPr>
              <w:t>2</w:t>
            </w:r>
            <w:r w:rsidRPr="00241B90">
              <w:rPr>
                <w:rFonts w:ascii="Georgia" w:hAnsi="Georgia"/>
                <w:sz w:val="24"/>
                <w:szCs w:val="24"/>
              </w:rPr>
              <w:fldChar w:fldCharType="end"/>
            </w:r>
            <w:r w:rsidRPr="00241B90">
              <w:rPr>
                <w:rFonts w:ascii="Georgia" w:hAnsi="Georgia"/>
              </w:rPr>
              <w:t xml:space="preserve"> of </w:t>
            </w:r>
            <w:r w:rsidRPr="00241B90">
              <w:rPr>
                <w:rFonts w:ascii="Georgia" w:hAnsi="Georgia"/>
                <w:sz w:val="24"/>
                <w:szCs w:val="24"/>
              </w:rPr>
              <w:fldChar w:fldCharType="begin"/>
            </w:r>
            <w:r w:rsidRPr="00241B90">
              <w:rPr>
                <w:rFonts w:ascii="Georgia" w:hAnsi="Georgia"/>
              </w:rPr>
              <w:instrText xml:space="preserve"> NUMPAGES  </w:instrText>
            </w:r>
            <w:r w:rsidRPr="00241B90">
              <w:rPr>
                <w:rFonts w:ascii="Georgia" w:hAnsi="Georgia"/>
                <w:sz w:val="24"/>
                <w:szCs w:val="24"/>
              </w:rPr>
              <w:fldChar w:fldCharType="separate"/>
            </w:r>
            <w:r w:rsidRPr="00241B90">
              <w:rPr>
                <w:rFonts w:ascii="Georgia" w:hAnsi="Georgia"/>
                <w:noProof/>
              </w:rPr>
              <w:t>2</w:t>
            </w:r>
            <w:r w:rsidRPr="00241B90">
              <w:rPr>
                <w:rFonts w:ascii="Georgia" w:hAnsi="Georgia"/>
                <w:sz w:val="24"/>
                <w:szCs w:val="24"/>
              </w:rPr>
              <w:fldChar w:fldCharType="end"/>
            </w:r>
          </w:p>
        </w:sdtContent>
      </w:sdt>
    </w:sdtContent>
  </w:sdt>
  <w:p w14:paraId="1C07F8A0" w14:textId="77777777" w:rsidR="00241B90" w:rsidRDefault="0024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3A78" w14:textId="77777777" w:rsidR="00704733" w:rsidRDefault="00704733" w:rsidP="00241B90">
      <w:pPr>
        <w:spacing w:after="0" w:line="240" w:lineRule="auto"/>
      </w:pPr>
      <w:r>
        <w:separator/>
      </w:r>
    </w:p>
  </w:footnote>
  <w:footnote w:type="continuationSeparator" w:id="0">
    <w:p w14:paraId="12C0C481" w14:textId="77777777" w:rsidR="00704733" w:rsidRDefault="00704733" w:rsidP="00241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79332153">
    <w:abstractNumId w:val="0"/>
  </w:num>
  <w:num w:numId="2" w16cid:durableId="1486774316">
    <w:abstractNumId w:val="1"/>
  </w:num>
  <w:num w:numId="3" w16cid:durableId="1188638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3B"/>
    <w:rsid w:val="000A4AD4"/>
    <w:rsid w:val="000C53B3"/>
    <w:rsid w:val="00241B90"/>
    <w:rsid w:val="00453E3B"/>
    <w:rsid w:val="00704733"/>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2666"/>
  <w15:chartTrackingRefBased/>
  <w15:docId w15:val="{E38E4E71-23AE-4FE9-92C6-2E94B89D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3B"/>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453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E3B"/>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45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E3B"/>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45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E3B"/>
    <w:rPr>
      <w:rFonts w:eastAsiaTheme="majorEastAsia" w:cstheme="majorBidi"/>
      <w:color w:val="272727" w:themeColor="text1" w:themeTint="D8"/>
    </w:rPr>
  </w:style>
  <w:style w:type="paragraph" w:styleId="Title">
    <w:name w:val="Title"/>
    <w:basedOn w:val="Normal"/>
    <w:next w:val="Normal"/>
    <w:link w:val="TitleChar"/>
    <w:uiPriority w:val="10"/>
    <w:qFormat/>
    <w:rsid w:val="0045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E3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E3B"/>
    <w:pPr>
      <w:spacing w:before="160"/>
      <w:jc w:val="center"/>
    </w:pPr>
    <w:rPr>
      <w:i/>
      <w:iCs/>
      <w:color w:val="404040" w:themeColor="text1" w:themeTint="BF"/>
    </w:rPr>
  </w:style>
  <w:style w:type="character" w:customStyle="1" w:styleId="QuoteChar">
    <w:name w:val="Quote Char"/>
    <w:basedOn w:val="DefaultParagraphFont"/>
    <w:link w:val="Quote"/>
    <w:uiPriority w:val="29"/>
    <w:rsid w:val="00453E3B"/>
    <w:rPr>
      <w:i/>
      <w:iCs/>
      <w:color w:val="404040" w:themeColor="text1" w:themeTint="BF"/>
    </w:rPr>
  </w:style>
  <w:style w:type="paragraph" w:styleId="ListParagraph">
    <w:name w:val="List Paragraph"/>
    <w:basedOn w:val="Normal"/>
    <w:uiPriority w:val="34"/>
    <w:qFormat/>
    <w:rsid w:val="00453E3B"/>
    <w:pPr>
      <w:ind w:left="720"/>
      <w:contextualSpacing/>
    </w:pPr>
  </w:style>
  <w:style w:type="character" w:styleId="IntenseEmphasis">
    <w:name w:val="Intense Emphasis"/>
    <w:basedOn w:val="DefaultParagraphFont"/>
    <w:uiPriority w:val="21"/>
    <w:qFormat/>
    <w:rsid w:val="00453E3B"/>
    <w:rPr>
      <w:i/>
      <w:iCs/>
      <w:color w:val="0F4761" w:themeColor="accent1" w:themeShade="BF"/>
    </w:rPr>
  </w:style>
  <w:style w:type="paragraph" w:styleId="IntenseQuote">
    <w:name w:val="Intense Quote"/>
    <w:basedOn w:val="Normal"/>
    <w:next w:val="Normal"/>
    <w:link w:val="IntenseQuoteChar"/>
    <w:uiPriority w:val="30"/>
    <w:qFormat/>
    <w:rsid w:val="0045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E3B"/>
    <w:rPr>
      <w:i/>
      <w:iCs/>
      <w:color w:val="0F4761" w:themeColor="accent1" w:themeShade="BF"/>
    </w:rPr>
  </w:style>
  <w:style w:type="character" w:styleId="IntenseReference">
    <w:name w:val="Intense Reference"/>
    <w:basedOn w:val="DefaultParagraphFont"/>
    <w:uiPriority w:val="32"/>
    <w:qFormat/>
    <w:rsid w:val="00453E3B"/>
    <w:rPr>
      <w:b/>
      <w:bCs/>
      <w:smallCaps/>
      <w:color w:val="0F4761" w:themeColor="accent1" w:themeShade="BF"/>
      <w:spacing w:val="5"/>
    </w:rPr>
  </w:style>
  <w:style w:type="paragraph" w:customStyle="1" w:styleId="OpinionCitation">
    <w:name w:val="Opinion Citation"/>
    <w:basedOn w:val="Normal"/>
    <w:link w:val="OpinionCitationChar"/>
    <w:qFormat/>
    <w:rsid w:val="00453E3B"/>
    <w:pPr>
      <w:keepNext/>
      <w:spacing w:after="120"/>
      <w:ind w:firstLine="0"/>
    </w:pPr>
    <w:rPr>
      <w:b/>
    </w:rPr>
  </w:style>
  <w:style w:type="character" w:customStyle="1" w:styleId="OpinionCitationChar">
    <w:name w:val="Opinion Citation Char"/>
    <w:link w:val="OpinionCitation"/>
    <w:rsid w:val="00453E3B"/>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453E3B"/>
    <w:pPr>
      <w:ind w:left="576" w:right="576" w:firstLine="0"/>
    </w:pPr>
  </w:style>
  <w:style w:type="character" w:customStyle="1" w:styleId="BlockquoteChar">
    <w:name w:val="Blockquote Char"/>
    <w:link w:val="Blockquote"/>
    <w:rsid w:val="00453E3B"/>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453E3B"/>
    <w:pPr>
      <w:ind w:firstLine="0"/>
    </w:pPr>
  </w:style>
  <w:style w:type="character" w:customStyle="1" w:styleId="NormalNoIndentChar">
    <w:name w:val="Normal No Indent Char"/>
    <w:link w:val="NormalNoIndent"/>
    <w:rsid w:val="00453E3B"/>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453E3B"/>
    <w:pPr>
      <w:jc w:val="center"/>
    </w:pPr>
  </w:style>
  <w:style w:type="character" w:customStyle="1" w:styleId="Normal-CenteredChar">
    <w:name w:val="*Normal-Centered Char"/>
    <w:basedOn w:val="NormalNoIndentChar"/>
    <w:link w:val="Normal-Centered"/>
    <w:rsid w:val="00453E3B"/>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24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90"/>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24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90"/>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3829</Words>
  <Characters>21827</Characters>
  <Application>Microsoft Office Word</Application>
  <DocSecurity>0</DocSecurity>
  <Lines>181</Lines>
  <Paragraphs>51</Paragraphs>
  <ScaleCrop>false</ScaleCrop>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2024-07-15T21:35:00Z</dcterms:created>
  <dcterms:modified xsi:type="dcterms:W3CDTF">2024-07-24T01:55:00Z</dcterms:modified>
</cp:coreProperties>
</file>