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1A63" w14:textId="77777777" w:rsidR="009C3E82" w:rsidRPr="004B264A" w:rsidRDefault="009C3E82" w:rsidP="009C3E82">
      <w:pPr>
        <w:pStyle w:val="Centered"/>
        <w:rPr>
          <w:rFonts w:ascii="Georgia" w:hAnsi="Georgia"/>
        </w:rPr>
      </w:pPr>
      <w:r w:rsidRPr="004B264A">
        <w:rPr>
          <w:rFonts w:ascii="Georgia" w:hAnsi="Georgia"/>
          <w:noProof/>
        </w:rPr>
        <w:drawing>
          <wp:inline distT="0" distB="0" distL="0" distR="0" wp14:anchorId="0E11CCAB" wp14:editId="0638B5C5">
            <wp:extent cx="3608705" cy="4852672"/>
            <wp:effectExtent l="0" t="0" r="0" b="5080"/>
            <wp:docPr id="136" name="Picture 51" descr="A person cleaning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51" descr="A person cleaning a c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4315" cy="4860216"/>
                    </a:xfrm>
                    <a:prstGeom prst="rect">
                      <a:avLst/>
                    </a:prstGeom>
                    <a:noFill/>
                    <a:ln>
                      <a:noFill/>
                    </a:ln>
                  </pic:spPr>
                </pic:pic>
              </a:graphicData>
            </a:graphic>
          </wp:inline>
        </w:drawing>
      </w:r>
    </w:p>
    <w:p w14:paraId="174E0E07" w14:textId="77777777" w:rsidR="009C3E82" w:rsidRPr="004B264A" w:rsidRDefault="009C3E82" w:rsidP="004B264A">
      <w:pPr>
        <w:pStyle w:val="Heading7"/>
        <w:jc w:val="center"/>
        <w:rPr>
          <w:rFonts w:ascii="Georgia" w:hAnsi="Georgia"/>
          <w:b/>
          <w:bCs/>
          <w:color w:val="000000" w:themeColor="text1"/>
          <w:sz w:val="32"/>
          <w:szCs w:val="32"/>
        </w:rPr>
      </w:pPr>
      <w:bookmarkStart w:id="0" w:name="_Toc519683150"/>
      <w:bookmarkStart w:id="1" w:name="_Toc171715844"/>
      <w:r w:rsidRPr="004B264A">
        <w:rPr>
          <w:rFonts w:ascii="Georgia" w:hAnsi="Georgia"/>
          <w:b/>
          <w:bCs/>
          <w:color w:val="000000" w:themeColor="text1"/>
          <w:sz w:val="32"/>
          <w:szCs w:val="32"/>
        </w:rPr>
        <w:t xml:space="preserve">Liquid Glass Enterprises, Inc. v. Dr. Ing. </w:t>
      </w:r>
      <w:proofErr w:type="spellStart"/>
      <w:r w:rsidRPr="004B264A">
        <w:rPr>
          <w:rFonts w:ascii="Georgia" w:hAnsi="Georgia"/>
          <w:b/>
          <w:bCs/>
          <w:color w:val="000000" w:themeColor="text1"/>
          <w:sz w:val="32"/>
          <w:szCs w:val="32"/>
        </w:rPr>
        <w:t>h.c.F</w:t>
      </w:r>
      <w:proofErr w:type="spellEnd"/>
      <w:r w:rsidRPr="004B264A">
        <w:rPr>
          <w:rFonts w:ascii="Georgia" w:hAnsi="Georgia"/>
          <w:b/>
          <w:bCs/>
          <w:color w:val="000000" w:themeColor="text1"/>
          <w:sz w:val="32"/>
          <w:szCs w:val="32"/>
        </w:rPr>
        <w:t>. Porsche AG</w:t>
      </w:r>
      <w:bookmarkEnd w:id="0"/>
      <w:bookmarkEnd w:id="1"/>
    </w:p>
    <w:p w14:paraId="287CCFA7" w14:textId="77777777" w:rsidR="009C3E82" w:rsidRPr="004B264A" w:rsidRDefault="009C3E82" w:rsidP="004B264A">
      <w:pPr>
        <w:pStyle w:val="OpinionCitation"/>
        <w:jc w:val="center"/>
        <w:rPr>
          <w:rFonts w:ascii="Georgia" w:hAnsi="Georgia"/>
          <w:color w:val="000000" w:themeColor="text1"/>
        </w:rPr>
      </w:pPr>
      <w:r w:rsidRPr="004B264A">
        <w:rPr>
          <w:rFonts w:ascii="Georgia" w:hAnsi="Georgia"/>
          <w:color w:val="000000" w:themeColor="text1"/>
        </w:rPr>
        <w:t>8 F. Supp. 2d 398 (D.N.J. 1998)</w:t>
      </w:r>
    </w:p>
    <w:p w14:paraId="5736FA7B" w14:textId="77777777" w:rsidR="009C3E82" w:rsidRPr="004B264A" w:rsidRDefault="009C3E82" w:rsidP="009C3E82">
      <w:pPr>
        <w:rPr>
          <w:rFonts w:ascii="Georgia" w:hAnsi="Georgia"/>
        </w:rPr>
      </w:pPr>
      <w:r w:rsidRPr="004B264A">
        <w:rPr>
          <w:rFonts w:ascii="Georgia" w:hAnsi="Georgia"/>
        </w:rPr>
        <w:t xml:space="preserve">In </w:t>
      </w:r>
      <w:r w:rsidRPr="004B264A">
        <w:rPr>
          <w:rFonts w:ascii="Georgia" w:hAnsi="Georgia"/>
          <w:i/>
        </w:rPr>
        <w:t xml:space="preserve">Liquid Glass Enterprises, Inc. v. Dr. Ing. </w:t>
      </w:r>
      <w:proofErr w:type="spellStart"/>
      <w:r w:rsidRPr="004B264A">
        <w:rPr>
          <w:rFonts w:ascii="Georgia" w:hAnsi="Georgia"/>
          <w:i/>
        </w:rPr>
        <w:t>h.c.F</w:t>
      </w:r>
      <w:proofErr w:type="spellEnd"/>
      <w:r w:rsidRPr="004B264A">
        <w:rPr>
          <w:rFonts w:ascii="Georgia" w:hAnsi="Georgia"/>
          <w:i/>
        </w:rPr>
        <w:t>. Porsche AG</w:t>
      </w:r>
      <w:r w:rsidRPr="004B264A">
        <w:rPr>
          <w:rFonts w:ascii="Georgia" w:hAnsi="Georgia"/>
        </w:rPr>
        <w:t xml:space="preserve">, the declaratory plaintiff Liquid Glass ran numerous advertisements incorporating Porsche automobiles. The court focused on two. The first was “an ad appearing in the May 1997 issue of a national car magazine, </w:t>
      </w:r>
      <w:r w:rsidRPr="004B264A">
        <w:rPr>
          <w:rFonts w:ascii="Georgia" w:hAnsi="Georgia"/>
          <w:i/>
        </w:rPr>
        <w:t>Motor Trend</w:t>
      </w:r>
      <w:r w:rsidRPr="004B264A">
        <w:rPr>
          <w:rFonts w:ascii="Georgia" w:hAnsi="Georgia"/>
        </w:rPr>
        <w:t xml:space="preserve">, which portrays a </w:t>
      </w:r>
      <w:proofErr w:type="gramStart"/>
      <w:r w:rsidRPr="004B264A">
        <w:rPr>
          <w:rFonts w:ascii="Georgia" w:hAnsi="Georgia"/>
        </w:rPr>
        <w:t>provocatively-dressed</w:t>
      </w:r>
      <w:proofErr w:type="gramEnd"/>
      <w:r w:rsidRPr="004B264A">
        <w:rPr>
          <w:rFonts w:ascii="Georgia" w:hAnsi="Georgia"/>
        </w:rPr>
        <w:t xml:space="preserve"> woman applying Liquid Glass car polish to a Porsche 911 with the trademark ‘PORSCHE’ prominently displayed on the car.” </w:t>
      </w:r>
      <w:r w:rsidRPr="004B264A">
        <w:rPr>
          <w:rFonts w:ascii="Georgia" w:hAnsi="Georgia"/>
          <w:i/>
        </w:rPr>
        <w:t>Id</w:t>
      </w:r>
      <w:r w:rsidRPr="004B264A">
        <w:rPr>
          <w:rFonts w:ascii="Georgia" w:hAnsi="Georgia"/>
        </w:rPr>
        <w:t>. at 399. The second was a ten-minute video for use at trade shows that</w:t>
      </w:r>
    </w:p>
    <w:p w14:paraId="73341F17" w14:textId="77777777" w:rsidR="009C3E82" w:rsidRPr="004B264A" w:rsidRDefault="009C3E82" w:rsidP="009C3E82">
      <w:pPr>
        <w:pStyle w:val="Blockquote"/>
        <w:rPr>
          <w:rFonts w:ascii="Georgia" w:hAnsi="Georgia"/>
        </w:rPr>
      </w:pPr>
      <w:r w:rsidRPr="004B264A">
        <w:rPr>
          <w:rFonts w:ascii="Georgia" w:hAnsi="Georgia"/>
        </w:rPr>
        <w:t xml:space="preserve">opens with a Porsche 911 (with the Porsche crest plainly visible) accelerating down a highway. Immediately following, the video cuts to </w:t>
      </w:r>
      <w:r w:rsidRPr="004B264A">
        <w:rPr>
          <w:rFonts w:ascii="Georgia" w:hAnsi="Georgia"/>
        </w:rPr>
        <w:lastRenderedPageBreak/>
        <w:t>a woman who is undressing and taking a shower. Thereafter, the video cuts alternately between a car (not a Porsche) being washed and polished and a woman showering, putting on her makeup and getting dressed. The video then illustrates Liquid Glass’s uses on numerous expensive cars and ends with a shot of the Porsche 911 speeding down the road.</w:t>
      </w:r>
    </w:p>
    <w:p w14:paraId="3199B077" w14:textId="77777777" w:rsidR="009C3E82" w:rsidRPr="004B264A" w:rsidRDefault="009C3E82" w:rsidP="009C3E82">
      <w:pPr>
        <w:pStyle w:val="NormalNoIndent"/>
        <w:rPr>
          <w:rFonts w:ascii="Georgia" w:hAnsi="Georgia"/>
        </w:rPr>
      </w:pPr>
      <w:r w:rsidRPr="004B264A">
        <w:rPr>
          <w:rFonts w:ascii="Georgia" w:hAnsi="Georgia"/>
          <w:i/>
        </w:rPr>
        <w:t>Id</w:t>
      </w:r>
      <w:r w:rsidRPr="004B264A">
        <w:rPr>
          <w:rFonts w:ascii="Georgia" w:hAnsi="Georgia"/>
        </w:rPr>
        <w:t>. at 400.</w:t>
      </w:r>
    </w:p>
    <w:p w14:paraId="7013897D" w14:textId="77777777" w:rsidR="009C3E82" w:rsidRPr="004B264A" w:rsidRDefault="009C3E82" w:rsidP="009C3E82">
      <w:pPr>
        <w:rPr>
          <w:rFonts w:ascii="Georgia" w:hAnsi="Georgia"/>
        </w:rPr>
      </w:pPr>
      <w:r w:rsidRPr="004B264A">
        <w:rPr>
          <w:rFonts w:ascii="Georgia" w:hAnsi="Georgia"/>
        </w:rPr>
        <w:t xml:space="preserve">Applying </w:t>
      </w:r>
      <w:r w:rsidRPr="004B264A">
        <w:rPr>
          <w:rFonts w:ascii="Georgia" w:hAnsi="Georgia"/>
          <w:i/>
        </w:rPr>
        <w:t>New Kids</w:t>
      </w:r>
      <w:r w:rsidRPr="004B264A">
        <w:rPr>
          <w:rFonts w:ascii="Georgia" w:hAnsi="Georgia"/>
        </w:rPr>
        <w:t xml:space="preserve">, the court found no nominative fair use and ultimately granted the declaratory defendant’s preliminary injunction motion. As to the first factor, “Liquid Glass has asserted no reason why the Porsche trademark or trade dress is necessary in its promotion of Liquid Glass products.” </w:t>
      </w:r>
      <w:r w:rsidRPr="004B264A">
        <w:rPr>
          <w:rFonts w:ascii="Georgia" w:hAnsi="Georgia"/>
          <w:i/>
        </w:rPr>
        <w:t>Id</w:t>
      </w:r>
      <w:r w:rsidRPr="004B264A">
        <w:rPr>
          <w:rFonts w:ascii="Georgia" w:hAnsi="Georgia"/>
        </w:rPr>
        <w:t xml:space="preserve">. at 402. As to the second factor, “[n]either does Liquid Glass use only so much of Porsche’s trademarks and trade dress as is reasonably necessary. </w:t>
      </w:r>
      <w:r w:rsidRPr="004B264A">
        <w:rPr>
          <w:rFonts w:ascii="Georgia" w:hAnsi="Georgia"/>
          <w:i/>
        </w:rPr>
        <w:t>See, e.g</w:t>
      </w:r>
      <w:r w:rsidRPr="004B264A">
        <w:rPr>
          <w:rFonts w:ascii="Georgia" w:hAnsi="Georgia"/>
        </w:rPr>
        <w:t xml:space="preserve">., </w:t>
      </w:r>
      <w:proofErr w:type="spellStart"/>
      <w:r w:rsidRPr="004B264A">
        <w:rPr>
          <w:rFonts w:ascii="Georgia" w:hAnsi="Georgia"/>
          <w:i/>
        </w:rPr>
        <w:t>Volkswagenwerk</w:t>
      </w:r>
      <w:proofErr w:type="spellEnd"/>
      <w:r w:rsidRPr="004B264A">
        <w:rPr>
          <w:rFonts w:ascii="Georgia" w:hAnsi="Georgia"/>
          <w:i/>
        </w:rPr>
        <w:t xml:space="preserve"> </w:t>
      </w:r>
      <w:proofErr w:type="spellStart"/>
      <w:r w:rsidRPr="004B264A">
        <w:rPr>
          <w:rFonts w:ascii="Georgia" w:hAnsi="Georgia"/>
          <w:i/>
        </w:rPr>
        <w:t>Aktiengesellschaft</w:t>
      </w:r>
      <w:proofErr w:type="spellEnd"/>
      <w:r w:rsidRPr="004B264A">
        <w:rPr>
          <w:rFonts w:ascii="Georgia" w:hAnsi="Georgia"/>
          <w:i/>
        </w:rPr>
        <w:t xml:space="preserve"> v. Church</w:t>
      </w:r>
      <w:r w:rsidRPr="004B264A">
        <w:rPr>
          <w:rFonts w:ascii="Georgia" w:hAnsi="Georgia"/>
        </w:rPr>
        <w:t xml:space="preserve">, 411 F.2d 350, 352 (9th Cir. 1969) (repair shop can only use the word ‘Volkswagen’ but cannot use the distinctive lettering or the encircled ‘VW’ emblem)”. </w:t>
      </w:r>
      <w:r w:rsidRPr="004B264A">
        <w:rPr>
          <w:rFonts w:ascii="Georgia" w:hAnsi="Georgia"/>
          <w:i/>
        </w:rPr>
        <w:t>Id</w:t>
      </w:r>
      <w:r w:rsidRPr="004B264A">
        <w:rPr>
          <w:rFonts w:ascii="Georgia" w:hAnsi="Georgia"/>
        </w:rPr>
        <w:t xml:space="preserve">. </w:t>
      </w:r>
      <w:proofErr w:type="gramStart"/>
      <w:r w:rsidRPr="004B264A">
        <w:rPr>
          <w:rFonts w:ascii="Georgia" w:hAnsi="Georgia"/>
        </w:rPr>
        <w:t>at  402</w:t>
      </w:r>
      <w:proofErr w:type="gramEnd"/>
      <w:r w:rsidRPr="004B264A">
        <w:rPr>
          <w:rFonts w:ascii="Georgia" w:hAnsi="Georgia"/>
        </w:rPr>
        <w:t xml:space="preserve">-403. As to the third </w:t>
      </w:r>
      <w:r w:rsidRPr="004B264A">
        <w:rPr>
          <w:rFonts w:ascii="Georgia" w:hAnsi="Georgia"/>
          <w:i/>
        </w:rPr>
        <w:t>New Kids</w:t>
      </w:r>
      <w:r w:rsidRPr="004B264A">
        <w:rPr>
          <w:rFonts w:ascii="Georgia" w:hAnsi="Georgia"/>
        </w:rPr>
        <w:t xml:space="preserve"> factor, the court then proceeded through the Third Circuit’s </w:t>
      </w:r>
      <w:r w:rsidRPr="004B264A">
        <w:rPr>
          <w:rFonts w:ascii="Georgia" w:hAnsi="Georgia"/>
          <w:i/>
        </w:rPr>
        <w:t>Scott Paper</w:t>
      </w:r>
      <w:r w:rsidRPr="004B264A">
        <w:rPr>
          <w:rFonts w:ascii="Georgia" w:hAnsi="Georgia"/>
        </w:rPr>
        <w:t xml:space="preserve"> multifactor test for consumer confusion to find that “Liquid Glass’s advertisements could mislead the public into believing that Porsche endorsed Liquid Glass’s products or at least approved of their use on Porsche automobiles.” </w:t>
      </w:r>
      <w:r w:rsidRPr="004B264A">
        <w:rPr>
          <w:rFonts w:ascii="Georgia" w:hAnsi="Georgia"/>
          <w:i/>
        </w:rPr>
        <w:t>Id</w:t>
      </w:r>
      <w:r w:rsidRPr="004B264A">
        <w:rPr>
          <w:rFonts w:ascii="Georgia" w:hAnsi="Georgia"/>
        </w:rPr>
        <w:t>. at 403. The court also found dilution by blurring.</w:t>
      </w:r>
    </w:p>
    <w:p w14:paraId="388E6C75" w14:textId="77777777" w:rsidR="00EB3DF5" w:rsidRPr="004B264A" w:rsidRDefault="00EB3DF5">
      <w:pPr>
        <w:rPr>
          <w:rFonts w:ascii="Georgia" w:hAnsi="Georgia"/>
        </w:rPr>
      </w:pPr>
    </w:p>
    <w:sectPr w:rsidR="00EB3DF5" w:rsidRPr="004B264A" w:rsidSect="004B264A">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09767" w14:textId="77777777" w:rsidR="00A851B8" w:rsidRDefault="00A851B8" w:rsidP="004B264A">
      <w:pPr>
        <w:spacing w:after="0" w:line="240" w:lineRule="auto"/>
      </w:pPr>
      <w:r>
        <w:separator/>
      </w:r>
    </w:p>
  </w:endnote>
  <w:endnote w:type="continuationSeparator" w:id="0">
    <w:p w14:paraId="404CBD1F" w14:textId="77777777" w:rsidR="00A851B8" w:rsidRDefault="00A851B8" w:rsidP="004B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264444720"/>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7260E948" w14:textId="28DA5092" w:rsidR="004B264A" w:rsidRPr="004B264A" w:rsidRDefault="004B264A">
            <w:pPr>
              <w:pStyle w:val="Footer"/>
              <w:jc w:val="center"/>
              <w:rPr>
                <w:rFonts w:ascii="Georgia" w:hAnsi="Georgia"/>
              </w:rPr>
            </w:pPr>
            <w:r w:rsidRPr="004B264A">
              <w:rPr>
                <w:rFonts w:ascii="Georgia" w:hAnsi="Georgia"/>
              </w:rPr>
              <w:t xml:space="preserve">Page </w:t>
            </w:r>
            <w:r w:rsidRPr="004B264A">
              <w:rPr>
                <w:rFonts w:ascii="Georgia" w:hAnsi="Georgia"/>
                <w:sz w:val="24"/>
                <w:szCs w:val="24"/>
              </w:rPr>
              <w:fldChar w:fldCharType="begin"/>
            </w:r>
            <w:r w:rsidRPr="004B264A">
              <w:rPr>
                <w:rFonts w:ascii="Georgia" w:hAnsi="Georgia"/>
              </w:rPr>
              <w:instrText xml:space="preserve"> PAGE </w:instrText>
            </w:r>
            <w:r w:rsidRPr="004B264A">
              <w:rPr>
                <w:rFonts w:ascii="Georgia" w:hAnsi="Georgia"/>
                <w:sz w:val="24"/>
                <w:szCs w:val="24"/>
              </w:rPr>
              <w:fldChar w:fldCharType="separate"/>
            </w:r>
            <w:r w:rsidRPr="004B264A">
              <w:rPr>
                <w:rFonts w:ascii="Georgia" w:hAnsi="Georgia"/>
                <w:noProof/>
              </w:rPr>
              <w:t>2</w:t>
            </w:r>
            <w:r w:rsidRPr="004B264A">
              <w:rPr>
                <w:rFonts w:ascii="Georgia" w:hAnsi="Georgia"/>
                <w:sz w:val="24"/>
                <w:szCs w:val="24"/>
              </w:rPr>
              <w:fldChar w:fldCharType="end"/>
            </w:r>
            <w:r w:rsidRPr="004B264A">
              <w:rPr>
                <w:rFonts w:ascii="Georgia" w:hAnsi="Georgia"/>
              </w:rPr>
              <w:t xml:space="preserve"> of </w:t>
            </w:r>
            <w:r w:rsidRPr="004B264A">
              <w:rPr>
                <w:rFonts w:ascii="Georgia" w:hAnsi="Georgia"/>
                <w:sz w:val="24"/>
                <w:szCs w:val="24"/>
              </w:rPr>
              <w:fldChar w:fldCharType="begin"/>
            </w:r>
            <w:r w:rsidRPr="004B264A">
              <w:rPr>
                <w:rFonts w:ascii="Georgia" w:hAnsi="Georgia"/>
              </w:rPr>
              <w:instrText xml:space="preserve"> NUMPAGES  </w:instrText>
            </w:r>
            <w:r w:rsidRPr="004B264A">
              <w:rPr>
                <w:rFonts w:ascii="Georgia" w:hAnsi="Georgia"/>
                <w:sz w:val="24"/>
                <w:szCs w:val="24"/>
              </w:rPr>
              <w:fldChar w:fldCharType="separate"/>
            </w:r>
            <w:r w:rsidRPr="004B264A">
              <w:rPr>
                <w:rFonts w:ascii="Georgia" w:hAnsi="Georgia"/>
                <w:noProof/>
              </w:rPr>
              <w:t>2</w:t>
            </w:r>
            <w:r w:rsidRPr="004B264A">
              <w:rPr>
                <w:rFonts w:ascii="Georgia" w:hAnsi="Georgia"/>
                <w:sz w:val="24"/>
                <w:szCs w:val="24"/>
              </w:rPr>
              <w:fldChar w:fldCharType="end"/>
            </w:r>
          </w:p>
        </w:sdtContent>
      </w:sdt>
    </w:sdtContent>
  </w:sdt>
  <w:p w14:paraId="070ABFC8" w14:textId="77777777" w:rsidR="004B264A" w:rsidRDefault="004B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AFD2D" w14:textId="77777777" w:rsidR="00A851B8" w:rsidRDefault="00A851B8" w:rsidP="004B264A">
      <w:pPr>
        <w:spacing w:after="0" w:line="240" w:lineRule="auto"/>
      </w:pPr>
      <w:r>
        <w:separator/>
      </w:r>
    </w:p>
  </w:footnote>
  <w:footnote w:type="continuationSeparator" w:id="0">
    <w:p w14:paraId="675C2693" w14:textId="77777777" w:rsidR="00A851B8" w:rsidRDefault="00A851B8" w:rsidP="004B2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82"/>
    <w:rsid w:val="000A4AD4"/>
    <w:rsid w:val="000C53B3"/>
    <w:rsid w:val="004B264A"/>
    <w:rsid w:val="009C3E82"/>
    <w:rsid w:val="00A851B8"/>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68AC"/>
  <w15:chartTrackingRefBased/>
  <w15:docId w15:val="{6E0183C4-3219-41CF-BD2B-4215AF71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C3E8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3E8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3E8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3E8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C3E8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C3E8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C3E8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C3E8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C3E8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E8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C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E82"/>
    <w:rPr>
      <w:rFonts w:eastAsiaTheme="majorEastAsia" w:cstheme="majorBidi"/>
      <w:color w:val="272727" w:themeColor="text1" w:themeTint="D8"/>
    </w:rPr>
  </w:style>
  <w:style w:type="paragraph" w:styleId="Title">
    <w:name w:val="Title"/>
    <w:basedOn w:val="Normal"/>
    <w:next w:val="Normal"/>
    <w:link w:val="TitleChar"/>
    <w:uiPriority w:val="10"/>
    <w:qFormat/>
    <w:rsid w:val="009C3E8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E8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E8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C3E82"/>
    <w:rPr>
      <w:i/>
      <w:iCs/>
      <w:color w:val="404040" w:themeColor="text1" w:themeTint="BF"/>
    </w:rPr>
  </w:style>
  <w:style w:type="paragraph" w:styleId="ListParagraph">
    <w:name w:val="List Paragraph"/>
    <w:basedOn w:val="Normal"/>
    <w:uiPriority w:val="34"/>
    <w:qFormat/>
    <w:rsid w:val="009C3E8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C3E82"/>
    <w:rPr>
      <w:i/>
      <w:iCs/>
      <w:color w:val="0F4761" w:themeColor="accent1" w:themeShade="BF"/>
    </w:rPr>
  </w:style>
  <w:style w:type="paragraph" w:styleId="IntenseQuote">
    <w:name w:val="Intense Quote"/>
    <w:basedOn w:val="Normal"/>
    <w:next w:val="Normal"/>
    <w:link w:val="IntenseQuoteChar"/>
    <w:uiPriority w:val="30"/>
    <w:qFormat/>
    <w:rsid w:val="009C3E8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C3E82"/>
    <w:rPr>
      <w:i/>
      <w:iCs/>
      <w:color w:val="0F4761" w:themeColor="accent1" w:themeShade="BF"/>
    </w:rPr>
  </w:style>
  <w:style w:type="character" w:styleId="IntenseReference">
    <w:name w:val="Intense Reference"/>
    <w:basedOn w:val="DefaultParagraphFont"/>
    <w:uiPriority w:val="32"/>
    <w:qFormat/>
    <w:rsid w:val="009C3E82"/>
    <w:rPr>
      <w:b/>
      <w:bCs/>
      <w:smallCaps/>
      <w:color w:val="0F4761" w:themeColor="accent1" w:themeShade="BF"/>
      <w:spacing w:val="5"/>
    </w:rPr>
  </w:style>
  <w:style w:type="paragraph" w:customStyle="1" w:styleId="OpinionCitation">
    <w:name w:val="Opinion Citation"/>
    <w:basedOn w:val="Normal"/>
    <w:link w:val="OpinionCitationChar"/>
    <w:qFormat/>
    <w:rsid w:val="009C3E82"/>
    <w:pPr>
      <w:keepNext/>
      <w:spacing w:after="120"/>
      <w:ind w:firstLine="0"/>
    </w:pPr>
    <w:rPr>
      <w:b/>
    </w:rPr>
  </w:style>
  <w:style w:type="character" w:customStyle="1" w:styleId="OpinionCitationChar">
    <w:name w:val="Opinion Citation Char"/>
    <w:link w:val="OpinionCitation"/>
    <w:rsid w:val="009C3E8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C3E82"/>
    <w:pPr>
      <w:ind w:left="576" w:right="576" w:firstLine="0"/>
    </w:pPr>
  </w:style>
  <w:style w:type="character" w:customStyle="1" w:styleId="BlockquoteChar">
    <w:name w:val="Blockquote Char"/>
    <w:link w:val="Blockquote"/>
    <w:rsid w:val="009C3E82"/>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9C3E82"/>
    <w:pPr>
      <w:ind w:firstLine="0"/>
    </w:pPr>
  </w:style>
  <w:style w:type="character" w:customStyle="1" w:styleId="NormalNoIndentChar">
    <w:name w:val="Normal No Indent Char"/>
    <w:link w:val="NormalNoIndent"/>
    <w:rsid w:val="009C3E82"/>
    <w:rPr>
      <w:rFonts w:ascii="Cambria" w:eastAsia="Calibri" w:hAnsi="Cambria" w:cs="Times New Roman"/>
      <w:kern w:val="0"/>
      <w:szCs w:val="20"/>
      <w14:ligatures w14:val="none"/>
    </w:rPr>
  </w:style>
  <w:style w:type="paragraph" w:customStyle="1" w:styleId="Centered">
    <w:name w:val="Centered"/>
    <w:basedOn w:val="Normal"/>
    <w:link w:val="CenteredChar"/>
    <w:qFormat/>
    <w:rsid w:val="009C3E82"/>
    <w:pPr>
      <w:ind w:firstLine="0"/>
      <w:jc w:val="center"/>
    </w:pPr>
    <w:rPr>
      <w:i/>
      <w:iCs/>
    </w:rPr>
  </w:style>
  <w:style w:type="character" w:customStyle="1" w:styleId="CenteredChar">
    <w:name w:val="Centered Char"/>
    <w:link w:val="Centered"/>
    <w:rsid w:val="009C3E82"/>
    <w:rPr>
      <w:rFonts w:ascii="Cambria" w:eastAsia="Calibri" w:hAnsi="Cambria" w:cs="Times New Roman"/>
      <w:i/>
      <w:iCs/>
      <w:kern w:val="0"/>
      <w:szCs w:val="20"/>
      <w14:ligatures w14:val="none"/>
    </w:rPr>
  </w:style>
  <w:style w:type="paragraph" w:styleId="Header">
    <w:name w:val="header"/>
    <w:basedOn w:val="Normal"/>
    <w:link w:val="HeaderChar"/>
    <w:uiPriority w:val="99"/>
    <w:unhideWhenUsed/>
    <w:rsid w:val="004B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4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4B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4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2024-07-15T22:52:00Z</dcterms:created>
  <dcterms:modified xsi:type="dcterms:W3CDTF">2024-07-24T01:49:00Z</dcterms:modified>
</cp:coreProperties>
</file>