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579A3" w14:textId="77777777" w:rsidR="0022077D" w:rsidRPr="00D83199" w:rsidRDefault="0022077D" w:rsidP="00D83199">
      <w:pPr>
        <w:pStyle w:val="Heading7"/>
        <w:jc w:val="center"/>
        <w:rPr>
          <w:rFonts w:ascii="Georgia" w:hAnsi="Georgia"/>
          <w:b/>
          <w:bCs/>
          <w:color w:val="000000" w:themeColor="text1"/>
          <w:sz w:val="28"/>
          <w:szCs w:val="28"/>
        </w:rPr>
      </w:pPr>
      <w:bookmarkStart w:id="0" w:name="_Toc519598804"/>
      <w:bookmarkStart w:id="1" w:name="_Toc171715778"/>
      <w:r w:rsidRPr="00D83199">
        <w:rPr>
          <w:rFonts w:ascii="Georgia" w:hAnsi="Georgia"/>
          <w:b/>
          <w:bCs/>
          <w:color w:val="000000" w:themeColor="text1"/>
          <w:sz w:val="28"/>
          <w:szCs w:val="28"/>
        </w:rPr>
        <w:t>Radiance Foundation, Inc. v. National Association for the Advancement of Colored People</w:t>
      </w:r>
      <w:bookmarkEnd w:id="0"/>
      <w:bookmarkEnd w:id="1"/>
    </w:p>
    <w:p w14:paraId="45B8506F" w14:textId="3CAEBD63" w:rsidR="0022077D" w:rsidRPr="00D83199" w:rsidRDefault="0022077D" w:rsidP="00D83199">
      <w:pPr>
        <w:pStyle w:val="OpinionCitation"/>
        <w:jc w:val="center"/>
        <w:rPr>
          <w:rFonts w:ascii="Georgia" w:hAnsi="Georgia"/>
          <w:color w:val="000000" w:themeColor="text1"/>
        </w:rPr>
      </w:pPr>
      <w:r w:rsidRPr="00D83199">
        <w:rPr>
          <w:rFonts w:ascii="Georgia" w:hAnsi="Georgia"/>
          <w:color w:val="000000" w:themeColor="text1"/>
        </w:rPr>
        <w:t>786 F.3d 316 (4th Cir. 2015)</w:t>
      </w:r>
    </w:p>
    <w:p w14:paraId="4AF293A8" w14:textId="77777777" w:rsidR="0022077D" w:rsidRPr="00D83199" w:rsidRDefault="0022077D" w:rsidP="0022077D">
      <w:pPr>
        <w:pStyle w:val="NormalNoIndent"/>
        <w:rPr>
          <w:rFonts w:ascii="Georgia" w:hAnsi="Georgia"/>
        </w:rPr>
      </w:pPr>
      <w:r w:rsidRPr="00D83199">
        <w:rPr>
          <w:rFonts w:ascii="Georgia" w:hAnsi="Georgia"/>
        </w:rPr>
        <w:t>WILKINSON, Circuit Judge:</w:t>
      </w:r>
    </w:p>
    <w:p w14:paraId="57176BFF" w14:textId="1FEA4920" w:rsidR="0022077D" w:rsidRPr="00D83199" w:rsidRDefault="0022077D" w:rsidP="0022077D">
      <w:pPr>
        <w:rPr>
          <w:rFonts w:ascii="Georgia" w:hAnsi="Georgia"/>
        </w:rPr>
      </w:pPr>
      <w:r w:rsidRPr="00D83199">
        <w:rPr>
          <w:rFonts w:ascii="Georgia" w:hAnsi="Georgia"/>
        </w:rPr>
        <w:t>The Radiance Foundation published an article online entitled “NAACP: National Association for the Abortion of Colored People” that criticized the NAACP’s stance on abortion. In response to a cease-and-desist letter from the NAACP, Radiance sought a declaratory judgment that it had not infringed any NAACP trademarks. The NAACP then filed counterclaims alleging trademark infringement and dilution.</w:t>
      </w:r>
    </w:p>
    <w:p w14:paraId="3896F8EB" w14:textId="7A040EAA" w:rsidR="0022077D" w:rsidRPr="00D83199" w:rsidRDefault="0022077D" w:rsidP="0022077D">
      <w:pPr>
        <w:rPr>
          <w:rFonts w:ascii="Georgia" w:hAnsi="Georgia"/>
        </w:rPr>
      </w:pPr>
      <w:r w:rsidRPr="00D83199">
        <w:rPr>
          <w:rFonts w:ascii="Georgia" w:hAnsi="Georgia"/>
        </w:rPr>
        <w:t xml:space="preserve">The Lanham Act protects against consumer confusion about the source or sponsorship of goods or services. Persons may not misappropriate trademarks to the detriment of consumers or of the marks themselves. However, the Act’s reach is not unlimited. To find Lanham Act violations under these facts risks a different form of infringement—that of Radiance’s expressive right to comment on social issues under the First Amendment. Courts have taken care to avoid Lanham Act interpretations that gratuitously court grave constitutional concerns, and we shall do so here. We hold that Radiance is not liable for trademark infringement or dilution of defendant’s marks by </w:t>
      </w:r>
      <w:proofErr w:type="spellStart"/>
      <w:r w:rsidRPr="00D83199">
        <w:rPr>
          <w:rFonts w:ascii="Georgia" w:hAnsi="Georgia"/>
        </w:rPr>
        <w:t>tarnishment</w:t>
      </w:r>
      <w:proofErr w:type="spellEnd"/>
      <w:r w:rsidRPr="00D83199">
        <w:rPr>
          <w:rFonts w:ascii="Georgia" w:hAnsi="Georgia"/>
        </w:rPr>
        <w:t>. We vacate the injunction against Radiance entered by the district court and remand with instructions that defendant’s counterclaims likewise be dismissed. </w:t>
      </w:r>
      <w:bookmarkStart w:id="2" w:name="co_anchor_I23a514a22c1311e698dc8b09b4f04"/>
      <w:bookmarkEnd w:id="2"/>
    </w:p>
    <w:p w14:paraId="12D81CB3" w14:textId="77777777" w:rsidR="0022077D" w:rsidRPr="00D83199" w:rsidRDefault="0022077D" w:rsidP="0022077D">
      <w:pPr>
        <w:pStyle w:val="CntrdNoItal"/>
        <w:rPr>
          <w:rFonts w:ascii="Georgia" w:hAnsi="Georgia"/>
        </w:rPr>
      </w:pPr>
      <w:r w:rsidRPr="00D83199">
        <w:rPr>
          <w:rFonts w:ascii="Georgia" w:hAnsi="Georgia"/>
        </w:rPr>
        <w:t>I.</w:t>
      </w:r>
    </w:p>
    <w:p w14:paraId="07D1C3E4" w14:textId="08B378E3" w:rsidR="0022077D" w:rsidRPr="00D83199" w:rsidRDefault="0022077D" w:rsidP="0022077D">
      <w:pPr>
        <w:rPr>
          <w:rFonts w:ascii="Georgia" w:hAnsi="Georgia"/>
        </w:rPr>
      </w:pPr>
      <w:r w:rsidRPr="00D83199">
        <w:rPr>
          <w:rFonts w:ascii="Georgia" w:hAnsi="Georgia"/>
        </w:rPr>
        <w:t xml:space="preserve">The National Association for the Advancement of Colored People, better known by its acronym “NAACP,” is this country’s “oldest and largest civil rights organization,” </w:t>
      </w:r>
      <w:r w:rsidRPr="00D83199">
        <w:rPr>
          <w:rFonts w:ascii="Georgia" w:hAnsi="Georgia"/>
          <w:i/>
          <w:iCs/>
        </w:rPr>
        <w:t>Radiance Found., Inc. v. NAACP,</w:t>
      </w:r>
      <w:r w:rsidRPr="00D83199">
        <w:rPr>
          <w:rFonts w:ascii="Georgia" w:hAnsi="Georgia"/>
        </w:rPr>
        <w:t xml:space="preserve"> 25 F.Supp.3d 865, 872 (</w:t>
      </w:r>
      <w:proofErr w:type="spellStart"/>
      <w:r w:rsidRPr="00D83199">
        <w:rPr>
          <w:rFonts w:ascii="Georgia" w:hAnsi="Georgia"/>
        </w:rPr>
        <w:t>E.D.Va</w:t>
      </w:r>
      <w:proofErr w:type="spellEnd"/>
      <w:r w:rsidRPr="00D83199">
        <w:rPr>
          <w:rFonts w:ascii="Georgia" w:hAnsi="Georgia"/>
        </w:rPr>
        <w:t xml:space="preserve">. 2014), and one that holds a place of honor in our history. It champions “political, educational, social, and economic equality of all citizens” while working to eliminate </w:t>
      </w:r>
      <w:bookmarkStart w:id="3" w:name="co_pp_sp_506_320_1"/>
      <w:bookmarkEnd w:id="3"/>
      <w:r w:rsidRPr="00D83199">
        <w:rPr>
          <w:rFonts w:ascii="Georgia" w:hAnsi="Georgia"/>
        </w:rPr>
        <w:t xml:space="preserve">racial and other forms of prejudice within the United States. </w:t>
      </w:r>
      <w:r w:rsidRPr="00D83199">
        <w:rPr>
          <w:rFonts w:ascii="Georgia" w:hAnsi="Georgia"/>
          <w:i/>
          <w:iCs/>
        </w:rPr>
        <w:t>Id.</w:t>
      </w:r>
      <w:r w:rsidRPr="00D83199">
        <w:rPr>
          <w:rFonts w:ascii="Georgia" w:hAnsi="Georgia"/>
        </w:rPr>
        <w:t xml:space="preserve"> Since its formation, it has pursued these objectives not only through litigation but also through community outreach, informational services, and educational activities on issues of significance to the African American community. </w:t>
      </w:r>
      <w:r w:rsidRPr="00D83199">
        <w:rPr>
          <w:rFonts w:ascii="Georgia" w:hAnsi="Georgia"/>
          <w:i/>
          <w:iCs/>
        </w:rPr>
        <w:t>See id.</w:t>
      </w:r>
      <w:r w:rsidRPr="00D83199">
        <w:rPr>
          <w:rFonts w:ascii="Georgia" w:hAnsi="Georgia"/>
        </w:rPr>
        <w:t xml:space="preserve"> The NAACP owns several trademarks, among them “NAACP” (federally registered) and “National Association for the Advancement of Colored People.” </w:t>
      </w:r>
    </w:p>
    <w:p w14:paraId="1554B289" w14:textId="683149F2" w:rsidR="0022077D" w:rsidRPr="00D83199" w:rsidRDefault="0022077D" w:rsidP="0022077D">
      <w:pPr>
        <w:rPr>
          <w:rFonts w:ascii="Georgia" w:hAnsi="Georgia"/>
        </w:rPr>
      </w:pPr>
      <w:r w:rsidRPr="00D83199">
        <w:rPr>
          <w:rFonts w:ascii="Georgia" w:hAnsi="Georgia"/>
        </w:rPr>
        <w:t xml:space="preserve">The Radiance Foundation, established by Ryan Bomberger, is also a non-profit organization focused on educating and influencing the public about issues impacting the African American community. Radiance addresses social issues from a Christian perspective. It uses as its platform two websites, TheRadianceFoundation.org and TooManyAborted.com, where it posts articles on topics such as race relations, diversity, fatherlessness, and the impact of abortion </w:t>
      </w:r>
      <w:r w:rsidRPr="00D83199">
        <w:rPr>
          <w:rFonts w:ascii="Georgia" w:hAnsi="Georgia"/>
        </w:rPr>
        <w:lastRenderedPageBreak/>
        <w:t xml:space="preserve">on the black community. </w:t>
      </w:r>
      <w:r w:rsidRPr="00D83199">
        <w:rPr>
          <w:rFonts w:ascii="Georgia" w:hAnsi="Georgia"/>
          <w:i/>
          <w:iCs/>
        </w:rPr>
        <w:t>Id.</w:t>
      </w:r>
      <w:r w:rsidRPr="00D83199">
        <w:rPr>
          <w:rFonts w:ascii="Georgia" w:hAnsi="Georgia"/>
        </w:rPr>
        <w:t xml:space="preserve"> at 873. Radiance also runs a billboard campaign for TooManyAborted.com; individuals may sponsor these billboards, licensing the artwork from Radiance. In addition to its billboard campaign, Radiance funds its endeavors through donations from visitors to its websites, which are facilitated by “Donate” buttons on the webpages that link to a PayPal site.</w:t>
      </w:r>
    </w:p>
    <w:p w14:paraId="6D51E7CA" w14:textId="45EEAC92" w:rsidR="0022077D" w:rsidRPr="00D83199" w:rsidRDefault="0022077D" w:rsidP="0022077D">
      <w:pPr>
        <w:rPr>
          <w:rFonts w:ascii="Georgia" w:hAnsi="Georgia"/>
        </w:rPr>
      </w:pPr>
      <w:r w:rsidRPr="00D83199">
        <w:rPr>
          <w:rFonts w:ascii="Georgia" w:hAnsi="Georgia"/>
        </w:rPr>
        <w:t xml:space="preserve">In January 2013, Bomberger authored an article criticizing the NAACP’s annual Image Awards, entitled “NAACP: National Association for the Abortion of Colored People.” The piece lambasted the NAACP for sponsoring an awards event to recognize Hollywood figures and products that Radiance alleged defied Christian values and perpetuated racist stereotypes. The article then criticized other of the NAACP’s public stances and actions. It particularly targeted the NAACP’s ties to Planned Parenthood and its position on abortion. Though the NAACP has often claimed to be neutral on abortion, Radiance maintains that the NAACP’s actions </w:t>
      </w:r>
      <w:proofErr w:type="gramStart"/>
      <w:r w:rsidRPr="00D83199">
        <w:rPr>
          <w:rFonts w:ascii="Georgia" w:hAnsi="Georgia"/>
        </w:rPr>
        <w:t>actually demonstrate</w:t>
      </w:r>
      <w:proofErr w:type="gramEnd"/>
      <w:r w:rsidRPr="00D83199">
        <w:rPr>
          <w:rFonts w:ascii="Georgia" w:hAnsi="Georgia"/>
        </w:rPr>
        <w:t xml:space="preserve"> support for the practice. </w:t>
      </w:r>
    </w:p>
    <w:p w14:paraId="7A362F29" w14:textId="705F26D7" w:rsidR="0022077D" w:rsidRPr="00D83199" w:rsidRDefault="0022077D" w:rsidP="0022077D">
      <w:pPr>
        <w:rPr>
          <w:rFonts w:ascii="Georgia" w:hAnsi="Georgia"/>
        </w:rPr>
      </w:pPr>
      <w:r w:rsidRPr="00D83199">
        <w:rPr>
          <w:rFonts w:ascii="Georgia" w:hAnsi="Georgia"/>
        </w:rPr>
        <w:t xml:space="preserve">The article appeared on three websites: the two owned by Radiance—TheRadianceFoundation.com and TooManyAborted.com—and a third-party site called LifeNews.com. Though the text of the article was identical across the sites, the headlines and presentation varied slightly. On TheRadianceFoundation.com, directly below the headline was an image of a </w:t>
      </w:r>
      <w:proofErr w:type="spellStart"/>
      <w:r w:rsidRPr="00D83199">
        <w:rPr>
          <w:rFonts w:ascii="Georgia" w:hAnsi="Georgia"/>
        </w:rPr>
        <w:t>TooManyAborted</w:t>
      </w:r>
      <w:proofErr w:type="spellEnd"/>
      <w:r w:rsidRPr="00D83199">
        <w:rPr>
          <w:rFonts w:ascii="Georgia" w:hAnsi="Georgia"/>
        </w:rPr>
        <w:t xml:space="preserve"> billboard with the headline “NAACP: National Association for the Abortion of Colored People” repeated next to it. The TooManyAborted.com site posted the headline “The National Association for the Abortion of Colored People” with a graphic below of a red box with the words “CIVIL WRONG” followed by the modified NAACP name. Adjacent to the article on both pages was an orange button with “CLICK HERE TO GIVE ONE–TIME GIFT TO THE RADIANCE FOUNDATION” printed around the word “DONATE.” </w:t>
      </w:r>
      <w:proofErr w:type="gramStart"/>
      <w:r w:rsidRPr="00D83199">
        <w:rPr>
          <w:rFonts w:ascii="Georgia" w:hAnsi="Georgia"/>
        </w:rPr>
        <w:t>Finally</w:t>
      </w:r>
      <w:proofErr w:type="gramEnd"/>
      <w:r w:rsidRPr="00D83199">
        <w:rPr>
          <w:rFonts w:ascii="Georgia" w:hAnsi="Georgia"/>
        </w:rPr>
        <w:t xml:space="preserve"> on LifeNews.com, the third-party site, the NAACP’s Scales of Justice appeared as a graphic underneath the headline. </w:t>
      </w:r>
    </w:p>
    <w:p w14:paraId="0BBC1EA0" w14:textId="0D620317" w:rsidR="0022077D" w:rsidRPr="00D83199" w:rsidRDefault="0022077D" w:rsidP="0022077D">
      <w:pPr>
        <w:rPr>
          <w:rFonts w:ascii="Georgia" w:hAnsi="Georgia"/>
        </w:rPr>
      </w:pPr>
      <w:r w:rsidRPr="00D83199">
        <w:rPr>
          <w:rFonts w:ascii="Georgia" w:hAnsi="Georgia"/>
        </w:rPr>
        <w:t>The NAACP sent Radiance a cease-and-desist letter on January 28, 2013, after a Google alert for the “NAACP” mark unearthed the LifeNews.com article. Radiance thereupon brought a declaratory action seeking a ruling that it had not infringed or diluted any of the NAACP’s marks and that its use of the marks, or similar ones, was protected under the First Amendment. The NAACP counterclaimed for trademark infringement under 15 U.S.C. §§ 1114(1) and 1125(a) and Virginia state law, and trademark dilution under 15 U.S.C. § 1125(c).</w:t>
      </w:r>
    </w:p>
    <w:p w14:paraId="4AEF94CD" w14:textId="041D3BF0" w:rsidR="0022077D" w:rsidRPr="00D83199" w:rsidRDefault="0022077D" w:rsidP="0022077D">
      <w:pPr>
        <w:rPr>
          <w:rFonts w:ascii="Georgia" w:hAnsi="Georgia"/>
        </w:rPr>
      </w:pPr>
      <w:bookmarkStart w:id="4" w:name="co_pp_sp_506_321_1"/>
      <w:bookmarkEnd w:id="4"/>
      <w:r w:rsidRPr="00D83199">
        <w:rPr>
          <w:rFonts w:ascii="Georgia" w:hAnsi="Georgia"/>
        </w:rPr>
        <w:t xml:space="preserve">After a bench trial, the district court found for the NAACP on all counterclaims and denied declaratory relief to Radiance. It held that Radiance had used the marks “in connection with” goods and services and that its use of the “NAACP” and “National Association for the Advancement of Colored People” marks, or a colorable imitation, created a likelihood of confusion among consumers. </w:t>
      </w:r>
      <w:r w:rsidRPr="00D83199">
        <w:rPr>
          <w:rFonts w:ascii="Georgia" w:hAnsi="Georgia"/>
          <w:i/>
          <w:iCs/>
        </w:rPr>
        <w:t>Radiance Found.,</w:t>
      </w:r>
      <w:r w:rsidRPr="00D83199">
        <w:rPr>
          <w:rFonts w:ascii="Georgia" w:hAnsi="Georgia"/>
        </w:rPr>
        <w:t xml:space="preserve"> 25 F.Supp.3d at 878–79.</w:t>
      </w:r>
    </w:p>
    <w:p w14:paraId="642C4A8C" w14:textId="77777777" w:rsidR="0022077D" w:rsidRPr="00D83199" w:rsidRDefault="0022077D" w:rsidP="0022077D">
      <w:pPr>
        <w:rPr>
          <w:rFonts w:ascii="Georgia" w:hAnsi="Georgia"/>
        </w:rPr>
      </w:pPr>
      <w:r w:rsidRPr="00D83199">
        <w:rPr>
          <w:rFonts w:ascii="Georgia" w:hAnsi="Georgia"/>
        </w:rPr>
        <w:lastRenderedPageBreak/>
        <w:t>. . . .</w:t>
      </w:r>
    </w:p>
    <w:p w14:paraId="1234C10B" w14:textId="70910A9A" w:rsidR="0022077D" w:rsidRPr="00D83199" w:rsidRDefault="0022077D" w:rsidP="0022077D">
      <w:pPr>
        <w:rPr>
          <w:rFonts w:ascii="Georgia" w:hAnsi="Georgia"/>
        </w:rPr>
      </w:pPr>
      <w:r w:rsidRPr="00D83199">
        <w:rPr>
          <w:rFonts w:ascii="Georgia" w:hAnsi="Georgia"/>
        </w:rPr>
        <w:t xml:space="preserve">The district court issued a permanent injunction “against any use [by Radiance] of ‘National Association for the Abortion of Colored People’ that creates a likelihood of confusion or dilution.” </w:t>
      </w:r>
      <w:r w:rsidRPr="00D83199">
        <w:rPr>
          <w:rFonts w:ascii="Georgia" w:hAnsi="Georgia"/>
          <w:i/>
          <w:iCs/>
        </w:rPr>
        <w:t>Id.</w:t>
      </w:r>
      <w:r w:rsidRPr="00D83199">
        <w:rPr>
          <w:rFonts w:ascii="Georgia" w:hAnsi="Georgia"/>
        </w:rPr>
        <w:t xml:space="preserve"> at 902. However, it declined to award any damages or attorney’s fees, as it found the NAACP had failed to make the case that they were warranted. </w:t>
      </w:r>
      <w:r w:rsidRPr="00D83199">
        <w:rPr>
          <w:rFonts w:ascii="Georgia" w:hAnsi="Georgia"/>
          <w:i/>
          <w:iCs/>
        </w:rPr>
        <w:t>Id.</w:t>
      </w:r>
      <w:r w:rsidRPr="00D83199">
        <w:rPr>
          <w:rFonts w:ascii="Georgia" w:hAnsi="Georgia"/>
        </w:rPr>
        <w:t xml:space="preserve"> at 899–901.</w:t>
      </w:r>
    </w:p>
    <w:p w14:paraId="0CDE70DB" w14:textId="07509A6E" w:rsidR="0022077D" w:rsidRPr="00D83199" w:rsidRDefault="0022077D" w:rsidP="0022077D">
      <w:pPr>
        <w:rPr>
          <w:rFonts w:ascii="Georgia" w:hAnsi="Georgia"/>
        </w:rPr>
      </w:pPr>
      <w:bookmarkStart w:id="5" w:name="co_anchor_B12036298491_1"/>
      <w:bookmarkEnd w:id="5"/>
      <w:r w:rsidRPr="00D83199">
        <w:rPr>
          <w:rFonts w:ascii="Georgia" w:hAnsi="Georgia"/>
        </w:rPr>
        <w:t>Radiance now appeals </w:t>
      </w:r>
      <w:proofErr w:type="gramStart"/>
      <w:r w:rsidRPr="00D83199">
        <w:rPr>
          <w:rFonts w:ascii="Georgia" w:hAnsi="Georgia"/>
        </w:rPr>
        <w:t>. . . .</w:t>
      </w:r>
      <w:bookmarkStart w:id="6" w:name="co_anchor_I23a514a32c1311e698dc8b09b4f04"/>
      <w:bookmarkEnd w:id="6"/>
      <w:proofErr w:type="gramEnd"/>
    </w:p>
    <w:p w14:paraId="4C9C3B54" w14:textId="77777777" w:rsidR="0022077D" w:rsidRPr="00D83199" w:rsidRDefault="0022077D" w:rsidP="0022077D">
      <w:pPr>
        <w:pStyle w:val="CntrdNoItal"/>
        <w:rPr>
          <w:rFonts w:ascii="Georgia" w:hAnsi="Georgia"/>
        </w:rPr>
      </w:pPr>
      <w:r w:rsidRPr="00D83199">
        <w:rPr>
          <w:rFonts w:ascii="Georgia" w:hAnsi="Georgia"/>
        </w:rPr>
        <w:t>II.</w:t>
      </w:r>
    </w:p>
    <w:p w14:paraId="209CE115" w14:textId="77777777" w:rsidR="0022077D" w:rsidRPr="00D83199" w:rsidRDefault="0022077D" w:rsidP="0022077D">
      <w:pPr>
        <w:rPr>
          <w:rFonts w:ascii="Georgia" w:hAnsi="Georgia"/>
        </w:rPr>
      </w:pPr>
      <w:r w:rsidRPr="00D83199">
        <w:rPr>
          <w:rFonts w:ascii="Georgia" w:hAnsi="Georgia"/>
        </w:rPr>
        <w:t>. . . .</w:t>
      </w:r>
    </w:p>
    <w:p w14:paraId="3D7394C2" w14:textId="77777777" w:rsidR="0022077D" w:rsidRPr="00D83199" w:rsidRDefault="0022077D" w:rsidP="0022077D">
      <w:pPr>
        <w:pStyle w:val="CntrdNoItal"/>
        <w:keepNext/>
        <w:rPr>
          <w:rFonts w:ascii="Georgia" w:hAnsi="Georgia"/>
        </w:rPr>
      </w:pPr>
      <w:r w:rsidRPr="00D83199">
        <w:rPr>
          <w:rFonts w:ascii="Georgia" w:hAnsi="Georgia"/>
        </w:rPr>
        <w:t>B.</w:t>
      </w:r>
    </w:p>
    <w:p w14:paraId="161E9DD0" w14:textId="3A411167" w:rsidR="0022077D" w:rsidRPr="00D83199" w:rsidRDefault="0022077D" w:rsidP="0022077D">
      <w:pPr>
        <w:rPr>
          <w:rFonts w:ascii="Georgia" w:hAnsi="Georgia"/>
        </w:rPr>
      </w:pPr>
      <w:r w:rsidRPr="00D83199">
        <w:rPr>
          <w:rFonts w:ascii="Georgia" w:hAnsi="Georgia"/>
        </w:rPr>
        <w:t xml:space="preserve">The first element of trademark infringement at issue is . . . whether Radiance’s use of the NAACP’s marks was “in connection with the sale, offering for sale, distribution, or advertising of any goods or services.” 15 U.S.C. § 1114(1)(a); </w:t>
      </w:r>
      <w:r w:rsidRPr="00D83199">
        <w:rPr>
          <w:rFonts w:ascii="Georgia" w:hAnsi="Georgia"/>
          <w:i/>
          <w:iCs/>
        </w:rPr>
        <w:t>see also id.</w:t>
      </w:r>
      <w:r w:rsidRPr="00D83199">
        <w:rPr>
          <w:rFonts w:ascii="Georgia" w:hAnsi="Georgia"/>
        </w:rPr>
        <w:t xml:space="preserve"> § 1125(a)(1) (requiring mark be used “in connection with any goods or services”). The NAACP urges us to give this requirement a “broad construction,” but that construction would expose to liability a wide array of noncommercial expressive and charitable activities. Such an interpretation would push the Lanham Act close against a First Amendment wall, which is incompatible with the statute’s purpose and stretches the text beyond its breaking point. We decline to reach so far.</w:t>
      </w:r>
    </w:p>
    <w:p w14:paraId="2F98E50B" w14:textId="6D457308" w:rsidR="0022077D" w:rsidRPr="00D83199" w:rsidRDefault="0022077D" w:rsidP="0022077D">
      <w:pPr>
        <w:rPr>
          <w:rFonts w:ascii="Georgia" w:hAnsi="Georgia"/>
        </w:rPr>
      </w:pPr>
      <w:r w:rsidRPr="00D83199">
        <w:rPr>
          <w:rFonts w:ascii="Georgia" w:hAnsi="Georgia"/>
        </w:rPr>
        <w:t xml:space="preserve">At least five of our sister circuits have interpreted this element as protecting from liability all noncommercial uses of marks. </w:t>
      </w:r>
      <w:r w:rsidRPr="00D83199">
        <w:rPr>
          <w:rFonts w:ascii="Georgia" w:hAnsi="Georgia"/>
          <w:i/>
          <w:iCs/>
        </w:rPr>
        <w:t>Farah v. Esquire Magazine,</w:t>
      </w:r>
      <w:r w:rsidRPr="00D83199">
        <w:rPr>
          <w:rFonts w:ascii="Georgia" w:hAnsi="Georgia"/>
        </w:rPr>
        <w:t xml:space="preserve"> 736 F.3d 528, 541 (D.C. Cir. 2013); </w:t>
      </w:r>
      <w:r w:rsidRPr="00D83199">
        <w:rPr>
          <w:rFonts w:ascii="Georgia" w:hAnsi="Georgia"/>
          <w:i/>
          <w:iCs/>
        </w:rPr>
        <w:t>Utah Lighthouse Ministry v. Found. for Apologetic Info. &amp; Research,</w:t>
      </w:r>
      <w:r w:rsidRPr="00D83199">
        <w:rPr>
          <w:rFonts w:ascii="Georgia" w:hAnsi="Georgia"/>
        </w:rPr>
        <w:t xml:space="preserve"> 527 F.3d 1045, 1052–54 (10th Cir. 2008); </w:t>
      </w:r>
      <w:r w:rsidRPr="00D83199">
        <w:rPr>
          <w:rFonts w:ascii="Georgia" w:hAnsi="Georgia"/>
          <w:i/>
          <w:iCs/>
        </w:rPr>
        <w:t>Bosley Med. Inst., Inc. v. Kremer,</w:t>
      </w:r>
      <w:r w:rsidRPr="00D83199">
        <w:rPr>
          <w:rFonts w:ascii="Georgia" w:hAnsi="Georgia"/>
        </w:rPr>
        <w:t xml:space="preserve"> 403 F.3d 672, 676–77 (9th Cir. 2005); </w:t>
      </w:r>
      <w:r w:rsidRPr="00D83199">
        <w:rPr>
          <w:rFonts w:ascii="Georgia" w:hAnsi="Georgia"/>
          <w:i/>
          <w:iCs/>
        </w:rPr>
        <w:t xml:space="preserve">Taubman Co. v. </w:t>
      </w:r>
      <w:proofErr w:type="spellStart"/>
      <w:r w:rsidRPr="00D83199">
        <w:rPr>
          <w:rFonts w:ascii="Georgia" w:hAnsi="Georgia"/>
          <w:i/>
          <w:iCs/>
        </w:rPr>
        <w:t>Webfeats</w:t>
      </w:r>
      <w:proofErr w:type="spellEnd"/>
      <w:r w:rsidRPr="00D83199">
        <w:rPr>
          <w:rFonts w:ascii="Georgia" w:hAnsi="Georgia"/>
          <w:i/>
          <w:iCs/>
        </w:rPr>
        <w:t>,</w:t>
      </w:r>
      <w:r w:rsidRPr="00D83199">
        <w:rPr>
          <w:rFonts w:ascii="Georgia" w:hAnsi="Georgia"/>
        </w:rPr>
        <w:t xml:space="preserve"> 319 F.3d 770, 774 (6th Cir. 2003); </w:t>
      </w:r>
      <w:r w:rsidRPr="00D83199">
        <w:rPr>
          <w:rFonts w:ascii="Georgia" w:hAnsi="Georgia"/>
          <w:i/>
          <w:iCs/>
        </w:rPr>
        <w:t>Porous Media Corp. v. Pall Corp.,</w:t>
      </w:r>
      <w:r w:rsidRPr="00D83199">
        <w:rPr>
          <w:rFonts w:ascii="Georgia" w:hAnsi="Georgia"/>
        </w:rPr>
        <w:t xml:space="preserve"> 173 F.3d 1109, 1120 (8th Cir. 1999). </w:t>
      </w:r>
      <w:r w:rsidRPr="00D83199">
        <w:rPr>
          <w:rFonts w:ascii="Georgia" w:hAnsi="Georgia"/>
          <w:i/>
          <w:iCs/>
        </w:rPr>
        <w:t>But see United We Stand Am., Inc. v. United We Stand, Am. New York, Inc.</w:t>
      </w:r>
      <w:r w:rsidRPr="00D83199">
        <w:rPr>
          <w:rFonts w:ascii="Georgia" w:hAnsi="Georgia"/>
          <w:iCs/>
        </w:rPr>
        <w:t>,</w:t>
      </w:r>
      <w:r w:rsidRPr="00D83199">
        <w:rPr>
          <w:rFonts w:ascii="Georgia" w:hAnsi="Georgia"/>
          <w:i/>
          <w:iCs/>
        </w:rPr>
        <w:t xml:space="preserve"> </w:t>
      </w:r>
      <w:r w:rsidRPr="00D83199">
        <w:rPr>
          <w:rFonts w:ascii="Georgia" w:hAnsi="Georgia"/>
          <w:iCs/>
        </w:rPr>
        <w:t>128 F.3d 86, 89–90 (2d Cir. 1997)</w:t>
      </w:r>
      <w:r w:rsidRPr="00D83199">
        <w:rPr>
          <w:rFonts w:ascii="Georgia" w:hAnsi="Georgia"/>
        </w:rPr>
        <w:t xml:space="preserve">. We have not taken a position on whether “in connection with” goods or services indicates a commercial use. </w:t>
      </w:r>
      <w:proofErr w:type="spellStart"/>
      <w:r w:rsidRPr="00D83199">
        <w:rPr>
          <w:rFonts w:ascii="Georgia" w:hAnsi="Georgia"/>
          <w:i/>
        </w:rPr>
        <w:t>Lamparello</w:t>
      </w:r>
      <w:proofErr w:type="spellEnd"/>
      <w:r w:rsidRPr="00D83199">
        <w:rPr>
          <w:rFonts w:ascii="Georgia" w:hAnsi="Georgia"/>
          <w:i/>
        </w:rPr>
        <w:t xml:space="preserve"> v. Falwell</w:t>
      </w:r>
      <w:r w:rsidRPr="00D83199">
        <w:rPr>
          <w:rFonts w:ascii="Georgia" w:hAnsi="Georgia"/>
        </w:rPr>
        <w:t>, 420 F.3d 309, 313-14 (4th Cir. 2005).</w:t>
      </w:r>
    </w:p>
    <w:p w14:paraId="17979E7B" w14:textId="1C5AF936" w:rsidR="0022077D" w:rsidRPr="00D83199" w:rsidRDefault="0022077D" w:rsidP="0022077D">
      <w:pPr>
        <w:rPr>
          <w:rFonts w:ascii="Georgia" w:hAnsi="Georgia"/>
        </w:rPr>
      </w:pPr>
      <w:r w:rsidRPr="00D83199">
        <w:rPr>
          <w:rFonts w:ascii="Georgia" w:hAnsi="Georgia"/>
        </w:rPr>
        <w:t xml:space="preserve">At the very least, reading the “in connection with” element to take in broad swaths of noncommercial speech would be an “overextension” of the Lanham Act’s reach that would “intrude on First Amendment values.” </w:t>
      </w:r>
      <w:r w:rsidRPr="00D83199">
        <w:rPr>
          <w:rFonts w:ascii="Georgia" w:hAnsi="Georgia"/>
          <w:i/>
        </w:rPr>
        <w:t>Rogers v. Grimaldi</w:t>
      </w:r>
      <w:r w:rsidRPr="00D83199">
        <w:rPr>
          <w:rFonts w:ascii="Georgia" w:hAnsi="Georgia"/>
        </w:rPr>
        <w:t xml:space="preserve">, 875 F.2d 994, 998 (2d Cir. 1989); </w:t>
      </w:r>
      <w:r w:rsidRPr="00D83199">
        <w:rPr>
          <w:rFonts w:ascii="Georgia" w:hAnsi="Georgia"/>
          <w:i/>
          <w:iCs/>
        </w:rPr>
        <w:t>see also Taubman,</w:t>
      </w:r>
      <w:r w:rsidRPr="00D83199">
        <w:rPr>
          <w:rFonts w:ascii="Georgia" w:hAnsi="Georgia"/>
        </w:rPr>
        <w:t xml:space="preserve"> 319 F.3d at 774 (stating that the “Lanham Act is constitutional because it only regulates commercial speech”). It is true that neither of the Lanham Act’s infringement provisions explicitly mentions commerciality. </w:t>
      </w:r>
      <w:proofErr w:type="spellStart"/>
      <w:r w:rsidRPr="00D83199">
        <w:rPr>
          <w:rFonts w:ascii="Georgia" w:hAnsi="Georgia"/>
          <w:i/>
          <w:iCs/>
        </w:rPr>
        <w:t>Lamparello</w:t>
      </w:r>
      <w:proofErr w:type="spellEnd"/>
      <w:r w:rsidRPr="00D83199">
        <w:rPr>
          <w:rFonts w:ascii="Georgia" w:hAnsi="Georgia"/>
          <w:i/>
          <w:iCs/>
        </w:rPr>
        <w:t xml:space="preserve">, </w:t>
      </w:r>
      <w:bookmarkStart w:id="7" w:name="co_pp_sp_506_323_1"/>
      <w:bookmarkEnd w:id="7"/>
      <w:r w:rsidRPr="00D83199">
        <w:rPr>
          <w:rFonts w:ascii="Georgia" w:hAnsi="Georgia"/>
        </w:rPr>
        <w:t xml:space="preserve">420 F.3d at 314. Still, this provision must mean something more than that the mark is being used in commerce in the constitutional sense, because the infringement provisions in § 1114(1)(a) and § 1125(a)(1) include a separate Commerce Clause hook. </w:t>
      </w:r>
      <w:r w:rsidRPr="00D83199">
        <w:rPr>
          <w:rFonts w:ascii="Georgia" w:hAnsi="Georgia"/>
          <w:i/>
          <w:iCs/>
        </w:rPr>
        <w:t>Bosley,</w:t>
      </w:r>
      <w:r w:rsidRPr="00D83199">
        <w:rPr>
          <w:rFonts w:ascii="Georgia" w:hAnsi="Georgia"/>
        </w:rPr>
        <w:t xml:space="preserve"> 403 F.3d at 677; </w:t>
      </w:r>
      <w:r w:rsidRPr="00D83199">
        <w:rPr>
          <w:rFonts w:ascii="Georgia" w:hAnsi="Georgia"/>
          <w:i/>
          <w:iCs/>
        </w:rPr>
        <w:t xml:space="preserve">Int’l Bancorp, LLC v. </w:t>
      </w:r>
      <w:proofErr w:type="spellStart"/>
      <w:r w:rsidRPr="00D83199">
        <w:rPr>
          <w:rFonts w:ascii="Georgia" w:hAnsi="Georgia"/>
          <w:i/>
          <w:iCs/>
        </w:rPr>
        <w:lastRenderedPageBreak/>
        <w:t>Societe</w:t>
      </w:r>
      <w:proofErr w:type="spellEnd"/>
      <w:r w:rsidRPr="00D83199">
        <w:rPr>
          <w:rFonts w:ascii="Georgia" w:hAnsi="Georgia"/>
          <w:i/>
          <w:iCs/>
        </w:rPr>
        <w:t xml:space="preserve"> des Bains de Mer et du Cercle des Estrangers a Monaco,</w:t>
      </w:r>
      <w:r w:rsidRPr="00D83199">
        <w:rPr>
          <w:rFonts w:ascii="Georgia" w:hAnsi="Georgia"/>
        </w:rPr>
        <w:t xml:space="preserve"> 329 F.3d 359, 363–64 (4th Cir. 2003); </w:t>
      </w:r>
      <w:r w:rsidRPr="00D83199">
        <w:rPr>
          <w:rFonts w:ascii="Georgia" w:hAnsi="Georgia"/>
          <w:i/>
          <w:iCs/>
        </w:rPr>
        <w:t>United We Stand,</w:t>
      </w:r>
      <w:r w:rsidRPr="00D83199">
        <w:rPr>
          <w:rFonts w:ascii="Georgia" w:hAnsi="Georgia"/>
        </w:rPr>
        <w:t xml:space="preserve"> 128 F.3d at 92–93. </w:t>
      </w:r>
    </w:p>
    <w:p w14:paraId="2EA7931A" w14:textId="69175778" w:rsidR="0022077D" w:rsidRPr="00D83199" w:rsidRDefault="0022077D" w:rsidP="0022077D">
      <w:pPr>
        <w:rPr>
          <w:rFonts w:ascii="Georgia" w:hAnsi="Georgia"/>
        </w:rPr>
      </w:pPr>
      <w:r w:rsidRPr="00D83199">
        <w:rPr>
          <w:rFonts w:ascii="Georgia" w:hAnsi="Georgia"/>
        </w:rPr>
        <w:t xml:space="preserve">Although this case does not require us to hold that the commercial speech doctrine is in all respects synonymous with the “in connection with” element, we think that doctrine provides much the best guidance in applying the Act. The “in connection with” element in fact reads very much like a description of different types of commercial actions: “in connection with the </w:t>
      </w:r>
      <w:r w:rsidRPr="00D83199">
        <w:rPr>
          <w:rFonts w:ascii="Georgia" w:hAnsi="Georgia"/>
          <w:i/>
          <w:iCs/>
        </w:rPr>
        <w:t>sale, offering for sale, distribution,</w:t>
      </w:r>
      <w:r w:rsidRPr="00D83199">
        <w:rPr>
          <w:rFonts w:ascii="Georgia" w:hAnsi="Georgia"/>
        </w:rPr>
        <w:t xml:space="preserve"> or </w:t>
      </w:r>
      <w:r w:rsidRPr="00D83199">
        <w:rPr>
          <w:rFonts w:ascii="Georgia" w:hAnsi="Georgia"/>
          <w:i/>
          <w:iCs/>
        </w:rPr>
        <w:t>advertising</w:t>
      </w:r>
      <w:r w:rsidRPr="00D83199">
        <w:rPr>
          <w:rFonts w:ascii="Georgia" w:hAnsi="Georgia"/>
        </w:rPr>
        <w:t xml:space="preserve"> of any goods or services.” 15 U.S.C. § 1114(1)(a) (emphasis added). </w:t>
      </w:r>
    </w:p>
    <w:p w14:paraId="6DC30BAF" w14:textId="3F83820B" w:rsidR="0022077D" w:rsidRPr="00D83199" w:rsidRDefault="0022077D" w:rsidP="0022077D">
      <w:pPr>
        <w:rPr>
          <w:rFonts w:ascii="Georgia" w:hAnsi="Georgia"/>
        </w:rPr>
      </w:pPr>
      <w:bookmarkStart w:id="8" w:name="co_anchor_B32036298491_1"/>
      <w:bookmarkStart w:id="9" w:name="co_anchor_B42036298491_1"/>
      <w:bookmarkEnd w:id="8"/>
      <w:bookmarkEnd w:id="9"/>
      <w:r w:rsidRPr="00D83199">
        <w:rPr>
          <w:rFonts w:ascii="Georgia" w:hAnsi="Georgia"/>
        </w:rPr>
        <w:t xml:space="preserve">Use of a protected mark as part of “speech that does no more than propose a commercial transaction” thus plainly falls within the Lanham Act’s reach. </w:t>
      </w:r>
      <w:r w:rsidRPr="00D83199">
        <w:rPr>
          <w:rFonts w:ascii="Georgia" w:hAnsi="Georgia"/>
          <w:i/>
          <w:iCs/>
        </w:rPr>
        <w:t>United States v. United Foods, Inc.,</w:t>
      </w:r>
      <w:r w:rsidRPr="00D83199">
        <w:rPr>
          <w:rFonts w:ascii="Georgia" w:hAnsi="Georgia"/>
        </w:rPr>
        <w:t xml:space="preserve"> 533 U.S. 405, 409 (2001). Courts also look to the factors outlined in </w:t>
      </w:r>
      <w:r w:rsidRPr="00D83199">
        <w:rPr>
          <w:rFonts w:ascii="Georgia" w:hAnsi="Georgia"/>
          <w:i/>
          <w:iCs/>
        </w:rPr>
        <w:t>Bolger v. Youngs Drug Products Corp.,</w:t>
      </w:r>
      <w:r w:rsidRPr="00D83199">
        <w:rPr>
          <w:rFonts w:ascii="Georgia" w:hAnsi="Georgia"/>
        </w:rPr>
        <w:t xml:space="preserve"> 463 U.S. 60, 66–67 (1983): whether the speech is an advertisement; whether the speech references a particular good or service; and whether the speaker (the alleged infringer) has a demonstrated economic motivation for his speech. </w:t>
      </w:r>
      <w:r w:rsidRPr="00D83199">
        <w:rPr>
          <w:rFonts w:ascii="Georgia" w:hAnsi="Georgia"/>
          <w:i/>
          <w:iCs/>
        </w:rPr>
        <w:t>Greater Balt. Ctr. for Pregnancy Concerns, Inc. v. Mayor of Balt.,</w:t>
      </w:r>
      <w:r w:rsidRPr="00D83199">
        <w:rPr>
          <w:rFonts w:ascii="Georgia" w:hAnsi="Georgia"/>
        </w:rPr>
        <w:t xml:space="preserve"> 721 F.3d 264, 285 (4th Cir. 2013) (</w:t>
      </w:r>
      <w:proofErr w:type="spellStart"/>
      <w:r w:rsidRPr="00D83199">
        <w:rPr>
          <w:rFonts w:ascii="Georgia" w:hAnsi="Georgia"/>
        </w:rPr>
        <w:t>en</w:t>
      </w:r>
      <w:proofErr w:type="spellEnd"/>
      <w:r w:rsidRPr="00D83199">
        <w:rPr>
          <w:rFonts w:ascii="Georgia" w:hAnsi="Georgia"/>
        </w:rPr>
        <w:t xml:space="preserve"> banc). These are not exclusive factors, and the presence or absence of any of them does not necessitate a particular result.</w:t>
      </w:r>
    </w:p>
    <w:p w14:paraId="6EA41E19" w14:textId="3320A59B" w:rsidR="0022077D" w:rsidRPr="00D83199" w:rsidRDefault="0022077D" w:rsidP="0022077D">
      <w:pPr>
        <w:rPr>
          <w:rFonts w:ascii="Georgia" w:hAnsi="Georgia"/>
        </w:rPr>
      </w:pPr>
      <w:r w:rsidRPr="00D83199">
        <w:rPr>
          <w:rFonts w:ascii="Georgia" w:hAnsi="Georgia"/>
        </w:rPr>
        <w:t xml:space="preserve">In the context of trademark infringement, the Act’s purpose . . . is to protect consumers from misleading uses of marks by competitors. </w:t>
      </w:r>
      <w:proofErr w:type="gramStart"/>
      <w:r w:rsidRPr="00D83199">
        <w:rPr>
          <w:rFonts w:ascii="Georgia" w:hAnsi="Georgia"/>
        </w:rPr>
        <w:t>Thus</w:t>
      </w:r>
      <w:proofErr w:type="gramEnd"/>
      <w:r w:rsidRPr="00D83199">
        <w:rPr>
          <w:rFonts w:ascii="Georgia" w:hAnsi="Georgia"/>
        </w:rPr>
        <w:t xml:space="preserve"> if in the context of a sale, distribution, or advertisement, a mark is used as a source identifier, we can confidently state that the use is “in connection with” the activity. Even the Second Circuit, which rejected </w:t>
      </w:r>
      <w:proofErr w:type="spellStart"/>
      <w:r w:rsidRPr="00D83199">
        <w:rPr>
          <w:rFonts w:ascii="Georgia" w:hAnsi="Georgia"/>
        </w:rPr>
        <w:t>noncommerciality</w:t>
      </w:r>
      <w:proofErr w:type="spellEnd"/>
      <w:r w:rsidRPr="00D83199">
        <w:rPr>
          <w:rFonts w:ascii="Georgia" w:hAnsi="Georgia"/>
        </w:rPr>
        <w:t xml:space="preserve"> as an invariable defense to Lanham Act liability, conceded that a “crucial” factor is that the infringer “us[ed] the Mark not as a commentary on its owner, but instead as a source identifier.” </w:t>
      </w:r>
      <w:r w:rsidRPr="00D83199">
        <w:rPr>
          <w:rFonts w:ascii="Georgia" w:hAnsi="Georgia"/>
          <w:i/>
          <w:iCs/>
        </w:rPr>
        <w:t>United We Stand,</w:t>
      </w:r>
      <w:r w:rsidRPr="00D83199">
        <w:rPr>
          <w:rFonts w:ascii="Georgia" w:hAnsi="Georgia"/>
        </w:rPr>
        <w:t xml:space="preserve"> 128 F.3d at 92. The danger of allowing the “in connection with” element to suck in speech on political and social issues through some strained or tangential association with a commercial or transactional activity should thus be evident. Courts have uniformly understood that imposing liability under the Lanham Act for such speech is rife with the First Amendment problems.</w:t>
      </w:r>
    </w:p>
    <w:p w14:paraId="2923AA15" w14:textId="067DFB56" w:rsidR="0022077D" w:rsidRPr="00D83199" w:rsidRDefault="0022077D" w:rsidP="0022077D">
      <w:pPr>
        <w:rPr>
          <w:rFonts w:ascii="Georgia" w:hAnsi="Georgia"/>
        </w:rPr>
      </w:pPr>
      <w:r w:rsidRPr="00D83199">
        <w:rPr>
          <w:rFonts w:ascii="Georgia" w:hAnsi="Georgia"/>
        </w:rPr>
        <w:t xml:space="preserve">Finally, </w:t>
      </w:r>
      <w:proofErr w:type="gramStart"/>
      <w:r w:rsidRPr="00D83199">
        <w:rPr>
          <w:rFonts w:ascii="Georgia" w:hAnsi="Georgia"/>
        </w:rPr>
        <w:t>in order to</w:t>
      </w:r>
      <w:proofErr w:type="gramEnd"/>
      <w:r w:rsidRPr="00D83199">
        <w:rPr>
          <w:rFonts w:ascii="Georgia" w:hAnsi="Georgia"/>
        </w:rPr>
        <w:t xml:space="preserve"> determine whether the use is “in connection with” goods or services, we must consider what qualifies as a good or service. The Lanham Act does not directly define either term, but we can deduce their meaning from other defined terms and common usage. A “good” is best understood as a valuable product, physical or otherwise, that the consumer may herself employ. </w:t>
      </w:r>
      <w:r w:rsidRPr="00D83199">
        <w:rPr>
          <w:rFonts w:ascii="Georgia" w:hAnsi="Georgia"/>
          <w:i/>
          <w:iCs/>
        </w:rPr>
        <w:t>See</w:t>
      </w:r>
      <w:r w:rsidRPr="00D83199">
        <w:rPr>
          <w:rFonts w:ascii="Georgia" w:hAnsi="Georgia"/>
        </w:rPr>
        <w:t xml:space="preserve"> 15 U.S.C. § 1127 (noting that a mark may be used in commerce in relation to a good when placed on a good, its container, its tag, or its associated documents); Black’s Law Dictionary 809 (10th ed. 2014) (defining “goods” as “[t]</w:t>
      </w:r>
      <w:proofErr w:type="spellStart"/>
      <w:r w:rsidRPr="00D83199">
        <w:rPr>
          <w:rFonts w:ascii="Georgia" w:hAnsi="Georgia"/>
        </w:rPr>
        <w:t>hings</w:t>
      </w:r>
      <w:proofErr w:type="spellEnd"/>
      <w:r w:rsidRPr="00D83199">
        <w:rPr>
          <w:rFonts w:ascii="Georgia" w:hAnsi="Georgia"/>
        </w:rPr>
        <w:t xml:space="preserve"> that have value, whether tangible or not”). A service is a more amorphous concept, “</w:t>
      </w:r>
      <w:proofErr w:type="spellStart"/>
      <w:r w:rsidRPr="00D83199">
        <w:rPr>
          <w:rFonts w:ascii="Georgia" w:hAnsi="Georgia"/>
        </w:rPr>
        <w:t>denot</w:t>
      </w:r>
      <w:proofErr w:type="spellEnd"/>
      <w:r w:rsidRPr="00D83199">
        <w:rPr>
          <w:rFonts w:ascii="Georgia" w:hAnsi="Georgia"/>
        </w:rPr>
        <w:t>[</w:t>
      </w:r>
      <w:proofErr w:type="spellStart"/>
      <w:r w:rsidRPr="00D83199">
        <w:rPr>
          <w:rFonts w:ascii="Georgia" w:hAnsi="Georgia"/>
        </w:rPr>
        <w:t>ing</w:t>
      </w:r>
      <w:proofErr w:type="spellEnd"/>
      <w:r w:rsidRPr="00D83199">
        <w:rPr>
          <w:rFonts w:ascii="Georgia" w:hAnsi="Georgia"/>
        </w:rPr>
        <w:t xml:space="preserve">] an intangible commodity in the form of human effort, such as labor, skill, or advice.” </w:t>
      </w:r>
      <w:r w:rsidRPr="00D83199">
        <w:rPr>
          <w:rFonts w:ascii="Georgia" w:hAnsi="Georgia"/>
        </w:rPr>
        <w:lastRenderedPageBreak/>
        <w:t xml:space="preserve">Black’s Law Dictionary 1576. Because Congress intended the Lanham Act to protect consumers from confusion in the marketplace, it is probable that the Act is </w:t>
      </w:r>
      <w:bookmarkStart w:id="10" w:name="co_pp_sp_506_324_1"/>
      <w:bookmarkEnd w:id="10"/>
      <w:r w:rsidRPr="00D83199">
        <w:rPr>
          <w:rFonts w:ascii="Georgia" w:hAnsi="Georgia"/>
        </w:rPr>
        <w:t xml:space="preserve">meant to cover a wide range of products, whether “goods” or “services.” </w:t>
      </w:r>
      <w:r w:rsidRPr="00D83199">
        <w:rPr>
          <w:rFonts w:ascii="Georgia" w:hAnsi="Georgia"/>
          <w:i/>
          <w:iCs/>
        </w:rPr>
        <w:t>See Yates v. United States,</w:t>
      </w:r>
      <w:r w:rsidRPr="00D83199">
        <w:rPr>
          <w:rFonts w:ascii="Georgia" w:hAnsi="Georgia"/>
        </w:rPr>
        <w:t xml:space="preserve"> ––– U.S. ––––, 135 </w:t>
      </w:r>
      <w:proofErr w:type="spellStart"/>
      <w:r w:rsidRPr="00D83199">
        <w:rPr>
          <w:rFonts w:ascii="Georgia" w:hAnsi="Georgia"/>
        </w:rPr>
        <w:t>S.Ct</w:t>
      </w:r>
      <w:proofErr w:type="spellEnd"/>
      <w:r w:rsidRPr="00D83199">
        <w:rPr>
          <w:rFonts w:ascii="Georgia" w:hAnsi="Georgia"/>
        </w:rPr>
        <w:t>. 1074, 1082 (2015) (“Ordinarily, a word’s usage accords with its dictionary definition. In law as in life, however, the same words, placed in different contexts, sometimes mean different things.”).</w:t>
      </w:r>
    </w:p>
    <w:p w14:paraId="5840AAFD" w14:textId="2A1FC56B" w:rsidR="0022077D" w:rsidRPr="00D83199" w:rsidRDefault="0022077D" w:rsidP="0022077D">
      <w:pPr>
        <w:rPr>
          <w:rFonts w:ascii="Georgia" w:hAnsi="Georgia"/>
        </w:rPr>
      </w:pPr>
      <w:r w:rsidRPr="00D83199">
        <w:rPr>
          <w:rFonts w:ascii="Georgia" w:hAnsi="Georgia"/>
        </w:rPr>
        <w:t>It is clear, therefore, that despite the need to reconcile the reach of the Lanham Act with First Amendment values, “goods or services” remains a broad and potentially fuzzy concept. That is yet another reason why the “in connection with” language must denote a real nexus with goods or services if the Act is not to fatally collide with First Amendment principles.</w:t>
      </w:r>
    </w:p>
    <w:p w14:paraId="43EC9110" w14:textId="77777777" w:rsidR="0022077D" w:rsidRPr="00D83199" w:rsidRDefault="0022077D" w:rsidP="0022077D">
      <w:pPr>
        <w:pStyle w:val="CntrdNoItal"/>
        <w:rPr>
          <w:rFonts w:ascii="Georgia" w:hAnsi="Georgia"/>
        </w:rPr>
      </w:pPr>
      <w:r w:rsidRPr="00D83199">
        <w:rPr>
          <w:rFonts w:ascii="Georgia" w:hAnsi="Georgia"/>
        </w:rPr>
        <w:t>III.</w:t>
      </w:r>
    </w:p>
    <w:p w14:paraId="6585F4E4" w14:textId="77777777" w:rsidR="0022077D" w:rsidRPr="00D83199" w:rsidRDefault="0022077D" w:rsidP="0022077D">
      <w:pPr>
        <w:rPr>
          <w:rFonts w:ascii="Georgia" w:hAnsi="Georgia"/>
        </w:rPr>
      </w:pPr>
      <w:r w:rsidRPr="00D83199">
        <w:rPr>
          <w:rFonts w:ascii="Georgia" w:hAnsi="Georgia"/>
        </w:rPr>
        <w:t> . . . .</w:t>
      </w:r>
    </w:p>
    <w:p w14:paraId="5F10C61D" w14:textId="77777777" w:rsidR="0022077D" w:rsidRPr="00D83199" w:rsidRDefault="0022077D" w:rsidP="0022077D">
      <w:pPr>
        <w:pStyle w:val="CntrdNoItal"/>
        <w:rPr>
          <w:rFonts w:ascii="Georgia" w:hAnsi="Georgia"/>
        </w:rPr>
      </w:pPr>
      <w:r w:rsidRPr="00D83199">
        <w:rPr>
          <w:rFonts w:ascii="Georgia" w:hAnsi="Georgia"/>
        </w:rPr>
        <w:t>A.</w:t>
      </w:r>
    </w:p>
    <w:p w14:paraId="218D26F8" w14:textId="1FE57609" w:rsidR="0022077D" w:rsidRPr="00D83199" w:rsidRDefault="0022077D" w:rsidP="0022077D">
      <w:pPr>
        <w:rPr>
          <w:rFonts w:ascii="Georgia" w:hAnsi="Georgia"/>
        </w:rPr>
      </w:pPr>
      <w:r w:rsidRPr="00D83199">
        <w:rPr>
          <w:rFonts w:ascii="Georgia" w:hAnsi="Georgia"/>
        </w:rPr>
        <w:t xml:space="preserve">In finding that Radiance’s use of the NAACP’s marks was “in connection with” goods or services, the district court erred in several respects. To begin, the court held that because the Radiance article appeared in a Google search for the term “NAACP,” it diverted “Internet users to Radiance’s article as opposed to the NAACP’s websites,” which thereby created a connection to the NAACP’s goods and services. </w:t>
      </w:r>
      <w:r w:rsidRPr="00D83199">
        <w:rPr>
          <w:rFonts w:ascii="Georgia" w:hAnsi="Georgia"/>
          <w:i/>
          <w:iCs/>
        </w:rPr>
        <w:t>Radiance Found., Inc. v. NAACP,</w:t>
      </w:r>
      <w:r w:rsidRPr="00D83199">
        <w:rPr>
          <w:rFonts w:ascii="Georgia" w:hAnsi="Georgia"/>
        </w:rPr>
        <w:t xml:space="preserve"> 25 F.Supp.3d 865, 884 (</w:t>
      </w:r>
      <w:proofErr w:type="spellStart"/>
      <w:r w:rsidRPr="00D83199">
        <w:rPr>
          <w:rFonts w:ascii="Georgia" w:hAnsi="Georgia"/>
        </w:rPr>
        <w:t>E.D.Va</w:t>
      </w:r>
      <w:proofErr w:type="spellEnd"/>
      <w:r w:rsidRPr="00D83199">
        <w:rPr>
          <w:rFonts w:ascii="Georgia" w:hAnsi="Georgia"/>
        </w:rPr>
        <w:t xml:space="preserve">. 2014). But </w:t>
      </w:r>
      <w:proofErr w:type="gramStart"/>
      <w:r w:rsidRPr="00D83199">
        <w:rPr>
          <w:rFonts w:ascii="Georgia" w:hAnsi="Georgia"/>
        </w:rPr>
        <w:t>typically</w:t>
      </w:r>
      <w:proofErr w:type="gramEnd"/>
      <w:r w:rsidRPr="00D83199">
        <w:rPr>
          <w:rFonts w:ascii="Georgia" w:hAnsi="Georgia"/>
        </w:rPr>
        <w:t xml:space="preserve"> the use of the mark has to be in connection with the infringer’s goods or services, not the trademark holder’s. </w:t>
      </w:r>
      <w:r w:rsidRPr="00D83199">
        <w:rPr>
          <w:rFonts w:ascii="Georgia" w:hAnsi="Georgia"/>
          <w:i/>
          <w:iCs/>
        </w:rPr>
        <w:t>See Utah Lighthouse Ministry v. Found. for Apologetic Info. &amp; Research,</w:t>
      </w:r>
      <w:r w:rsidRPr="00D83199">
        <w:rPr>
          <w:rFonts w:ascii="Georgia" w:hAnsi="Georgia"/>
        </w:rPr>
        <w:t xml:space="preserve"> 527 F.3d 1045, 1053–54 (10th Cir. 2008) (stating that “the defendant in a trademark infringement . . . case must use the mark in connection with the goods or services of a competing producer, not merely to make a comment on the trademark owner’s goods or services”).</w:t>
      </w:r>
    </w:p>
    <w:p w14:paraId="3F1CC92B" w14:textId="40EDFAC8" w:rsidR="0022077D" w:rsidRPr="00D83199" w:rsidRDefault="0022077D" w:rsidP="0022077D">
      <w:pPr>
        <w:rPr>
          <w:rFonts w:ascii="Georgia" w:hAnsi="Georgia"/>
        </w:rPr>
      </w:pPr>
      <w:r w:rsidRPr="00D83199">
        <w:rPr>
          <w:rFonts w:ascii="Georgia" w:hAnsi="Georgia"/>
        </w:rPr>
        <w:t xml:space="preserve">If the general rule was that the use of the mark merely had to be in connection with the trademark holder’s goods or services, then even the most offhand mention of a trademark holder’s mark could potentially satisfy the “in connection with” requirement. That interpretation would expand the requirement to the point that it would equal or surpass the scope of the Lanham Act’s “in commerce” jurisdictional element. This would not only make the jurisdictional element </w:t>
      </w:r>
      <w:proofErr w:type="gramStart"/>
      <w:r w:rsidRPr="00D83199">
        <w:rPr>
          <w:rFonts w:ascii="Georgia" w:hAnsi="Georgia"/>
        </w:rPr>
        <w:t>superfluous, but</w:t>
      </w:r>
      <w:proofErr w:type="gramEnd"/>
      <w:r w:rsidRPr="00D83199">
        <w:rPr>
          <w:rFonts w:ascii="Georgia" w:hAnsi="Georgia"/>
        </w:rPr>
        <w:t xml:space="preserve"> would hamper the ability of the “in connection with” requirement to hold Lanham Act infractions within First Amendment limits. </w:t>
      </w:r>
    </w:p>
    <w:p w14:paraId="4E5E3EA0" w14:textId="04BA9763" w:rsidR="0022077D" w:rsidRPr="00D83199" w:rsidRDefault="0022077D" w:rsidP="0022077D">
      <w:pPr>
        <w:rPr>
          <w:rFonts w:ascii="Georgia" w:hAnsi="Georgia"/>
        </w:rPr>
      </w:pPr>
      <w:r w:rsidRPr="00D83199">
        <w:rPr>
          <w:rFonts w:ascii="Georgia" w:hAnsi="Georgia"/>
        </w:rPr>
        <w:t xml:space="preserve">In </w:t>
      </w:r>
      <w:r w:rsidRPr="00D83199">
        <w:rPr>
          <w:rFonts w:ascii="Georgia" w:hAnsi="Georgia"/>
          <w:i/>
          <w:iCs/>
        </w:rPr>
        <w:t xml:space="preserve">People for the Ethical Treatment of Animals v. </w:t>
      </w:r>
      <w:proofErr w:type="spellStart"/>
      <w:r w:rsidRPr="00D83199">
        <w:rPr>
          <w:rFonts w:ascii="Georgia" w:hAnsi="Georgia"/>
          <w:i/>
          <w:iCs/>
        </w:rPr>
        <w:t>Doughney</w:t>
      </w:r>
      <w:proofErr w:type="spellEnd"/>
      <w:r w:rsidRPr="00D83199">
        <w:rPr>
          <w:rFonts w:ascii="Georgia" w:hAnsi="Georgia"/>
          <w:i/>
          <w:iCs/>
        </w:rPr>
        <w:t>,</w:t>
      </w:r>
      <w:r w:rsidRPr="00D83199">
        <w:rPr>
          <w:rFonts w:ascii="Georgia" w:hAnsi="Georgia"/>
        </w:rPr>
        <w:t xml:space="preserve"> we stated that an infringer “need only have prevented users from obtaining or using [the trademark </w:t>
      </w:r>
      <w:bookmarkStart w:id="11" w:name="co_pp_sp_506_326_1"/>
      <w:bookmarkEnd w:id="11"/>
      <w:r w:rsidRPr="00D83199">
        <w:rPr>
          <w:rFonts w:ascii="Georgia" w:hAnsi="Georgia"/>
        </w:rPr>
        <w:t xml:space="preserve">holder’s] goods or </w:t>
      </w:r>
      <w:proofErr w:type="gramStart"/>
      <w:r w:rsidRPr="00D83199">
        <w:rPr>
          <w:rFonts w:ascii="Georgia" w:hAnsi="Georgia"/>
        </w:rPr>
        <w:t>services, or</w:t>
      </w:r>
      <w:proofErr w:type="gramEnd"/>
      <w:r w:rsidRPr="00D83199">
        <w:rPr>
          <w:rFonts w:ascii="Georgia" w:hAnsi="Georgia"/>
        </w:rPr>
        <w:t xml:space="preserve"> need only have connected the [infringing] website to other’s goods or services” in order to satisfy the “in connection with” requirement. 263 F.3d 359, 365 (4th Cir. 2001). But that rule applies specifically where the infringer has used the trademark holder’s mark in a </w:t>
      </w:r>
      <w:r w:rsidRPr="00D83199">
        <w:rPr>
          <w:rFonts w:ascii="Georgia" w:hAnsi="Georgia"/>
          <w:i/>
          <w:iCs/>
        </w:rPr>
        <w:t>domain name. Id.</w:t>
      </w:r>
      <w:r w:rsidRPr="00D83199">
        <w:rPr>
          <w:rFonts w:ascii="Georgia" w:hAnsi="Georgia"/>
        </w:rPr>
        <w:t xml:space="preserve"> </w:t>
      </w:r>
      <w:r w:rsidRPr="00D83199">
        <w:rPr>
          <w:rFonts w:ascii="Georgia" w:hAnsi="Georgia"/>
        </w:rPr>
        <w:lastRenderedPageBreak/>
        <w:t xml:space="preserve">at 365–66. Neither of Radiance’s websites used an NAACP mark in its domain name. Rather, Radiance used the NAACP’s marks only in the title and body of an article criticizing the NAACP. Nothing in </w:t>
      </w:r>
      <w:r w:rsidRPr="00D83199">
        <w:rPr>
          <w:rFonts w:ascii="Georgia" w:hAnsi="Georgia"/>
          <w:i/>
          <w:iCs/>
        </w:rPr>
        <w:t>PETA</w:t>
      </w:r>
      <w:r w:rsidRPr="00D83199">
        <w:rPr>
          <w:rFonts w:ascii="Georgia" w:hAnsi="Georgia"/>
        </w:rPr>
        <w:t xml:space="preserve"> indicates that the use of a mark </w:t>
      </w:r>
      <w:proofErr w:type="gramStart"/>
      <w:r w:rsidRPr="00D83199">
        <w:rPr>
          <w:rFonts w:ascii="Georgia" w:hAnsi="Georgia"/>
        </w:rPr>
        <w:t>in the course of</w:t>
      </w:r>
      <w:proofErr w:type="gramEnd"/>
      <w:r w:rsidRPr="00D83199">
        <w:rPr>
          <w:rFonts w:ascii="Georgia" w:hAnsi="Georgia"/>
        </w:rPr>
        <w:t xml:space="preserve"> disseminating such an idea is on that account sufficient to establish the requisite relationship to goods or services. </w:t>
      </w:r>
      <w:r w:rsidRPr="00D83199">
        <w:rPr>
          <w:rFonts w:ascii="Georgia" w:hAnsi="Georgia"/>
          <w:i/>
          <w:iCs/>
        </w:rPr>
        <w:t>PETA</w:t>
      </w:r>
      <w:r w:rsidRPr="00D83199">
        <w:rPr>
          <w:rFonts w:ascii="Georgia" w:hAnsi="Georgia"/>
        </w:rPr>
        <w:t xml:space="preserve"> simply does not govern the application of the “in connection with” element in this case.</w:t>
      </w:r>
    </w:p>
    <w:p w14:paraId="10956F52" w14:textId="054E6472" w:rsidR="0022077D" w:rsidRPr="00D83199" w:rsidRDefault="0022077D" w:rsidP="0022077D">
      <w:pPr>
        <w:rPr>
          <w:rFonts w:ascii="Georgia" w:hAnsi="Georgia"/>
        </w:rPr>
      </w:pPr>
      <w:r w:rsidRPr="00D83199">
        <w:rPr>
          <w:rFonts w:ascii="Georgia" w:hAnsi="Georgia"/>
        </w:rPr>
        <w:t xml:space="preserve">The district court proceeded to find that Radiance’s use of the NAACP’s marks was also in connection with </w:t>
      </w:r>
      <w:r w:rsidRPr="00D83199">
        <w:rPr>
          <w:rFonts w:ascii="Georgia" w:hAnsi="Georgia"/>
          <w:i/>
          <w:iCs/>
        </w:rPr>
        <w:t>Radiance’s</w:t>
      </w:r>
      <w:r w:rsidRPr="00D83199">
        <w:rPr>
          <w:rFonts w:ascii="Georgia" w:hAnsi="Georgia"/>
        </w:rPr>
        <w:t xml:space="preserve"> goods or services. </w:t>
      </w:r>
      <w:r w:rsidRPr="00D83199">
        <w:rPr>
          <w:rFonts w:ascii="Georgia" w:hAnsi="Georgia"/>
          <w:i/>
          <w:iCs/>
        </w:rPr>
        <w:t>Radiance Found.,</w:t>
      </w:r>
      <w:r w:rsidRPr="00D83199">
        <w:rPr>
          <w:rFonts w:ascii="Georgia" w:hAnsi="Georgia"/>
        </w:rPr>
        <w:t xml:space="preserve"> 25 F.Supp.3d at 884–85. But the court’s analysis failed to demonstrate a sufficient nexus between the specific use of the marks and the sale, offer for sale, distribution, or advertisement of any of the goods or services that the court invoked. The court first found that there was a sufficient nexus “with Radiance’s own information services” because Radiance “provided information” on its website. </w:t>
      </w:r>
      <w:r w:rsidRPr="00D83199">
        <w:rPr>
          <w:rFonts w:ascii="Georgia" w:hAnsi="Georgia"/>
          <w:i/>
          <w:iCs/>
        </w:rPr>
        <w:t>Id.</w:t>
      </w:r>
      <w:r w:rsidRPr="00D83199">
        <w:rPr>
          <w:rFonts w:ascii="Georgia" w:hAnsi="Georgia"/>
        </w:rPr>
        <w:t xml:space="preserve"> at 884. That ruling, however, neuters the First Amendment. The provision of mere “information services” without any commercial or transactional component is speech—nothing more.</w:t>
      </w:r>
    </w:p>
    <w:p w14:paraId="4FDC658B" w14:textId="2B7014B9" w:rsidR="0022077D" w:rsidRPr="00D83199" w:rsidRDefault="0022077D" w:rsidP="0022077D">
      <w:pPr>
        <w:rPr>
          <w:rFonts w:ascii="Georgia" w:hAnsi="Georgia"/>
        </w:rPr>
      </w:pPr>
      <w:r w:rsidRPr="00D83199">
        <w:rPr>
          <w:rFonts w:ascii="Georgia" w:hAnsi="Georgia"/>
        </w:rPr>
        <w:t xml:space="preserve">In the alternative, the court held that Radiance’s use of the NAACP’s marks was in connection with goods or services, because the use was “part of social commentary or criticism for which they solicit donations and sponsorship.” </w:t>
      </w:r>
      <w:r w:rsidRPr="00D83199">
        <w:rPr>
          <w:rFonts w:ascii="Georgia" w:hAnsi="Georgia"/>
          <w:i/>
          <w:iCs/>
        </w:rPr>
        <w:t>Id.</w:t>
      </w:r>
      <w:r w:rsidRPr="00D83199">
        <w:rPr>
          <w:rFonts w:ascii="Georgia" w:hAnsi="Georgia"/>
        </w:rPr>
        <w:t xml:space="preserve"> The NAACP echoes the district court, arguing that the transactional nature of the billboard campaign and Radiance’s fundraising efforts place Radiance’s use of the marks “comfortably within” the reach of the “in connection with” element. Appellee’s Br. at 24–26.</w:t>
      </w:r>
    </w:p>
    <w:p w14:paraId="55306DA5" w14:textId="05D7D69A" w:rsidR="0022077D" w:rsidRPr="00D83199" w:rsidRDefault="0022077D" w:rsidP="0022077D">
      <w:pPr>
        <w:rPr>
          <w:rFonts w:ascii="Georgia" w:hAnsi="Georgia"/>
        </w:rPr>
      </w:pPr>
      <w:r w:rsidRPr="00D83199">
        <w:rPr>
          <w:rFonts w:ascii="Georgia" w:hAnsi="Georgia"/>
        </w:rPr>
        <w:t xml:space="preserve">We need not address this point with absolute pronouncements. Suffice it to say that the specific use of the marks at issue here was too attenuated from the donation solicitation and the billboard campaign to support Lanham Act liability. Although present on the article page, the Donate button was off to the side and did not itself use the NAACP’s marks in any way. The billboard campaign was displayed on a different page altogether. A visitor likely would not perceive the use of the NAACP’s marks in the article as being in connection with those transactional components of the website. It is important not to lose perspective. The article was just one piece of each Radiance website’s content, which was comprised of articles, videos, and multimedia advocacy materials. That the protected marks appear somewhere in the content of a website that includes transactional components is not alone enough to satisfy the “in connection with” element. To say it </w:t>
      </w:r>
      <w:proofErr w:type="gramStart"/>
      <w:r w:rsidRPr="00D83199">
        <w:rPr>
          <w:rFonts w:ascii="Georgia" w:hAnsi="Georgia"/>
        </w:rPr>
        <w:t>was would come</w:t>
      </w:r>
      <w:proofErr w:type="gramEnd"/>
      <w:r w:rsidRPr="00D83199">
        <w:rPr>
          <w:rFonts w:ascii="Georgia" w:hAnsi="Georgia"/>
        </w:rPr>
        <w:t xml:space="preserve"> too close to an absolute rule that any social issues commentary with any transactional component in the neighborhood enhanced the commentator’s risk of Lanham Act liability.</w:t>
      </w:r>
    </w:p>
    <w:p w14:paraId="3DEB3F37" w14:textId="445079CF" w:rsidR="0022077D" w:rsidRPr="00D83199" w:rsidRDefault="0022077D" w:rsidP="0022077D">
      <w:pPr>
        <w:rPr>
          <w:rFonts w:ascii="Georgia" w:hAnsi="Georgia"/>
        </w:rPr>
      </w:pPr>
      <w:r w:rsidRPr="00D83199">
        <w:rPr>
          <w:rFonts w:ascii="Georgia" w:hAnsi="Georgia"/>
        </w:rPr>
        <w:t xml:space="preserve">The Supreme Court has warned “that charitable appeals for funds . . . involve a variety of speech interests . . . that are within the protection of the First Amendment.” </w:t>
      </w:r>
      <w:r w:rsidRPr="00D83199">
        <w:rPr>
          <w:rFonts w:ascii="Georgia" w:hAnsi="Georgia"/>
          <w:i/>
          <w:iCs/>
        </w:rPr>
        <w:t>Vill. of Schaumburg v. Citizens for a Better Env’t,</w:t>
      </w:r>
      <w:r w:rsidRPr="00D83199">
        <w:rPr>
          <w:rFonts w:ascii="Georgia" w:hAnsi="Georgia"/>
        </w:rPr>
        <w:t xml:space="preserve"> 444 U.S. 620, 632 </w:t>
      </w:r>
      <w:r w:rsidRPr="00D83199">
        <w:rPr>
          <w:rFonts w:ascii="Georgia" w:hAnsi="Georgia"/>
        </w:rPr>
        <w:lastRenderedPageBreak/>
        <w:t xml:space="preserve">(1980). Such solicitation, the Court stated, is not a “variety of purely commercial speech.” </w:t>
      </w:r>
      <w:r w:rsidRPr="00D83199">
        <w:rPr>
          <w:rFonts w:ascii="Georgia" w:hAnsi="Georgia"/>
          <w:i/>
          <w:iCs/>
        </w:rPr>
        <w:t>Id.</w:t>
      </w:r>
      <w:r w:rsidRPr="00D83199">
        <w:rPr>
          <w:rFonts w:ascii="Georgia" w:hAnsi="Georgia"/>
        </w:rPr>
        <w:t xml:space="preserve"> Courts are thus well-advised to tread cautiously when a trademark holder invokes </w:t>
      </w:r>
      <w:bookmarkStart w:id="12" w:name="co_pp_sp_506_327_1"/>
      <w:bookmarkEnd w:id="12"/>
      <w:r w:rsidRPr="00D83199">
        <w:rPr>
          <w:rFonts w:ascii="Georgia" w:hAnsi="Georgia"/>
        </w:rPr>
        <w:t>the Lanham Act against an alleged non-profit infringer whose use of the trademark holder’s marks may be only tenuously related to requests for money. Again, this is not to say that in all instances a solicitation by a non-profit is immune from Lanham Act liability. A solicitation may satisfy the “in connection with” element if the trademark holder demonstrates a sufficient nexus between the unauthorized use of the protected mark and clear transactional activity. Such a nexus may be present, for example, where the protected mark seems to denote the recipient of the donation. However, where, as here, the solicitations are not closely related to the specific uses of the protected marks, we are compelled to conclude that the district court erred in ruling that the “in connection element” was met.</w:t>
      </w:r>
    </w:p>
    <w:p w14:paraId="04E4E685" w14:textId="77777777" w:rsidR="0022077D" w:rsidRPr="00D83199" w:rsidRDefault="0022077D" w:rsidP="0022077D">
      <w:pPr>
        <w:rPr>
          <w:rFonts w:ascii="Georgia" w:hAnsi="Georgia"/>
        </w:rPr>
      </w:pPr>
      <w:r w:rsidRPr="00D83199">
        <w:rPr>
          <w:rFonts w:ascii="Georgia" w:hAnsi="Georgia"/>
        </w:rPr>
        <w:t> . . . .</w:t>
      </w:r>
    </w:p>
    <w:p w14:paraId="5C6C1F02" w14:textId="77777777" w:rsidR="00EB3DF5" w:rsidRPr="00D83199" w:rsidRDefault="00EB3DF5">
      <w:pPr>
        <w:rPr>
          <w:rFonts w:ascii="Georgia" w:hAnsi="Georgia"/>
        </w:rPr>
      </w:pPr>
    </w:p>
    <w:sectPr w:rsidR="00EB3DF5" w:rsidRPr="00D83199" w:rsidSect="00D83199">
      <w:footerReference w:type="default" r:id="rId6"/>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F63EE" w14:textId="77777777" w:rsidR="00601FA3" w:rsidRDefault="00601FA3" w:rsidP="00D83199">
      <w:pPr>
        <w:spacing w:after="0" w:line="240" w:lineRule="auto"/>
      </w:pPr>
      <w:r>
        <w:separator/>
      </w:r>
    </w:p>
  </w:endnote>
  <w:endnote w:type="continuationSeparator" w:id="0">
    <w:p w14:paraId="75E17B99" w14:textId="77777777" w:rsidR="00601FA3" w:rsidRDefault="00601FA3" w:rsidP="00D8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rPr>
      <w:id w:val="1059124703"/>
      <w:docPartObj>
        <w:docPartGallery w:val="Page Numbers (Bottom of Page)"/>
        <w:docPartUnique/>
      </w:docPartObj>
    </w:sdtPr>
    <w:sdtContent>
      <w:sdt>
        <w:sdtPr>
          <w:rPr>
            <w:rFonts w:ascii="Georgia" w:hAnsi="Georgia"/>
          </w:rPr>
          <w:id w:val="1728636285"/>
          <w:docPartObj>
            <w:docPartGallery w:val="Page Numbers (Top of Page)"/>
            <w:docPartUnique/>
          </w:docPartObj>
        </w:sdtPr>
        <w:sdtContent>
          <w:p w14:paraId="4A1FC094" w14:textId="0D8417C3" w:rsidR="00D83199" w:rsidRPr="00D83199" w:rsidRDefault="00D83199">
            <w:pPr>
              <w:pStyle w:val="Footer"/>
              <w:jc w:val="center"/>
              <w:rPr>
                <w:rFonts w:ascii="Georgia" w:hAnsi="Georgia"/>
              </w:rPr>
            </w:pPr>
            <w:r w:rsidRPr="00D83199">
              <w:rPr>
                <w:rFonts w:ascii="Georgia" w:hAnsi="Georgia"/>
              </w:rPr>
              <w:t xml:space="preserve">Page </w:t>
            </w:r>
            <w:r w:rsidRPr="00D83199">
              <w:rPr>
                <w:rFonts w:ascii="Georgia" w:hAnsi="Georgia"/>
                <w:sz w:val="24"/>
                <w:szCs w:val="24"/>
              </w:rPr>
              <w:fldChar w:fldCharType="begin"/>
            </w:r>
            <w:r w:rsidRPr="00D83199">
              <w:rPr>
                <w:rFonts w:ascii="Georgia" w:hAnsi="Georgia"/>
              </w:rPr>
              <w:instrText xml:space="preserve"> PAGE </w:instrText>
            </w:r>
            <w:r w:rsidRPr="00D83199">
              <w:rPr>
                <w:rFonts w:ascii="Georgia" w:hAnsi="Georgia"/>
                <w:sz w:val="24"/>
                <w:szCs w:val="24"/>
              </w:rPr>
              <w:fldChar w:fldCharType="separate"/>
            </w:r>
            <w:r w:rsidRPr="00D83199">
              <w:rPr>
                <w:rFonts w:ascii="Georgia" w:hAnsi="Georgia"/>
                <w:noProof/>
              </w:rPr>
              <w:t>2</w:t>
            </w:r>
            <w:r w:rsidRPr="00D83199">
              <w:rPr>
                <w:rFonts w:ascii="Georgia" w:hAnsi="Georgia"/>
                <w:sz w:val="24"/>
                <w:szCs w:val="24"/>
              </w:rPr>
              <w:fldChar w:fldCharType="end"/>
            </w:r>
            <w:r w:rsidRPr="00D83199">
              <w:rPr>
                <w:rFonts w:ascii="Georgia" w:hAnsi="Georgia"/>
              </w:rPr>
              <w:t xml:space="preserve"> of </w:t>
            </w:r>
            <w:r w:rsidRPr="00D83199">
              <w:rPr>
                <w:rFonts w:ascii="Georgia" w:hAnsi="Georgia"/>
                <w:sz w:val="24"/>
                <w:szCs w:val="24"/>
              </w:rPr>
              <w:fldChar w:fldCharType="begin"/>
            </w:r>
            <w:r w:rsidRPr="00D83199">
              <w:rPr>
                <w:rFonts w:ascii="Georgia" w:hAnsi="Georgia"/>
              </w:rPr>
              <w:instrText xml:space="preserve"> NUMPAGES  </w:instrText>
            </w:r>
            <w:r w:rsidRPr="00D83199">
              <w:rPr>
                <w:rFonts w:ascii="Georgia" w:hAnsi="Georgia"/>
                <w:sz w:val="24"/>
                <w:szCs w:val="24"/>
              </w:rPr>
              <w:fldChar w:fldCharType="separate"/>
            </w:r>
            <w:r w:rsidRPr="00D83199">
              <w:rPr>
                <w:rFonts w:ascii="Georgia" w:hAnsi="Georgia"/>
                <w:noProof/>
              </w:rPr>
              <w:t>2</w:t>
            </w:r>
            <w:r w:rsidRPr="00D83199">
              <w:rPr>
                <w:rFonts w:ascii="Georgia" w:hAnsi="Georgia"/>
                <w:sz w:val="24"/>
                <w:szCs w:val="24"/>
              </w:rPr>
              <w:fldChar w:fldCharType="end"/>
            </w:r>
          </w:p>
        </w:sdtContent>
      </w:sdt>
    </w:sdtContent>
  </w:sdt>
  <w:p w14:paraId="7D9CF24A" w14:textId="77777777" w:rsidR="00D83199" w:rsidRDefault="00D83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9C02F" w14:textId="77777777" w:rsidR="00601FA3" w:rsidRDefault="00601FA3" w:rsidP="00D83199">
      <w:pPr>
        <w:spacing w:after="0" w:line="240" w:lineRule="auto"/>
      </w:pPr>
      <w:r>
        <w:separator/>
      </w:r>
    </w:p>
  </w:footnote>
  <w:footnote w:type="continuationSeparator" w:id="0">
    <w:p w14:paraId="7B36CCB8" w14:textId="77777777" w:rsidR="00601FA3" w:rsidRDefault="00601FA3" w:rsidP="00D831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7D"/>
    <w:rsid w:val="000A4AD4"/>
    <w:rsid w:val="000C53B3"/>
    <w:rsid w:val="0022077D"/>
    <w:rsid w:val="00601FA3"/>
    <w:rsid w:val="008A2CC9"/>
    <w:rsid w:val="00D83199"/>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41327"/>
  <w15:chartTrackingRefBased/>
  <w15:docId w15:val="{2630ECFA-59DA-45A7-B8F8-944F5BD1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77D"/>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22077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077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077D"/>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077D"/>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22077D"/>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22077D"/>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22077D"/>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22077D"/>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22077D"/>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77D"/>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220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77D"/>
    <w:rPr>
      <w:rFonts w:eastAsiaTheme="majorEastAsia" w:cstheme="majorBidi"/>
      <w:color w:val="272727" w:themeColor="text1" w:themeTint="D8"/>
    </w:rPr>
  </w:style>
  <w:style w:type="paragraph" w:styleId="Title">
    <w:name w:val="Title"/>
    <w:basedOn w:val="Normal"/>
    <w:next w:val="Normal"/>
    <w:link w:val="TitleChar"/>
    <w:uiPriority w:val="10"/>
    <w:qFormat/>
    <w:rsid w:val="0022077D"/>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0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77D"/>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0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77D"/>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22077D"/>
    <w:rPr>
      <w:i/>
      <w:iCs/>
      <w:color w:val="404040" w:themeColor="text1" w:themeTint="BF"/>
    </w:rPr>
  </w:style>
  <w:style w:type="paragraph" w:styleId="ListParagraph">
    <w:name w:val="List Paragraph"/>
    <w:basedOn w:val="Normal"/>
    <w:uiPriority w:val="34"/>
    <w:qFormat/>
    <w:rsid w:val="0022077D"/>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22077D"/>
    <w:rPr>
      <w:i/>
      <w:iCs/>
      <w:color w:val="0F4761" w:themeColor="accent1" w:themeShade="BF"/>
    </w:rPr>
  </w:style>
  <w:style w:type="paragraph" w:styleId="IntenseQuote">
    <w:name w:val="Intense Quote"/>
    <w:basedOn w:val="Normal"/>
    <w:next w:val="Normal"/>
    <w:link w:val="IntenseQuoteChar"/>
    <w:uiPriority w:val="30"/>
    <w:qFormat/>
    <w:rsid w:val="0022077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22077D"/>
    <w:rPr>
      <w:i/>
      <w:iCs/>
      <w:color w:val="0F4761" w:themeColor="accent1" w:themeShade="BF"/>
    </w:rPr>
  </w:style>
  <w:style w:type="character" w:styleId="IntenseReference">
    <w:name w:val="Intense Reference"/>
    <w:basedOn w:val="DefaultParagraphFont"/>
    <w:uiPriority w:val="32"/>
    <w:qFormat/>
    <w:rsid w:val="0022077D"/>
    <w:rPr>
      <w:b/>
      <w:bCs/>
      <w:smallCaps/>
      <w:color w:val="0F4761" w:themeColor="accent1" w:themeShade="BF"/>
      <w:spacing w:val="5"/>
    </w:rPr>
  </w:style>
  <w:style w:type="paragraph" w:customStyle="1" w:styleId="OpinionCitation">
    <w:name w:val="Opinion Citation"/>
    <w:basedOn w:val="Normal"/>
    <w:link w:val="OpinionCitationChar"/>
    <w:qFormat/>
    <w:rsid w:val="0022077D"/>
    <w:pPr>
      <w:keepNext/>
      <w:spacing w:after="120"/>
      <w:ind w:firstLine="0"/>
    </w:pPr>
    <w:rPr>
      <w:b/>
    </w:rPr>
  </w:style>
  <w:style w:type="character" w:customStyle="1" w:styleId="OpinionCitationChar">
    <w:name w:val="Opinion Citation Char"/>
    <w:link w:val="OpinionCitation"/>
    <w:rsid w:val="0022077D"/>
    <w:rPr>
      <w:rFonts w:ascii="Cambria" w:eastAsia="Calibri" w:hAnsi="Cambria" w:cs="Times New Roman"/>
      <w:b/>
      <w:kern w:val="0"/>
      <w:szCs w:val="20"/>
      <w14:ligatures w14:val="none"/>
    </w:rPr>
  </w:style>
  <w:style w:type="paragraph" w:customStyle="1" w:styleId="NormalNoIndent">
    <w:name w:val="Normal No Indent"/>
    <w:basedOn w:val="Normal"/>
    <w:link w:val="NormalNoIndentChar"/>
    <w:qFormat/>
    <w:rsid w:val="0022077D"/>
    <w:pPr>
      <w:ind w:firstLine="0"/>
    </w:pPr>
  </w:style>
  <w:style w:type="character" w:customStyle="1" w:styleId="NormalNoIndentChar">
    <w:name w:val="Normal No Indent Char"/>
    <w:link w:val="NormalNoIndent"/>
    <w:rsid w:val="0022077D"/>
    <w:rPr>
      <w:rFonts w:ascii="Cambria" w:eastAsia="Calibri" w:hAnsi="Cambria" w:cs="Times New Roman"/>
      <w:kern w:val="0"/>
      <w:szCs w:val="20"/>
      <w14:ligatures w14:val="none"/>
    </w:rPr>
  </w:style>
  <w:style w:type="paragraph" w:customStyle="1" w:styleId="CntrdNoItal">
    <w:name w:val="CntrdNoItal"/>
    <w:basedOn w:val="Normal"/>
    <w:qFormat/>
    <w:rsid w:val="0022077D"/>
    <w:pPr>
      <w:ind w:firstLine="0"/>
      <w:jc w:val="center"/>
    </w:pPr>
    <w:rPr>
      <w:iCs/>
    </w:rPr>
  </w:style>
  <w:style w:type="paragraph" w:styleId="Header">
    <w:name w:val="header"/>
    <w:basedOn w:val="Normal"/>
    <w:link w:val="HeaderChar"/>
    <w:uiPriority w:val="99"/>
    <w:unhideWhenUsed/>
    <w:rsid w:val="00D83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199"/>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D83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199"/>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2764</Words>
  <Characters>15755</Characters>
  <Application>Microsoft Office Word</Application>
  <DocSecurity>0</DocSecurity>
  <Lines>131</Lines>
  <Paragraphs>36</Paragraphs>
  <ScaleCrop>false</ScaleCrop>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2024-07-15T22:16:00Z</dcterms:created>
  <dcterms:modified xsi:type="dcterms:W3CDTF">2024-07-24T10:24:00Z</dcterms:modified>
</cp:coreProperties>
</file>