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965D8" w14:textId="77777777" w:rsidR="008B1E3D" w:rsidRPr="008B1E3D" w:rsidRDefault="008B1E3D" w:rsidP="008B1E3D">
      <w:pPr>
        <w:pStyle w:val="Heading7"/>
        <w:jc w:val="center"/>
        <w:rPr>
          <w:rFonts w:ascii="Georgia" w:hAnsi="Georgia"/>
          <w:b/>
          <w:bCs/>
          <w:color w:val="000000" w:themeColor="text1"/>
          <w:sz w:val="32"/>
          <w:szCs w:val="32"/>
        </w:rPr>
      </w:pPr>
      <w:bookmarkStart w:id="0" w:name="_Toc171715907"/>
      <w:r w:rsidRPr="008B1E3D">
        <w:rPr>
          <w:rFonts w:ascii="Georgia" w:hAnsi="Georgia"/>
          <w:b/>
          <w:bCs/>
          <w:color w:val="000000" w:themeColor="text1"/>
          <w:sz w:val="32"/>
          <w:szCs w:val="32"/>
        </w:rPr>
        <w:t>Romag Fasteners, Inc. v. Fossil, Inc.</w:t>
      </w:r>
      <w:bookmarkEnd w:id="0"/>
    </w:p>
    <w:p w14:paraId="02F4E87D" w14:textId="77777777" w:rsidR="008B1E3D" w:rsidRPr="008B1E3D" w:rsidRDefault="008B1E3D" w:rsidP="008B1E3D">
      <w:pPr>
        <w:pStyle w:val="OpinionCitation"/>
        <w:tabs>
          <w:tab w:val="left" w:pos="5850"/>
        </w:tabs>
        <w:jc w:val="center"/>
        <w:rPr>
          <w:rFonts w:ascii="Georgia" w:hAnsi="Georgia"/>
        </w:rPr>
      </w:pPr>
      <w:r w:rsidRPr="008B1E3D">
        <w:rPr>
          <w:rFonts w:ascii="Georgia" w:hAnsi="Georgia"/>
        </w:rPr>
        <w:t>590 U.S. 212 (2020)</w:t>
      </w:r>
    </w:p>
    <w:p w14:paraId="0887AECC" w14:textId="77777777" w:rsidR="008B1E3D" w:rsidRPr="008B1E3D" w:rsidRDefault="008B1E3D" w:rsidP="008B1E3D">
      <w:pPr>
        <w:pStyle w:val="NormalNoIndent"/>
        <w:rPr>
          <w:rFonts w:ascii="Georgia" w:hAnsi="Georgia"/>
        </w:rPr>
      </w:pPr>
      <w:r w:rsidRPr="008B1E3D">
        <w:rPr>
          <w:rFonts w:ascii="Georgia" w:hAnsi="Georgia"/>
        </w:rPr>
        <w:t>Justice GORSUCH delivered the opinion of the Court.</w:t>
      </w:r>
    </w:p>
    <w:p w14:paraId="5849821B" w14:textId="249AE47F" w:rsidR="008B1E3D" w:rsidRPr="008B1E3D" w:rsidRDefault="008B1E3D" w:rsidP="008B1E3D">
      <w:pPr>
        <w:rPr>
          <w:rFonts w:ascii="Georgia" w:hAnsi="Georgia"/>
        </w:rPr>
      </w:pPr>
      <w:bookmarkStart w:id="1" w:name="co_anchor_I71967d1295f711eaba60e0b6d43ca"/>
      <w:bookmarkStart w:id="2" w:name="co_pp_sp_708_1494_1"/>
      <w:bookmarkEnd w:id="1"/>
      <w:bookmarkEnd w:id="2"/>
      <w:r w:rsidRPr="008B1E3D">
        <w:rPr>
          <w:rFonts w:ascii="Georgia" w:hAnsi="Georgia"/>
        </w:rPr>
        <w:t>When it comes to remedies for trademark infringement, the Lanham Act authorizes many. A district court may award a winning plaintiff injunctive relief, damages, or the defendant’s ill-gotten profits. Without question, a defendant’s state of mind may have a bearing on what relief a plaintiff should receive. An innocent trademark violator often stands in very different shoes than an intentional one. But some circuits have gone further. These courts hold a plaintiff can win a profits remedy</w:t>
      </w:r>
      <w:proofErr w:type="gramStart"/>
      <w:r w:rsidRPr="008B1E3D">
        <w:rPr>
          <w:rFonts w:ascii="Georgia" w:hAnsi="Georgia"/>
        </w:rPr>
        <w:t>, in particular, only</w:t>
      </w:r>
      <w:proofErr w:type="gramEnd"/>
      <w:r w:rsidRPr="008B1E3D">
        <w:rPr>
          <w:rFonts w:ascii="Georgia" w:hAnsi="Georgia"/>
        </w:rPr>
        <w:t xml:space="preserve"> after showing the defendant </w:t>
      </w:r>
      <w:r w:rsidRPr="008B1E3D">
        <w:rPr>
          <w:rFonts w:ascii="Georgia" w:hAnsi="Georgia"/>
          <w:i/>
          <w:iCs/>
        </w:rPr>
        <w:t>willfully</w:t>
      </w:r>
      <w:r w:rsidRPr="008B1E3D">
        <w:rPr>
          <w:rFonts w:ascii="Georgia" w:hAnsi="Georgia"/>
        </w:rPr>
        <w:t xml:space="preserve"> infringed its trademark. The question before us is whether that categorical rule can be reconciled with the statute’s plain language.</w:t>
      </w:r>
    </w:p>
    <w:p w14:paraId="171126E9" w14:textId="653C929C" w:rsidR="008B1E3D" w:rsidRPr="008B1E3D" w:rsidRDefault="008B1E3D" w:rsidP="008B1E3D">
      <w:pPr>
        <w:rPr>
          <w:rFonts w:ascii="Georgia" w:hAnsi="Georgia"/>
        </w:rPr>
      </w:pPr>
      <w:r w:rsidRPr="008B1E3D">
        <w:rPr>
          <w:rFonts w:ascii="Georgia" w:hAnsi="Georgia"/>
        </w:rPr>
        <w:t>The question comes to us in a case involving handbag fasteners. Romag sells magnetic snap fasteners for use in leather goods. Fossil designs, markets, and distributes a wide range of fashion accessories. Years ago, the pair signed an agreement allowing Fossil to use Romag’s fasteners in Fossil’s handbags and other products. Initially, both sides seemed content with the arrangement. But in time Romag discovered that the factories Fossil hired in China to make its products were using counterfeit Romag fasteners—and that Fossil was doing little to guard against the practice. Unable to resolve its concerns amicably, Romag sued. The company alleged that Fossil had infringed its trademark and falsely represented that its fasteners came from Romag. After trial, a jury agreed with Romag, and found that Fossil had acted “in callous disregard” of Romag’s rights. At the same time, however, the jury rejected Romag’s accusation that Fossil had acted willfully, as that term was defined by the district court.</w:t>
      </w:r>
    </w:p>
    <w:p w14:paraId="080E6C6C" w14:textId="5FD14688" w:rsidR="008B1E3D" w:rsidRPr="008B1E3D" w:rsidRDefault="008B1E3D" w:rsidP="008B1E3D">
      <w:pPr>
        <w:rPr>
          <w:rFonts w:ascii="Georgia" w:hAnsi="Georgia"/>
        </w:rPr>
      </w:pPr>
      <w:r w:rsidRPr="008B1E3D">
        <w:rPr>
          <w:rFonts w:ascii="Georgia" w:hAnsi="Georgia"/>
        </w:rPr>
        <w:t xml:space="preserve">For our purposes, the last finding is the important one. By way of relief for Fossil’s trademark violation, Romag sought (among other things) an order requiring Fossil to hand over the profits it had earned thanks to its trademark violation. But the district court refused this request. The court pointed out that controlling Second Circuit precedent requires a plaintiff seeking a profits award to prove that the defendant’s violation was willful. Not all circuits, however, agree with the Second Circuit’s rule. We took this case to resolve that dispute over the law’s demands. 139 </w:t>
      </w:r>
      <w:proofErr w:type="spellStart"/>
      <w:r w:rsidRPr="008B1E3D">
        <w:rPr>
          <w:rFonts w:ascii="Georgia" w:hAnsi="Georgia"/>
        </w:rPr>
        <w:t>S.Ct</w:t>
      </w:r>
      <w:proofErr w:type="spellEnd"/>
      <w:r w:rsidRPr="008B1E3D">
        <w:rPr>
          <w:rFonts w:ascii="Georgia" w:hAnsi="Georgia"/>
        </w:rPr>
        <w:t>. 2778 (2019).</w:t>
      </w:r>
    </w:p>
    <w:p w14:paraId="2C62326B" w14:textId="7A8BC3C4" w:rsidR="008B1E3D" w:rsidRPr="008B1E3D" w:rsidRDefault="008B1E3D" w:rsidP="008B1E3D">
      <w:pPr>
        <w:rPr>
          <w:rFonts w:ascii="Georgia" w:hAnsi="Georgia"/>
        </w:rPr>
      </w:pPr>
      <w:r w:rsidRPr="008B1E3D">
        <w:rPr>
          <w:rFonts w:ascii="Georgia" w:hAnsi="Georgia"/>
        </w:rPr>
        <w:t>Where does Fossil’s proposed willfulness rule come from? The relevant section of the Lanham Act governing remedies for trademark violations, § 35, 60 Stat. 439–440, as amended, 15 U.S.C. § 1117(a), says this:</w:t>
      </w:r>
    </w:p>
    <w:p w14:paraId="4E34FBC7" w14:textId="77777777" w:rsidR="008B1E3D" w:rsidRPr="008B1E3D" w:rsidRDefault="008B1E3D" w:rsidP="008B1E3D">
      <w:pPr>
        <w:pStyle w:val="Blockquote"/>
        <w:rPr>
          <w:rFonts w:ascii="Georgia" w:hAnsi="Georgia"/>
        </w:rPr>
      </w:pPr>
      <w:r w:rsidRPr="008B1E3D">
        <w:rPr>
          <w:rFonts w:ascii="Georgia" w:hAnsi="Georgia"/>
        </w:rPr>
        <w:t xml:space="preserve">“When a violation of any right of the registrant of a mark registered in the Patent and Trademark Office, a violation under section 1125(a) or (d) of this title, or a willful violation under section 1125(c) of this title, </w:t>
      </w:r>
      <w:r w:rsidRPr="008B1E3D">
        <w:rPr>
          <w:rFonts w:ascii="Georgia" w:hAnsi="Georgia"/>
        </w:rPr>
        <w:lastRenderedPageBreak/>
        <w:t xml:space="preserve">shall have been established . . ., the plaintiff shall be entitled, </w:t>
      </w:r>
      <w:bookmarkStart w:id="3" w:name="co_pp_sp_708_1495_1"/>
      <w:bookmarkEnd w:id="3"/>
      <w:r w:rsidRPr="008B1E3D">
        <w:rPr>
          <w:rFonts w:ascii="Georgia" w:hAnsi="Georgia"/>
        </w:rPr>
        <w:t>subject to the provisions of sections 1111 and 1114 of this title, and subject to the principles of equity, to recover (1) defendant’s profits, (2) any damages sustained by the plaintiff, and (3) the costs of the action.”</w:t>
      </w:r>
    </w:p>
    <w:p w14:paraId="61ABD104" w14:textId="77777777" w:rsidR="008B1E3D" w:rsidRPr="008B1E3D" w:rsidRDefault="008B1E3D" w:rsidP="008B1E3D">
      <w:pPr>
        <w:pStyle w:val="NormalNoIndent"/>
        <w:rPr>
          <w:rFonts w:ascii="Georgia" w:hAnsi="Georgia"/>
        </w:rPr>
      </w:pPr>
      <w:bookmarkStart w:id="4" w:name="co_anchor_B12050824087_1"/>
      <w:bookmarkEnd w:id="4"/>
      <w:r w:rsidRPr="008B1E3D">
        <w:rPr>
          <w:rFonts w:ascii="Georgia" w:hAnsi="Georgia"/>
        </w:rPr>
        <w:t xml:space="preserve">Immediately, this language spells trouble for Fossil and the circuit precedent on which it relies. The statute does make a showing of willfulness a precondition to a profits award when the plaintiff proceeds under § 1125(c). That section, added to the Lanham Act some years after its initial adoption, creates a cause of action for trademark dilution—conduct that lessens the association consumers have with a trademark. But Romag alleged and proved a violation of § 1125(a), a provision establishing a cause of action for the false or misleading use of trademarks. And in cases like that, the statutory language has </w:t>
      </w:r>
      <w:r w:rsidRPr="008B1E3D">
        <w:rPr>
          <w:rFonts w:ascii="Georgia" w:hAnsi="Georgia"/>
          <w:i/>
          <w:iCs/>
        </w:rPr>
        <w:t>never</w:t>
      </w:r>
      <w:r w:rsidRPr="008B1E3D">
        <w:rPr>
          <w:rFonts w:ascii="Georgia" w:hAnsi="Georgia"/>
        </w:rPr>
        <w:t xml:space="preserve"> required a showing of willfulness to win a defendant’s profits. Yes, the law tells us that a profits award is subject to limitations found in §§ 1111 and 1114. But no one suggests those cross-referenced sections contain the rule Fossil seeks. Nor does this Court usually read into statutes words that aren’t there. It’s a temptation we are doubly careful to avoid when Congress has (as here) included the term in question elsewhere in the very same statutory provision.</w:t>
      </w:r>
    </w:p>
    <w:p w14:paraId="177E6A7C" w14:textId="5EE239C7" w:rsidR="008B1E3D" w:rsidRPr="008B1E3D" w:rsidRDefault="008B1E3D" w:rsidP="008B1E3D">
      <w:pPr>
        <w:rPr>
          <w:rFonts w:ascii="Georgia" w:hAnsi="Georgia"/>
        </w:rPr>
      </w:pPr>
      <w:r w:rsidRPr="008B1E3D">
        <w:rPr>
          <w:rFonts w:ascii="Georgia" w:hAnsi="Georgia"/>
        </w:rPr>
        <w:t xml:space="preserve">A wider look at the statute’s structure gives us even more reason for pause. The Lanham Act speaks often and expressly about mental states. Section 1117(b) requires courts to treble profits or damages and award attorney’s fees when a defendant engages in certain acts </w:t>
      </w:r>
      <w:r w:rsidRPr="008B1E3D">
        <w:rPr>
          <w:rFonts w:ascii="Georgia" w:hAnsi="Georgia"/>
          <w:i/>
          <w:iCs/>
        </w:rPr>
        <w:t>intentionally</w:t>
      </w:r>
      <w:r w:rsidRPr="008B1E3D">
        <w:rPr>
          <w:rFonts w:ascii="Georgia" w:hAnsi="Georgia"/>
        </w:rPr>
        <w:t xml:space="preserve"> and with specified </w:t>
      </w:r>
      <w:r w:rsidRPr="008B1E3D">
        <w:rPr>
          <w:rFonts w:ascii="Georgia" w:hAnsi="Georgia"/>
          <w:i/>
          <w:iCs/>
        </w:rPr>
        <w:t>knowledge</w:t>
      </w:r>
      <w:r w:rsidRPr="008B1E3D">
        <w:rPr>
          <w:rFonts w:ascii="Georgia" w:hAnsi="Georgia"/>
        </w:rPr>
        <w:t xml:space="preserve">. Section 1117(c) increases the cap on statutory damages from $200,000 to $2,000,000 for certain </w:t>
      </w:r>
      <w:r w:rsidRPr="008B1E3D">
        <w:rPr>
          <w:rFonts w:ascii="Georgia" w:hAnsi="Georgia"/>
          <w:i/>
          <w:iCs/>
        </w:rPr>
        <w:t>willful</w:t>
      </w:r>
      <w:r w:rsidRPr="008B1E3D">
        <w:rPr>
          <w:rFonts w:ascii="Georgia" w:hAnsi="Georgia"/>
        </w:rPr>
        <w:t xml:space="preserve"> violations. Section 1118 permits courts to order the infringing items be destroyed if a plaintiff proves any violation of § 1125(a) or a </w:t>
      </w:r>
      <w:r w:rsidRPr="008B1E3D">
        <w:rPr>
          <w:rFonts w:ascii="Georgia" w:hAnsi="Georgia"/>
          <w:i/>
          <w:iCs/>
        </w:rPr>
        <w:t>willful</w:t>
      </w:r>
      <w:r w:rsidRPr="008B1E3D">
        <w:rPr>
          <w:rFonts w:ascii="Georgia" w:hAnsi="Georgia"/>
        </w:rPr>
        <w:t xml:space="preserve"> violation of § 1125(c). Section 1114 makes certain </w:t>
      </w:r>
      <w:r w:rsidRPr="008B1E3D">
        <w:rPr>
          <w:rFonts w:ascii="Georgia" w:hAnsi="Georgia"/>
          <w:i/>
          <w:iCs/>
        </w:rPr>
        <w:t>innocent</w:t>
      </w:r>
      <w:r w:rsidRPr="008B1E3D">
        <w:rPr>
          <w:rFonts w:ascii="Georgia" w:hAnsi="Georgia"/>
        </w:rPr>
        <w:t xml:space="preserve"> infringers subject only to injunctions. Elsewhere, the statute specifies certain </w:t>
      </w:r>
      <w:proofErr w:type="spellStart"/>
      <w:r w:rsidRPr="008B1E3D">
        <w:rPr>
          <w:rFonts w:ascii="Georgia" w:hAnsi="Georgia"/>
          <w:i/>
          <w:iCs/>
        </w:rPr>
        <w:t>mens</w:t>
      </w:r>
      <w:proofErr w:type="spellEnd"/>
      <w:r w:rsidRPr="008B1E3D">
        <w:rPr>
          <w:rFonts w:ascii="Georgia" w:hAnsi="Georgia"/>
          <w:i/>
          <w:iCs/>
        </w:rPr>
        <w:t xml:space="preserve"> rea</w:t>
      </w:r>
      <w:r w:rsidRPr="008B1E3D">
        <w:rPr>
          <w:rFonts w:ascii="Georgia" w:hAnsi="Georgia"/>
        </w:rPr>
        <w:t xml:space="preserve"> standards needed to establish liability, before even getting to the question of remedies. See, </w:t>
      </w:r>
      <w:r w:rsidRPr="008B1E3D">
        <w:rPr>
          <w:rFonts w:ascii="Georgia" w:hAnsi="Georgia"/>
          <w:i/>
          <w:iCs/>
        </w:rPr>
        <w:t xml:space="preserve">e.g., </w:t>
      </w:r>
      <w:r w:rsidRPr="008B1E3D">
        <w:rPr>
          <w:rFonts w:ascii="Georgia" w:hAnsi="Georgia"/>
        </w:rPr>
        <w:t xml:space="preserve">§§ 1125(d)(1)(A)(i), (B)(i) (prohibiting certain conduct only if undertaken with “bad faith intent” and listing nine factors relevant to ascertaining bad faith intent). Without doubt, the Lanham Act exhibits considerable care with </w:t>
      </w:r>
      <w:proofErr w:type="spellStart"/>
      <w:r w:rsidRPr="008B1E3D">
        <w:rPr>
          <w:rFonts w:ascii="Georgia" w:hAnsi="Georgia"/>
          <w:i/>
          <w:iCs/>
        </w:rPr>
        <w:t>mens</w:t>
      </w:r>
      <w:proofErr w:type="spellEnd"/>
      <w:r w:rsidRPr="008B1E3D">
        <w:rPr>
          <w:rFonts w:ascii="Georgia" w:hAnsi="Georgia"/>
          <w:i/>
          <w:iCs/>
        </w:rPr>
        <w:t xml:space="preserve"> rea</w:t>
      </w:r>
      <w:r w:rsidRPr="008B1E3D">
        <w:rPr>
          <w:rFonts w:ascii="Georgia" w:hAnsi="Georgia"/>
        </w:rPr>
        <w:t xml:space="preserve"> standards. The absence of any such standard in the provision before us, thus, seems </w:t>
      </w:r>
      <w:proofErr w:type="gramStart"/>
      <w:r w:rsidRPr="008B1E3D">
        <w:rPr>
          <w:rFonts w:ascii="Georgia" w:hAnsi="Georgia"/>
        </w:rPr>
        <w:t>all the more</w:t>
      </w:r>
      <w:proofErr w:type="gramEnd"/>
      <w:r w:rsidRPr="008B1E3D">
        <w:rPr>
          <w:rFonts w:ascii="Georgia" w:hAnsi="Georgia"/>
        </w:rPr>
        <w:t xml:space="preserve"> telling.</w:t>
      </w:r>
    </w:p>
    <w:p w14:paraId="67C7DD54" w14:textId="27CF5FA3" w:rsidR="008B1E3D" w:rsidRPr="008B1E3D" w:rsidRDefault="008B1E3D" w:rsidP="008B1E3D">
      <w:pPr>
        <w:rPr>
          <w:rFonts w:ascii="Georgia" w:hAnsi="Georgia"/>
        </w:rPr>
      </w:pPr>
      <w:r w:rsidRPr="008B1E3D">
        <w:rPr>
          <w:rFonts w:ascii="Georgia" w:hAnsi="Georgia"/>
        </w:rPr>
        <w:t xml:space="preserve">So how exactly does Fossil seek to conjure a willfulness requirement out of § 1117(a)? Lacking any more obvious statutory hook, the company points to the language indicating that a violation under § 1125(a) can trigger an award of the defendant’s profits “subject to the principles of equity.” In Fossil’s telling, equity courts historically required a showing of willfulness before authorizing a profits remedy in trademark disputes. Admittedly, equity courts didn’t require so much in patent infringement cases and other arguably analogous suits. See, </w:t>
      </w:r>
      <w:r w:rsidRPr="008B1E3D">
        <w:rPr>
          <w:rFonts w:ascii="Georgia" w:hAnsi="Georgia"/>
          <w:i/>
          <w:iCs/>
        </w:rPr>
        <w:t>e.g., Dowagiac Mfg. Co. v. Minnesota Moline Plow Co.</w:t>
      </w:r>
      <w:r w:rsidRPr="008B1E3D">
        <w:rPr>
          <w:rFonts w:ascii="Georgia" w:hAnsi="Georgia"/>
        </w:rPr>
        <w:t xml:space="preserve">, 235 U.S. 641, 644, 650–651 (1915). But, </w:t>
      </w:r>
      <w:r w:rsidRPr="008B1E3D">
        <w:rPr>
          <w:rFonts w:ascii="Georgia" w:hAnsi="Georgia"/>
        </w:rPr>
        <w:lastRenderedPageBreak/>
        <w:t>Fossil says, trademark is different. There alone, a willfulness requirement was so long and universally recognized that today it rises to the level of a “principle of equity” the Lanham Act carries forward.</w:t>
      </w:r>
    </w:p>
    <w:p w14:paraId="7982C7E3" w14:textId="5994A99C" w:rsidR="008B1E3D" w:rsidRPr="008B1E3D" w:rsidRDefault="008B1E3D" w:rsidP="008B1E3D">
      <w:pPr>
        <w:rPr>
          <w:rFonts w:ascii="Georgia" w:hAnsi="Georgia"/>
        </w:rPr>
      </w:pPr>
      <w:r w:rsidRPr="008B1E3D">
        <w:rPr>
          <w:rFonts w:ascii="Georgia" w:hAnsi="Georgia"/>
        </w:rPr>
        <w:t xml:space="preserve">It’s a curious suggestion. Fossil’s contention that the term “principles of equity” includes a willfulness requirement would not directly contradict the statute’s other, express </w:t>
      </w:r>
      <w:proofErr w:type="spellStart"/>
      <w:r w:rsidRPr="008B1E3D">
        <w:rPr>
          <w:rFonts w:ascii="Georgia" w:hAnsi="Georgia"/>
          <w:i/>
          <w:iCs/>
        </w:rPr>
        <w:t>mens</w:t>
      </w:r>
      <w:proofErr w:type="spellEnd"/>
      <w:r w:rsidRPr="008B1E3D">
        <w:rPr>
          <w:rFonts w:ascii="Georgia" w:hAnsi="Georgia"/>
          <w:i/>
          <w:iCs/>
        </w:rPr>
        <w:t xml:space="preserve"> rea</w:t>
      </w:r>
      <w:r w:rsidRPr="008B1E3D">
        <w:rPr>
          <w:rFonts w:ascii="Georgia" w:hAnsi="Georgia"/>
        </w:rPr>
        <w:t xml:space="preserve"> provisions or render them wholly superfluous. But it would require us to assume that Congress intended to incorporate a willfulness requirement </w:t>
      </w:r>
      <w:bookmarkStart w:id="5" w:name="co_pp_sp_708_1496_1"/>
      <w:bookmarkEnd w:id="5"/>
      <w:r w:rsidRPr="008B1E3D">
        <w:rPr>
          <w:rFonts w:ascii="Georgia" w:hAnsi="Georgia"/>
        </w:rPr>
        <w:t xml:space="preserve">here obliquely while it prescribed </w:t>
      </w:r>
      <w:proofErr w:type="spellStart"/>
      <w:r w:rsidRPr="008B1E3D">
        <w:rPr>
          <w:rFonts w:ascii="Georgia" w:hAnsi="Georgia"/>
          <w:i/>
          <w:iCs/>
        </w:rPr>
        <w:t>mens</w:t>
      </w:r>
      <w:proofErr w:type="spellEnd"/>
      <w:r w:rsidRPr="008B1E3D">
        <w:rPr>
          <w:rFonts w:ascii="Georgia" w:hAnsi="Georgia"/>
          <w:i/>
          <w:iCs/>
        </w:rPr>
        <w:t xml:space="preserve"> rea</w:t>
      </w:r>
      <w:r w:rsidRPr="008B1E3D">
        <w:rPr>
          <w:rFonts w:ascii="Georgia" w:hAnsi="Georgia"/>
        </w:rPr>
        <w:t xml:space="preserve"> conditions expressly elsewhere throughout the Lanham Act. That might be possible, but on first blush it isn’t exactly an obvious construction of the statute.</w:t>
      </w:r>
    </w:p>
    <w:p w14:paraId="293B50A5" w14:textId="373BA4C2" w:rsidR="008B1E3D" w:rsidRPr="008B1E3D" w:rsidRDefault="008B1E3D" w:rsidP="008B1E3D">
      <w:pPr>
        <w:rPr>
          <w:rFonts w:ascii="Georgia" w:hAnsi="Georgia"/>
        </w:rPr>
      </w:pPr>
      <w:r w:rsidRPr="008B1E3D">
        <w:rPr>
          <w:rFonts w:ascii="Georgia" w:hAnsi="Georgia"/>
        </w:rPr>
        <w:t xml:space="preserve">Nor do matters improve with a second look. The phrase “principles of equity” doesn’t readily </w:t>
      </w:r>
      <w:proofErr w:type="gramStart"/>
      <w:r w:rsidRPr="008B1E3D">
        <w:rPr>
          <w:rFonts w:ascii="Georgia" w:hAnsi="Georgia"/>
        </w:rPr>
        <w:t>bring to mind</w:t>
      </w:r>
      <w:proofErr w:type="gramEnd"/>
      <w:r w:rsidRPr="008B1E3D">
        <w:rPr>
          <w:rFonts w:ascii="Georgia" w:hAnsi="Georgia"/>
        </w:rPr>
        <w:t xml:space="preserve"> a substantive rule about </w:t>
      </w:r>
      <w:proofErr w:type="spellStart"/>
      <w:r w:rsidRPr="008B1E3D">
        <w:rPr>
          <w:rFonts w:ascii="Georgia" w:hAnsi="Georgia"/>
          <w:i/>
          <w:iCs/>
        </w:rPr>
        <w:t>mens</w:t>
      </w:r>
      <w:proofErr w:type="spellEnd"/>
      <w:r w:rsidRPr="008B1E3D">
        <w:rPr>
          <w:rFonts w:ascii="Georgia" w:hAnsi="Georgia"/>
          <w:i/>
          <w:iCs/>
        </w:rPr>
        <w:t xml:space="preserve"> rea</w:t>
      </w:r>
      <w:r w:rsidRPr="008B1E3D">
        <w:rPr>
          <w:rFonts w:ascii="Georgia" w:hAnsi="Georgia"/>
        </w:rPr>
        <w:t xml:space="preserve"> from a discrete domain like trademark law. In the context of this statute, it more naturally suggests fundamental rules that apply more systematically across claims and practice areas. A principle is a “fundamental truth or doctrine, as of law; a comprehensive rule or doctrine which furnishes a basis or origin for others.” Black’s Law Dictionary 1417 (3d ed. 1933); Black’s Law Dictionary 1357 (4th ed. 1951). And treatises and handbooks on the “principles of equity” generally contain </w:t>
      </w:r>
      <w:proofErr w:type="spellStart"/>
      <w:r w:rsidRPr="008B1E3D">
        <w:rPr>
          <w:rFonts w:ascii="Georgia" w:hAnsi="Georgia"/>
        </w:rPr>
        <w:t>transsubstantive</w:t>
      </w:r>
      <w:proofErr w:type="spellEnd"/>
      <w:r w:rsidRPr="008B1E3D">
        <w:rPr>
          <w:rFonts w:ascii="Georgia" w:hAnsi="Georgia"/>
        </w:rPr>
        <w:t xml:space="preserve"> guidance on broad and fundamental questions about matters like parties, modes of proof, defenses, and remedies</w:t>
      </w:r>
      <w:proofErr w:type="gramStart"/>
      <w:r w:rsidRPr="008B1E3D">
        <w:rPr>
          <w:rFonts w:ascii="Georgia" w:hAnsi="Georgia"/>
        </w:rPr>
        <w:t>. . . .</w:t>
      </w:r>
      <w:proofErr w:type="gramEnd"/>
      <w:r w:rsidRPr="008B1E3D">
        <w:rPr>
          <w:rFonts w:ascii="Georgia" w:hAnsi="Georgia"/>
        </w:rPr>
        <w:t xml:space="preserve"> Our precedent, too, has used the term “principles of equity” to refer to just such </w:t>
      </w:r>
      <w:proofErr w:type="spellStart"/>
      <w:r w:rsidRPr="008B1E3D">
        <w:rPr>
          <w:rFonts w:ascii="Georgia" w:hAnsi="Georgia"/>
        </w:rPr>
        <w:t>transsubstantive</w:t>
      </w:r>
      <w:proofErr w:type="spellEnd"/>
      <w:r w:rsidRPr="008B1E3D">
        <w:rPr>
          <w:rFonts w:ascii="Georgia" w:hAnsi="Georgia"/>
        </w:rPr>
        <w:t xml:space="preserve"> topics. See, </w:t>
      </w:r>
      <w:r w:rsidRPr="008B1E3D">
        <w:rPr>
          <w:rFonts w:ascii="Georgia" w:hAnsi="Georgia"/>
          <w:i/>
          <w:iCs/>
        </w:rPr>
        <w:t xml:space="preserve">e.g., eBay Inc. v. </w:t>
      </w:r>
      <w:proofErr w:type="spellStart"/>
      <w:r w:rsidRPr="008B1E3D">
        <w:rPr>
          <w:rFonts w:ascii="Georgia" w:hAnsi="Georgia"/>
          <w:i/>
          <w:iCs/>
        </w:rPr>
        <w:t>MercExchange</w:t>
      </w:r>
      <w:proofErr w:type="spellEnd"/>
      <w:r w:rsidRPr="008B1E3D">
        <w:rPr>
          <w:rFonts w:ascii="Georgia" w:hAnsi="Georgia"/>
          <w:i/>
          <w:iCs/>
        </w:rPr>
        <w:t>, L. L. C.</w:t>
      </w:r>
      <w:r w:rsidRPr="008B1E3D">
        <w:rPr>
          <w:rFonts w:ascii="Georgia" w:hAnsi="Georgia"/>
        </w:rPr>
        <w:t>, 547 U.S. 388, 391 (2006) </w:t>
      </w:r>
      <w:proofErr w:type="gramStart"/>
      <w:r w:rsidRPr="008B1E3D">
        <w:rPr>
          <w:rFonts w:ascii="Georgia" w:hAnsi="Georgia"/>
        </w:rPr>
        <w:t>. . . .</w:t>
      </w:r>
      <w:proofErr w:type="gramEnd"/>
      <w:r w:rsidRPr="008B1E3D">
        <w:rPr>
          <w:rFonts w:ascii="Georgia" w:hAnsi="Georgia"/>
        </w:rPr>
        <w:t xml:space="preserve"> Congress itself has elsewhere used “equitable principles” in just this way: An amendment to a different section of the Lanham Act lists “laches, estoppel, and acquiescence” as examples of “equitable principles.” 15 U.S.C. § 1069. Given all this, it seems a little unlikely Congress meant “principles of equity” to direct us to a narrow rule about a profits remedy within trademark law.</w:t>
      </w:r>
    </w:p>
    <w:p w14:paraId="6391831C" w14:textId="062C6D36" w:rsidR="008B1E3D" w:rsidRPr="008B1E3D" w:rsidRDefault="008B1E3D" w:rsidP="008B1E3D">
      <w:pPr>
        <w:rPr>
          <w:rFonts w:ascii="Georgia" w:hAnsi="Georgia"/>
        </w:rPr>
      </w:pPr>
      <w:r w:rsidRPr="008B1E3D">
        <w:rPr>
          <w:rFonts w:ascii="Georgia" w:hAnsi="Georgia"/>
        </w:rPr>
        <w:t xml:space="preserve">But even if we were to spot Fossil that first essential premise of its argument, the next has problems too. From the record the parties have put before us, it’s far from clear whether trademark law historically required a showing of willfulness before allowing a profits remedy. The Trademark Act of 1905—the Lanham Act’s statutory predecessor which many earlier cases interpreted and applied—did not mention such a requirement. It’s true, as Fossil notes, that some courts proceeding before the 1905 Act, and even some later cases following that Act, did treat willfulness or something like it as a prerequisite for a profits award and rarely authorized profits for purely good-faith infringement. See, </w:t>
      </w:r>
      <w:r w:rsidRPr="008B1E3D">
        <w:rPr>
          <w:rFonts w:ascii="Georgia" w:hAnsi="Georgia"/>
          <w:i/>
          <w:iCs/>
        </w:rPr>
        <w:t xml:space="preserve">e.g., Horlick’s Malted Milk Corp. v. </w:t>
      </w:r>
      <w:proofErr w:type="spellStart"/>
      <w:r w:rsidRPr="008B1E3D">
        <w:rPr>
          <w:rFonts w:ascii="Georgia" w:hAnsi="Georgia"/>
          <w:i/>
          <w:iCs/>
        </w:rPr>
        <w:t>Horluck’s</w:t>
      </w:r>
      <w:proofErr w:type="spellEnd"/>
      <w:r w:rsidRPr="008B1E3D">
        <w:rPr>
          <w:rFonts w:ascii="Georgia" w:hAnsi="Georgia"/>
          <w:i/>
          <w:iCs/>
        </w:rPr>
        <w:t>, Inc.</w:t>
      </w:r>
      <w:r w:rsidRPr="008B1E3D">
        <w:rPr>
          <w:rFonts w:ascii="Georgia" w:hAnsi="Georgia"/>
        </w:rPr>
        <w:t xml:space="preserve">, 51 F.2d 357, 359 (W.D. Wash. 1931) (explaining that the plaintiff “cannot recover defendant’s profits unless it has been shown beyond a reasonable doubt that defendant was guilty of willful fraud in the use of the enjoined trade-name”); see also </w:t>
      </w:r>
      <w:r w:rsidRPr="008B1E3D">
        <w:rPr>
          <w:rFonts w:ascii="Georgia" w:hAnsi="Georgia"/>
          <w:i/>
          <w:iCs/>
        </w:rPr>
        <w:t>Saxlehner v. Siegel-Cooper Co.</w:t>
      </w:r>
      <w:r w:rsidRPr="008B1E3D">
        <w:rPr>
          <w:rFonts w:ascii="Georgia" w:hAnsi="Georgia"/>
        </w:rPr>
        <w:t xml:space="preserve">, 179 U.S. 42, 42–43 (1900) (holding that one defendant “should not be required to account for gains </w:t>
      </w:r>
      <w:r w:rsidRPr="008B1E3D">
        <w:rPr>
          <w:rFonts w:ascii="Georgia" w:hAnsi="Georgia"/>
        </w:rPr>
        <w:lastRenderedPageBreak/>
        <w:t xml:space="preserve">and profits” when it “appear[ed] to have acted in good faith”). But Romag cites other cases that expressly rejected any such rule. See, </w:t>
      </w:r>
      <w:r w:rsidRPr="008B1E3D">
        <w:rPr>
          <w:rFonts w:ascii="Georgia" w:hAnsi="Georgia"/>
          <w:i/>
          <w:iCs/>
        </w:rPr>
        <w:t xml:space="preserve">e.g., Oakes v. </w:t>
      </w:r>
      <w:proofErr w:type="spellStart"/>
      <w:r w:rsidRPr="008B1E3D">
        <w:rPr>
          <w:rFonts w:ascii="Georgia" w:hAnsi="Georgia"/>
          <w:i/>
          <w:iCs/>
        </w:rPr>
        <w:t>Tonsmierre</w:t>
      </w:r>
      <w:proofErr w:type="spellEnd"/>
      <w:r w:rsidRPr="008B1E3D">
        <w:rPr>
          <w:rFonts w:ascii="Georgia" w:hAnsi="Georgia"/>
        </w:rPr>
        <w:t xml:space="preserve">, 49 F. 447, 453 (C.C.S.D. Ala. 1883); see also </w:t>
      </w:r>
      <w:r w:rsidRPr="008B1E3D">
        <w:rPr>
          <w:rFonts w:ascii="Georgia" w:hAnsi="Georgia"/>
          <w:i/>
          <w:iCs/>
        </w:rPr>
        <w:t>Stonebraker v. Stonebraker</w:t>
      </w:r>
      <w:r w:rsidRPr="008B1E3D">
        <w:rPr>
          <w:rFonts w:ascii="Georgia" w:hAnsi="Georgia"/>
        </w:rPr>
        <w:t xml:space="preserve">, 33 Md. 252, 268 (1870); </w:t>
      </w:r>
      <w:r w:rsidRPr="008B1E3D">
        <w:rPr>
          <w:rFonts w:ascii="Georgia" w:hAnsi="Georgia"/>
          <w:i/>
          <w:iCs/>
        </w:rPr>
        <w:t xml:space="preserve">Lawrence-Williams Co. v. </w:t>
      </w:r>
      <w:proofErr w:type="spellStart"/>
      <w:r w:rsidRPr="008B1E3D">
        <w:rPr>
          <w:rFonts w:ascii="Georgia" w:hAnsi="Georgia"/>
          <w:i/>
          <w:iCs/>
        </w:rPr>
        <w:t>Societe</w:t>
      </w:r>
      <w:proofErr w:type="spellEnd"/>
      <w:r w:rsidRPr="008B1E3D">
        <w:rPr>
          <w:rFonts w:ascii="Georgia" w:hAnsi="Georgia"/>
          <w:i/>
          <w:iCs/>
        </w:rPr>
        <w:t xml:space="preserve"> Enfants </w:t>
      </w:r>
      <w:proofErr w:type="spellStart"/>
      <w:r w:rsidRPr="008B1E3D">
        <w:rPr>
          <w:rFonts w:ascii="Georgia" w:hAnsi="Georgia"/>
          <w:i/>
          <w:iCs/>
        </w:rPr>
        <w:t>Gombault</w:t>
      </w:r>
      <w:proofErr w:type="spellEnd"/>
      <w:r w:rsidRPr="008B1E3D">
        <w:rPr>
          <w:rFonts w:ascii="Georgia" w:hAnsi="Georgia"/>
          <w:i/>
          <w:iCs/>
        </w:rPr>
        <w:t xml:space="preserve"> et Cie</w:t>
      </w:r>
      <w:r w:rsidRPr="008B1E3D">
        <w:rPr>
          <w:rFonts w:ascii="Georgia" w:hAnsi="Georgia"/>
        </w:rPr>
        <w:t>, 52 F.2d 774, 778 (C.A.6 1931).</w:t>
      </w:r>
    </w:p>
    <w:p w14:paraId="605FB9B6" w14:textId="71667613" w:rsidR="008B1E3D" w:rsidRPr="008B1E3D" w:rsidRDefault="008B1E3D" w:rsidP="008B1E3D">
      <w:pPr>
        <w:rPr>
          <w:rFonts w:ascii="Georgia" w:hAnsi="Georgia"/>
        </w:rPr>
      </w:pPr>
      <w:r w:rsidRPr="008B1E3D">
        <w:rPr>
          <w:rFonts w:ascii="Georgia" w:hAnsi="Georgia"/>
        </w:rPr>
        <w:t xml:space="preserve">The confusion doesn’t end there. Other authorities advanced still different understandings about the relationship between </w:t>
      </w:r>
      <w:proofErr w:type="spellStart"/>
      <w:r w:rsidRPr="008B1E3D">
        <w:rPr>
          <w:rFonts w:ascii="Georgia" w:hAnsi="Georgia"/>
          <w:i/>
          <w:iCs/>
        </w:rPr>
        <w:t>mens</w:t>
      </w:r>
      <w:proofErr w:type="spellEnd"/>
      <w:r w:rsidRPr="008B1E3D">
        <w:rPr>
          <w:rFonts w:ascii="Georgia" w:hAnsi="Georgia"/>
          <w:i/>
          <w:iCs/>
        </w:rPr>
        <w:t xml:space="preserve"> rea</w:t>
      </w:r>
      <w:r w:rsidRPr="008B1E3D">
        <w:rPr>
          <w:rFonts w:ascii="Georgia" w:hAnsi="Georgia"/>
        </w:rPr>
        <w:t xml:space="preserve"> and profits awards in trademark cases. See, </w:t>
      </w:r>
      <w:r w:rsidRPr="008B1E3D">
        <w:rPr>
          <w:rFonts w:ascii="Georgia" w:hAnsi="Georgia"/>
          <w:i/>
          <w:iCs/>
        </w:rPr>
        <w:t xml:space="preserve">e.g., </w:t>
      </w:r>
      <w:r w:rsidRPr="008B1E3D">
        <w:rPr>
          <w:rFonts w:ascii="Georgia" w:hAnsi="Georgia"/>
        </w:rPr>
        <w:t xml:space="preserve">H. </w:t>
      </w:r>
      <w:proofErr w:type="spellStart"/>
      <w:r w:rsidRPr="008B1E3D">
        <w:rPr>
          <w:rFonts w:ascii="Georgia" w:hAnsi="Georgia"/>
        </w:rPr>
        <w:t>Nims</w:t>
      </w:r>
      <w:proofErr w:type="spellEnd"/>
      <w:r w:rsidRPr="008B1E3D">
        <w:rPr>
          <w:rFonts w:ascii="Georgia" w:hAnsi="Georgia"/>
        </w:rPr>
        <w:t xml:space="preserve">, Law of Unfair Competition and Trade-Marks § 424 (2d ed. 1917) (“An accounting will not be ordered where the infringing party acted innocently and in ignorance of the plaintiff’s </w:t>
      </w:r>
      <w:bookmarkStart w:id="6" w:name="co_pp_sp_708_1497_1"/>
      <w:bookmarkEnd w:id="6"/>
      <w:r w:rsidRPr="008B1E3D">
        <w:rPr>
          <w:rFonts w:ascii="Georgia" w:hAnsi="Georgia"/>
        </w:rPr>
        <w:t xml:space="preserve">rights”); N. Hesseltine, Digest of the Law of Trade-Marks and Unfair Trade 305 (1906) (contrasting a case holding “[n]o account as to profits allowed except as to user after </w:t>
      </w:r>
      <w:r w:rsidRPr="008B1E3D">
        <w:rPr>
          <w:rFonts w:ascii="Georgia" w:hAnsi="Georgia"/>
          <w:i/>
          <w:iCs/>
        </w:rPr>
        <w:t>knowledge</w:t>
      </w:r>
      <w:r w:rsidRPr="008B1E3D">
        <w:rPr>
          <w:rFonts w:ascii="Georgia" w:hAnsi="Georgia"/>
        </w:rPr>
        <w:t xml:space="preserve"> of plaintiff’s right to trademark” and one permitting profits “although defendant did not know of infringement” (emphasis added)). And </w:t>
      </w:r>
      <w:proofErr w:type="gramStart"/>
      <w:r w:rsidRPr="008B1E3D">
        <w:rPr>
          <w:rFonts w:ascii="Georgia" w:hAnsi="Georgia"/>
        </w:rPr>
        <w:t>the vast majority of</w:t>
      </w:r>
      <w:proofErr w:type="gramEnd"/>
      <w:r w:rsidRPr="008B1E3D">
        <w:rPr>
          <w:rFonts w:ascii="Georgia" w:hAnsi="Georgia"/>
        </w:rPr>
        <w:t xml:space="preserve"> the cases both Romag and Fossil cite simply failed to speak clearly to the issue one way or another. See, </w:t>
      </w:r>
      <w:r w:rsidRPr="008B1E3D">
        <w:rPr>
          <w:rFonts w:ascii="Georgia" w:hAnsi="Georgia"/>
          <w:i/>
          <w:iCs/>
        </w:rPr>
        <w:t xml:space="preserve">e.g., Hostetter v. </w:t>
      </w:r>
      <w:proofErr w:type="spellStart"/>
      <w:r w:rsidRPr="008B1E3D">
        <w:rPr>
          <w:rFonts w:ascii="Georgia" w:hAnsi="Georgia"/>
          <w:i/>
          <w:iCs/>
        </w:rPr>
        <w:t>Vowinkle</w:t>
      </w:r>
      <w:proofErr w:type="spellEnd"/>
      <w:r w:rsidRPr="008B1E3D">
        <w:rPr>
          <w:rFonts w:ascii="Georgia" w:hAnsi="Georgia"/>
        </w:rPr>
        <w:t xml:space="preserve">, 12 </w:t>
      </w:r>
      <w:proofErr w:type="spellStart"/>
      <w:proofErr w:type="gramStart"/>
      <w:r w:rsidRPr="008B1E3D">
        <w:rPr>
          <w:rFonts w:ascii="Georgia" w:hAnsi="Georgia"/>
        </w:rPr>
        <w:t>F.Cas</w:t>
      </w:r>
      <w:proofErr w:type="spellEnd"/>
      <w:proofErr w:type="gramEnd"/>
      <w:r w:rsidRPr="008B1E3D">
        <w:rPr>
          <w:rFonts w:ascii="Georgia" w:hAnsi="Georgia"/>
        </w:rPr>
        <w:t xml:space="preserve">. 546, 547 (No. 6,714) (C.C.D. Neb. 1871); </w:t>
      </w:r>
      <w:r w:rsidRPr="008B1E3D">
        <w:rPr>
          <w:rFonts w:ascii="Georgia" w:hAnsi="Georgia"/>
          <w:i/>
          <w:iCs/>
        </w:rPr>
        <w:t>Graham v. Plate</w:t>
      </w:r>
      <w:r w:rsidRPr="008B1E3D">
        <w:rPr>
          <w:rFonts w:ascii="Georgia" w:hAnsi="Georgia"/>
        </w:rPr>
        <w:t xml:space="preserve">, 40 Cal. 593, 597–599 (1871); </w:t>
      </w:r>
      <w:r w:rsidRPr="008B1E3D">
        <w:rPr>
          <w:rFonts w:ascii="Georgia" w:hAnsi="Georgia"/>
          <w:i/>
          <w:iCs/>
        </w:rPr>
        <w:t>Hemmeter Cigar Co. v. Congress Cigar Co.</w:t>
      </w:r>
      <w:r w:rsidRPr="008B1E3D">
        <w:rPr>
          <w:rFonts w:ascii="Georgia" w:hAnsi="Georgia"/>
        </w:rPr>
        <w:t>, 118 F.2d 64, 71–72 (C.A.6 1941).</w:t>
      </w:r>
    </w:p>
    <w:p w14:paraId="53647493" w14:textId="02CC9F5B" w:rsidR="008B1E3D" w:rsidRPr="008B1E3D" w:rsidRDefault="008B1E3D" w:rsidP="008B1E3D">
      <w:pPr>
        <w:rPr>
          <w:rFonts w:ascii="Georgia" w:hAnsi="Georgia"/>
        </w:rPr>
      </w:pPr>
      <w:bookmarkStart w:id="7" w:name="co_anchor_B22050824087_1"/>
      <w:bookmarkStart w:id="8" w:name="co_anchor_B32050824087_1"/>
      <w:bookmarkStart w:id="9" w:name="co_anchor_B42050824087_1"/>
      <w:bookmarkEnd w:id="7"/>
      <w:bookmarkEnd w:id="8"/>
      <w:bookmarkEnd w:id="9"/>
      <w:r w:rsidRPr="008B1E3D">
        <w:rPr>
          <w:rFonts w:ascii="Georgia" w:hAnsi="Georgia"/>
        </w:rPr>
        <w:t xml:space="preserve">At the end of it all, the most we can say with certainty is this. </w:t>
      </w:r>
      <w:proofErr w:type="spellStart"/>
      <w:r w:rsidRPr="008B1E3D">
        <w:rPr>
          <w:rFonts w:ascii="Georgia" w:hAnsi="Georgia"/>
          <w:i/>
          <w:iCs/>
        </w:rPr>
        <w:t>Mens</w:t>
      </w:r>
      <w:proofErr w:type="spellEnd"/>
      <w:r w:rsidRPr="008B1E3D">
        <w:rPr>
          <w:rFonts w:ascii="Georgia" w:hAnsi="Georgia"/>
          <w:i/>
          <w:iCs/>
        </w:rPr>
        <w:t xml:space="preserve"> rea</w:t>
      </w:r>
      <w:r w:rsidRPr="008B1E3D">
        <w:rPr>
          <w:rFonts w:ascii="Georgia" w:hAnsi="Georgia"/>
        </w:rPr>
        <w:t xml:space="preserve"> figured as an important consideration in awarding profits in pre-Lanham Act cases. This reflects the ordinary, </w:t>
      </w:r>
      <w:proofErr w:type="spellStart"/>
      <w:r w:rsidRPr="008B1E3D">
        <w:rPr>
          <w:rFonts w:ascii="Georgia" w:hAnsi="Georgia"/>
        </w:rPr>
        <w:t>transsubstantive</w:t>
      </w:r>
      <w:proofErr w:type="spellEnd"/>
      <w:r w:rsidRPr="008B1E3D">
        <w:rPr>
          <w:rFonts w:ascii="Georgia" w:hAnsi="Georgia"/>
        </w:rPr>
        <w:t xml:space="preserve"> principle that a defendant’s mental state is relevant to assigning an appropriate remedy. That principle arises not only in equity, but across many legal contexts. See, </w:t>
      </w:r>
      <w:r w:rsidRPr="008B1E3D">
        <w:rPr>
          <w:rFonts w:ascii="Georgia" w:hAnsi="Georgia"/>
          <w:i/>
          <w:iCs/>
        </w:rPr>
        <w:t>e.g.,</w:t>
      </w:r>
      <w:r w:rsidRPr="008B1E3D">
        <w:rPr>
          <w:rFonts w:ascii="Georgia" w:hAnsi="Georgia"/>
        </w:rPr>
        <w:t xml:space="preserve"> </w:t>
      </w:r>
      <w:r w:rsidRPr="008B1E3D">
        <w:rPr>
          <w:rFonts w:ascii="Georgia" w:hAnsi="Georgia"/>
          <w:i/>
          <w:iCs/>
        </w:rPr>
        <w:t>Smith v. Wade</w:t>
      </w:r>
      <w:r w:rsidRPr="008B1E3D">
        <w:rPr>
          <w:rFonts w:ascii="Georgia" w:hAnsi="Georgia"/>
        </w:rPr>
        <w:t xml:space="preserve">, 461 U.S. 30, 38–51 (1983) (42 U.S.C. § 1983); </w:t>
      </w:r>
      <w:r w:rsidRPr="008B1E3D">
        <w:rPr>
          <w:rFonts w:ascii="Georgia" w:hAnsi="Georgia"/>
          <w:i/>
          <w:iCs/>
        </w:rPr>
        <w:t>Morissette v. United States</w:t>
      </w:r>
      <w:r w:rsidRPr="008B1E3D">
        <w:rPr>
          <w:rFonts w:ascii="Georgia" w:hAnsi="Georgia"/>
        </w:rPr>
        <w:t xml:space="preserve">, 342 U.S. 246, 250–263 (1952) (criminal law); </w:t>
      </w:r>
      <w:r w:rsidRPr="008B1E3D">
        <w:rPr>
          <w:rFonts w:ascii="Georgia" w:hAnsi="Georgia"/>
          <w:i/>
          <w:iCs/>
        </w:rPr>
        <w:t>Wooden-Ware Co. v. United States</w:t>
      </w:r>
      <w:r w:rsidRPr="008B1E3D">
        <w:rPr>
          <w:rFonts w:ascii="Georgia" w:hAnsi="Georgia"/>
        </w:rPr>
        <w:t>, 106 U.S. 432, 434–435 (1882) (common law trespass). It’s a principle reflected in the Lanham Act’s text, too, which permits greater statutory damages for certain willful violations than for other violations. 15 U.S.C. § 1117(c). And it is a principle long reflected in equity practice where district courts have often considered a defendant’s mental state, among other factors, when exercising their discretion in choosing a fitting remedy. . .  Given these traditional principles, we do not doubt that a trademark defendant’s mental state is a highly important consideration in determining whether an award of profits is appropriate. But acknowledging that much is a far cry from insisting on the inflexible precondition to recovery Fossil advances. </w:t>
      </w:r>
    </w:p>
    <w:p w14:paraId="4FD91619" w14:textId="7F0A21A0" w:rsidR="008B1E3D" w:rsidRPr="008B1E3D" w:rsidRDefault="008B1E3D" w:rsidP="008B1E3D">
      <w:pPr>
        <w:rPr>
          <w:rFonts w:ascii="Georgia" w:hAnsi="Georgia"/>
        </w:rPr>
      </w:pPr>
      <w:bookmarkStart w:id="10" w:name="co_anchor_B52050824087_1"/>
      <w:bookmarkEnd w:id="10"/>
      <w:r w:rsidRPr="008B1E3D">
        <w:rPr>
          <w:rFonts w:ascii="Georgia" w:hAnsi="Georgia"/>
        </w:rPr>
        <w:t xml:space="preserve">With little to work with in the statute’s language, structure, and history, Fossil ultimately rests on an appeal to policy. The company tells </w:t>
      </w:r>
      <w:proofErr w:type="gramStart"/>
      <w:r w:rsidRPr="008B1E3D">
        <w:rPr>
          <w:rFonts w:ascii="Georgia" w:hAnsi="Georgia"/>
        </w:rPr>
        <w:t>us</w:t>
      </w:r>
      <w:proofErr w:type="gramEnd"/>
      <w:r w:rsidRPr="008B1E3D">
        <w:rPr>
          <w:rFonts w:ascii="Georgia" w:hAnsi="Georgia"/>
        </w:rPr>
        <w:t xml:space="preserve"> that stouter restraints on profits awards are needed to deter “baseless” trademark suits. Meanwhile, Romag insists that its reading of the statute will promote greater respect for trademarks in the “modern global economy.” As these things go, </w:t>
      </w:r>
      <w:r w:rsidRPr="008B1E3D">
        <w:rPr>
          <w:rFonts w:ascii="Georgia" w:hAnsi="Georgia"/>
          <w:i/>
          <w:iCs/>
        </w:rPr>
        <w:t>amici</w:t>
      </w:r>
      <w:r w:rsidRPr="008B1E3D">
        <w:rPr>
          <w:rFonts w:ascii="Georgia" w:hAnsi="Georgia"/>
        </w:rPr>
        <w:t xml:space="preserve"> amplify both sides’ policy arguments. Maybe, too, each side has a point. But the place for reconciling competing and incommensurable policy goals like these is before </w:t>
      </w:r>
      <w:r w:rsidRPr="008B1E3D">
        <w:rPr>
          <w:rFonts w:ascii="Georgia" w:hAnsi="Georgia"/>
        </w:rPr>
        <w:lastRenderedPageBreak/>
        <w:t>policymakers. This Court’s limited role is to read and apply the law those policymakers have ordained, and here our task is clear. The judgment of the court of appeals is vacated, and the case is remanded for further proceedings consistent with this opinion.</w:t>
      </w:r>
    </w:p>
    <w:p w14:paraId="5631B019" w14:textId="77777777" w:rsidR="008B1E3D" w:rsidRPr="008B1E3D" w:rsidRDefault="008B1E3D" w:rsidP="008B1E3D">
      <w:pPr>
        <w:rPr>
          <w:rFonts w:ascii="Georgia" w:hAnsi="Georgia"/>
        </w:rPr>
      </w:pPr>
      <w:r w:rsidRPr="008B1E3D">
        <w:rPr>
          <w:rFonts w:ascii="Georgia" w:hAnsi="Georgia"/>
        </w:rPr>
        <w:t>It is so ordered.</w:t>
      </w:r>
    </w:p>
    <w:p w14:paraId="4B3D81F4" w14:textId="77777777" w:rsidR="008B1E3D" w:rsidRPr="008B1E3D" w:rsidRDefault="008B1E3D" w:rsidP="008B1E3D">
      <w:pPr>
        <w:pStyle w:val="NormalNoIndent"/>
        <w:rPr>
          <w:rFonts w:ascii="Georgia" w:hAnsi="Georgia"/>
        </w:rPr>
      </w:pPr>
      <w:bookmarkStart w:id="11" w:name="co_concurrance_opinion_1"/>
      <w:bookmarkEnd w:id="11"/>
      <w:r w:rsidRPr="008B1E3D">
        <w:rPr>
          <w:rFonts w:ascii="Georgia" w:hAnsi="Georgia"/>
        </w:rPr>
        <w:t>Justice ALITO, with whom Justice BREYER and Justice KAGAN join, concurring.</w:t>
      </w:r>
    </w:p>
    <w:p w14:paraId="11AF4370" w14:textId="42B8E07A" w:rsidR="008B1E3D" w:rsidRPr="008B1E3D" w:rsidRDefault="008B1E3D" w:rsidP="008B1E3D">
      <w:pPr>
        <w:rPr>
          <w:rFonts w:ascii="Georgia" w:hAnsi="Georgia"/>
        </w:rPr>
      </w:pPr>
      <w:bookmarkStart w:id="12" w:name="co_anchor_I71a7bb2195f711eaba60e0b6d43ca"/>
      <w:bookmarkEnd w:id="12"/>
      <w:r w:rsidRPr="008B1E3D">
        <w:rPr>
          <w:rFonts w:ascii="Georgia" w:hAnsi="Georgia"/>
        </w:rPr>
        <w:t>We took this case to decide whether willful infringement is a prerequisite to an award of profits under 15 U.S.C. § 1117(a). The decision below held that willfulness is such a prerequisite. App. to Pet. for Cert. 32a. That is incorrect. The relevant authorities, particularly pre-Lanham Act case law, show that willfulness is a highly important consideration in awarding profits under § 1117(a), but not an absolute precondition. I would so hold and concur on that ground.</w:t>
      </w:r>
      <w:bookmarkStart w:id="13" w:name="co_concurrance_opinion_0_1"/>
      <w:bookmarkEnd w:id="13"/>
    </w:p>
    <w:p w14:paraId="0BBAD258" w14:textId="77777777" w:rsidR="008B1E3D" w:rsidRPr="008B1E3D" w:rsidRDefault="008B1E3D" w:rsidP="008B1E3D">
      <w:pPr>
        <w:pStyle w:val="NormalNoIndent"/>
        <w:rPr>
          <w:rFonts w:ascii="Georgia" w:hAnsi="Georgia"/>
        </w:rPr>
      </w:pPr>
      <w:r w:rsidRPr="008B1E3D">
        <w:rPr>
          <w:rFonts w:ascii="Georgia" w:hAnsi="Georgia"/>
        </w:rPr>
        <w:t>Justice SOTOMAYOR, concurring in the judgment.</w:t>
      </w:r>
      <w:bookmarkStart w:id="14" w:name="co_anchor_I71a87e7295f711eaba60e0b6d43ca"/>
      <w:bookmarkEnd w:id="14"/>
    </w:p>
    <w:p w14:paraId="1924255B" w14:textId="498881B6" w:rsidR="008B1E3D" w:rsidRPr="008B1E3D" w:rsidRDefault="008B1E3D" w:rsidP="008B1E3D">
      <w:pPr>
        <w:rPr>
          <w:rFonts w:ascii="Georgia" w:hAnsi="Georgia"/>
        </w:rPr>
      </w:pPr>
      <w:bookmarkStart w:id="15" w:name="co_pp_sp_708_1498_1"/>
      <w:bookmarkEnd w:id="15"/>
      <w:r w:rsidRPr="008B1E3D">
        <w:rPr>
          <w:rFonts w:ascii="Georgia" w:hAnsi="Georgia"/>
        </w:rPr>
        <w:t xml:space="preserve">I agree that 15 U.S.C. § 1117(a) does not impose a “willfulness” prerequisite for awarding profits in trademark infringement actions. Courts of equity, however, defined “willfulness” to encompass a range of culpable mental states—including the equivalent of recklessness, but excluding “good faith” or negligence. See 5 McCarthy on Trademarks and Unfair Competition § 30:62 (5th ed. 2019) (explaining that “willfulness” ranged from fraudulent and knowing to reckless and indifferent behavior); see also, </w:t>
      </w:r>
      <w:r w:rsidRPr="008B1E3D">
        <w:rPr>
          <w:rFonts w:ascii="Georgia" w:hAnsi="Georgia"/>
          <w:i/>
          <w:iCs/>
        </w:rPr>
        <w:t>e.g.,</w:t>
      </w:r>
      <w:r w:rsidRPr="008B1E3D">
        <w:rPr>
          <w:rFonts w:ascii="Georgia" w:hAnsi="Georgia"/>
        </w:rPr>
        <w:t xml:space="preserve"> </w:t>
      </w:r>
      <w:r w:rsidRPr="008B1E3D">
        <w:rPr>
          <w:rFonts w:ascii="Georgia" w:hAnsi="Georgia"/>
          <w:i/>
          <w:iCs/>
        </w:rPr>
        <w:t xml:space="preserve">Lawrence-Williams Co. v. </w:t>
      </w:r>
      <w:proofErr w:type="spellStart"/>
      <w:r w:rsidRPr="008B1E3D">
        <w:rPr>
          <w:rFonts w:ascii="Georgia" w:hAnsi="Georgia"/>
          <w:i/>
          <w:iCs/>
        </w:rPr>
        <w:t>Societe</w:t>
      </w:r>
      <w:proofErr w:type="spellEnd"/>
      <w:r w:rsidRPr="008B1E3D">
        <w:rPr>
          <w:rFonts w:ascii="Georgia" w:hAnsi="Georgia"/>
          <w:i/>
          <w:iCs/>
        </w:rPr>
        <w:t xml:space="preserve"> Enfants </w:t>
      </w:r>
      <w:proofErr w:type="spellStart"/>
      <w:r w:rsidRPr="008B1E3D">
        <w:rPr>
          <w:rFonts w:ascii="Georgia" w:hAnsi="Georgia"/>
          <w:i/>
          <w:iCs/>
        </w:rPr>
        <w:t>Gombault</w:t>
      </w:r>
      <w:proofErr w:type="spellEnd"/>
      <w:r w:rsidRPr="008B1E3D">
        <w:rPr>
          <w:rFonts w:ascii="Georgia" w:hAnsi="Georgia"/>
          <w:i/>
          <w:iCs/>
        </w:rPr>
        <w:t xml:space="preserve"> et Cie</w:t>
      </w:r>
      <w:r w:rsidRPr="008B1E3D">
        <w:rPr>
          <w:rFonts w:ascii="Georgia" w:hAnsi="Georgia"/>
        </w:rPr>
        <w:t xml:space="preserve">, 52 F.2d 774, 778 (C.A.6 1931); </w:t>
      </w:r>
      <w:r w:rsidRPr="008B1E3D">
        <w:rPr>
          <w:rFonts w:ascii="Georgia" w:hAnsi="Georgia"/>
          <w:i/>
          <w:iCs/>
        </w:rPr>
        <w:t>Regis v. Jaynes</w:t>
      </w:r>
      <w:r w:rsidRPr="008B1E3D">
        <w:rPr>
          <w:rFonts w:ascii="Georgia" w:hAnsi="Georgia"/>
        </w:rPr>
        <w:t>, 191 Mass. 245, 248–249, 77 N.E. 774, 776 (1906).</w:t>
      </w:r>
    </w:p>
    <w:p w14:paraId="1AB9CE0E" w14:textId="14E4F158" w:rsidR="008B1E3D" w:rsidRPr="008B1E3D" w:rsidRDefault="008B1E3D" w:rsidP="008B1E3D">
      <w:pPr>
        <w:rPr>
          <w:rFonts w:ascii="Georgia" w:hAnsi="Georgia"/>
        </w:rPr>
      </w:pPr>
      <w:r w:rsidRPr="008B1E3D">
        <w:rPr>
          <w:rFonts w:ascii="Georgia" w:hAnsi="Georgia"/>
        </w:rPr>
        <w:t xml:space="preserve">The majority suggests that courts of equity were just as likely to award profits for such “willful” infringement as they were for “innocent” infringement. </w:t>
      </w:r>
      <w:r w:rsidRPr="008B1E3D">
        <w:rPr>
          <w:rFonts w:ascii="Georgia" w:hAnsi="Georgia"/>
          <w:i/>
          <w:iCs/>
        </w:rPr>
        <w:t>Ante</w:t>
      </w:r>
      <w:r w:rsidRPr="008B1E3D">
        <w:rPr>
          <w:rFonts w:ascii="Georgia" w:hAnsi="Georgia"/>
        </w:rPr>
        <w:t xml:space="preserve">, at 1496 – 1497. But that does not reflect the weight of authority, which indicates that profits were hardly, if ever, awarded for innocent infringement. See, </w:t>
      </w:r>
      <w:r w:rsidRPr="008B1E3D">
        <w:rPr>
          <w:rFonts w:ascii="Georgia" w:hAnsi="Georgia"/>
          <w:i/>
          <w:iCs/>
        </w:rPr>
        <w:t>e.g., Wood v. Peffer</w:t>
      </w:r>
      <w:r w:rsidRPr="008B1E3D">
        <w:rPr>
          <w:rFonts w:ascii="Georgia" w:hAnsi="Georgia"/>
        </w:rPr>
        <w:t xml:space="preserve">, 55 Cal.App.2d 116, 125, 130 P.2d 220 (1942) (explaining that “equity constantly refuses, for want of fraudulent intent, the prayer for an accounting of profits”); </w:t>
      </w:r>
      <w:r w:rsidRPr="008B1E3D">
        <w:rPr>
          <w:rFonts w:ascii="Georgia" w:hAnsi="Georgia"/>
          <w:i/>
          <w:iCs/>
        </w:rPr>
        <w:t>Globe-Wernicke Co. v. Safe-Cabinet Co.</w:t>
      </w:r>
      <w:r w:rsidRPr="008B1E3D">
        <w:rPr>
          <w:rFonts w:ascii="Georgia" w:hAnsi="Georgia"/>
        </w:rPr>
        <w:t xml:space="preserve">, 110 Ohio St. 609, 617, 144 N.E. 711, 713 (1924) (“By the great weight of authority, particularly where the infringement . . . was deliberate and willful, it is held that the wrongdoer is required to account for all profits realized by him as a result of his wrongful acts”); </w:t>
      </w:r>
      <w:r w:rsidRPr="008B1E3D">
        <w:rPr>
          <w:rFonts w:ascii="Georgia" w:hAnsi="Georgia"/>
          <w:i/>
          <w:iCs/>
        </w:rPr>
        <w:t>Dickey v. Mutual Film Corp.</w:t>
      </w:r>
      <w:r w:rsidRPr="008B1E3D">
        <w:rPr>
          <w:rFonts w:ascii="Georgia" w:hAnsi="Georgia"/>
        </w:rPr>
        <w:t xml:space="preserve">, 186 A.D. 701, 702, 174 N.Y.S. 784 (1919) (declining to award profits because there was “no proof of any fraudulent intent upon the part of the defendant”); </w:t>
      </w:r>
      <w:r w:rsidRPr="008B1E3D">
        <w:rPr>
          <w:rFonts w:ascii="Georgia" w:hAnsi="Georgia"/>
          <w:i/>
          <w:iCs/>
        </w:rPr>
        <w:t>Standard Cigar Co. v. Goldsmith</w:t>
      </w:r>
      <w:r w:rsidRPr="008B1E3D">
        <w:rPr>
          <w:rFonts w:ascii="Georgia" w:hAnsi="Georgia"/>
        </w:rPr>
        <w:t xml:space="preserve">, 58 </w:t>
      </w:r>
      <w:proofErr w:type="spellStart"/>
      <w:r w:rsidRPr="008B1E3D">
        <w:rPr>
          <w:rFonts w:ascii="Georgia" w:hAnsi="Georgia"/>
        </w:rPr>
        <w:t>Pa.Super</w:t>
      </w:r>
      <w:proofErr w:type="spellEnd"/>
      <w:r w:rsidRPr="008B1E3D">
        <w:rPr>
          <w:rFonts w:ascii="Georgia" w:hAnsi="Georgia"/>
        </w:rPr>
        <w:t xml:space="preserve">. 33, 37 (1914) (reasoning that a defendant “should be compelled to account for . . . profits” where “the infringement complained of was not the result of mistake or ignorance of the plaintiff ‘s right”). Nor would doing so seem to be consistent with longstanding equitable principles which, after all, seek to deprive only wrongdoers of their gains from misconduct. Cf. </w:t>
      </w:r>
      <w:proofErr w:type="spellStart"/>
      <w:r w:rsidRPr="008B1E3D">
        <w:rPr>
          <w:rFonts w:ascii="Georgia" w:hAnsi="Georgia"/>
          <w:i/>
          <w:iCs/>
        </w:rPr>
        <w:t>Duplate</w:t>
      </w:r>
      <w:proofErr w:type="spellEnd"/>
      <w:r w:rsidRPr="008B1E3D">
        <w:rPr>
          <w:rFonts w:ascii="Georgia" w:hAnsi="Georgia"/>
          <w:i/>
          <w:iCs/>
        </w:rPr>
        <w:t xml:space="preserve"> Corp. v. Triplex Safety Glass Co.</w:t>
      </w:r>
      <w:r w:rsidRPr="008B1E3D">
        <w:rPr>
          <w:rFonts w:ascii="Georgia" w:hAnsi="Georgia"/>
        </w:rPr>
        <w:t xml:space="preserve">, 298 U.S. 448, </w:t>
      </w:r>
      <w:r w:rsidRPr="008B1E3D">
        <w:rPr>
          <w:rFonts w:ascii="Georgia" w:hAnsi="Georgia"/>
        </w:rPr>
        <w:lastRenderedPageBreak/>
        <w:t xml:space="preserve">456–457, 56 </w:t>
      </w:r>
      <w:proofErr w:type="spellStart"/>
      <w:r w:rsidRPr="008B1E3D">
        <w:rPr>
          <w:rFonts w:ascii="Georgia" w:hAnsi="Georgia"/>
        </w:rPr>
        <w:t>S.Ct</w:t>
      </w:r>
      <w:proofErr w:type="spellEnd"/>
      <w:r w:rsidRPr="008B1E3D">
        <w:rPr>
          <w:rFonts w:ascii="Georgia" w:hAnsi="Georgia"/>
        </w:rPr>
        <w:t xml:space="preserve">. 792, 80 </w:t>
      </w:r>
      <w:proofErr w:type="spellStart"/>
      <w:r w:rsidRPr="008B1E3D">
        <w:rPr>
          <w:rFonts w:ascii="Georgia" w:hAnsi="Georgia"/>
        </w:rPr>
        <w:t>L.Ed</w:t>
      </w:r>
      <w:proofErr w:type="spellEnd"/>
      <w:r w:rsidRPr="008B1E3D">
        <w:rPr>
          <w:rFonts w:ascii="Georgia" w:hAnsi="Georgia"/>
        </w:rPr>
        <w:t xml:space="preserve">. 1274 (1936). Thus, a district court’s award of profits for innocent or good-faith trademark infringement would not be consonant with the “principles of equity” referenced in § 1117(a) and reflected in the cases the majority cites. </w:t>
      </w:r>
      <w:r w:rsidRPr="008B1E3D">
        <w:rPr>
          <w:rFonts w:ascii="Georgia" w:hAnsi="Georgia"/>
          <w:i/>
          <w:iCs/>
        </w:rPr>
        <w:t>Ante</w:t>
      </w:r>
      <w:r w:rsidRPr="008B1E3D">
        <w:rPr>
          <w:rFonts w:ascii="Georgia" w:hAnsi="Georgia"/>
        </w:rPr>
        <w:t xml:space="preserve"> at 1496 – 1497.</w:t>
      </w:r>
    </w:p>
    <w:p w14:paraId="6522B930" w14:textId="2E0B88B9" w:rsidR="008B1E3D" w:rsidRPr="008B1E3D" w:rsidRDefault="008B1E3D" w:rsidP="008B1E3D">
      <w:pPr>
        <w:rPr>
          <w:rFonts w:ascii="Georgia" w:hAnsi="Georgia"/>
        </w:rPr>
      </w:pPr>
      <w:r w:rsidRPr="008B1E3D">
        <w:rPr>
          <w:rFonts w:ascii="Georgia" w:hAnsi="Georgia"/>
        </w:rPr>
        <w:t>Because the majority is agnostic about awarding profits for both “willful” and innocent infringement as those terms have been understood, I concur in the judgment only.</w:t>
      </w:r>
    </w:p>
    <w:p w14:paraId="002758EF" w14:textId="77777777" w:rsidR="00EB3DF5" w:rsidRPr="008B1E3D" w:rsidRDefault="00EB3DF5">
      <w:pPr>
        <w:rPr>
          <w:rFonts w:ascii="Georgia" w:hAnsi="Georgia"/>
        </w:rPr>
      </w:pPr>
    </w:p>
    <w:sectPr w:rsidR="00EB3DF5" w:rsidRPr="008B1E3D" w:rsidSect="008B1E3D">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FD5FF" w14:textId="77777777" w:rsidR="00FE3A12" w:rsidRDefault="00FE3A12" w:rsidP="008B1E3D">
      <w:pPr>
        <w:spacing w:after="0" w:line="240" w:lineRule="auto"/>
      </w:pPr>
      <w:r>
        <w:separator/>
      </w:r>
    </w:p>
  </w:endnote>
  <w:endnote w:type="continuationSeparator" w:id="0">
    <w:p w14:paraId="4E06F131" w14:textId="77777777" w:rsidR="00FE3A12" w:rsidRDefault="00FE3A12" w:rsidP="008B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5897370"/>
      <w:docPartObj>
        <w:docPartGallery w:val="Page Numbers (Bottom of Page)"/>
        <w:docPartUnique/>
      </w:docPartObj>
    </w:sdtPr>
    <w:sdtContent>
      <w:sdt>
        <w:sdtPr>
          <w:id w:val="1728636285"/>
          <w:docPartObj>
            <w:docPartGallery w:val="Page Numbers (Top of Page)"/>
            <w:docPartUnique/>
          </w:docPartObj>
        </w:sdtPr>
        <w:sdtContent>
          <w:p w14:paraId="460C5016" w14:textId="1BEFA1CE" w:rsidR="008B1E3D" w:rsidRDefault="008B1E3D">
            <w:pPr>
              <w:pStyle w:val="Footer"/>
              <w:jc w:val="center"/>
            </w:pPr>
            <w:r w:rsidRPr="008B1E3D">
              <w:rPr>
                <w:rFonts w:ascii="Georgia" w:hAnsi="Georgia"/>
              </w:rPr>
              <w:t xml:space="preserve">Page </w:t>
            </w:r>
            <w:r w:rsidRPr="008B1E3D">
              <w:rPr>
                <w:rFonts w:ascii="Georgia" w:hAnsi="Georgia"/>
                <w:sz w:val="24"/>
                <w:szCs w:val="24"/>
              </w:rPr>
              <w:fldChar w:fldCharType="begin"/>
            </w:r>
            <w:r w:rsidRPr="008B1E3D">
              <w:rPr>
                <w:rFonts w:ascii="Georgia" w:hAnsi="Georgia"/>
              </w:rPr>
              <w:instrText xml:space="preserve"> PAGE </w:instrText>
            </w:r>
            <w:r w:rsidRPr="008B1E3D">
              <w:rPr>
                <w:rFonts w:ascii="Georgia" w:hAnsi="Georgia"/>
                <w:sz w:val="24"/>
                <w:szCs w:val="24"/>
              </w:rPr>
              <w:fldChar w:fldCharType="separate"/>
            </w:r>
            <w:r w:rsidRPr="008B1E3D">
              <w:rPr>
                <w:rFonts w:ascii="Georgia" w:hAnsi="Georgia"/>
                <w:noProof/>
              </w:rPr>
              <w:t>2</w:t>
            </w:r>
            <w:r w:rsidRPr="008B1E3D">
              <w:rPr>
                <w:rFonts w:ascii="Georgia" w:hAnsi="Georgia"/>
                <w:sz w:val="24"/>
                <w:szCs w:val="24"/>
              </w:rPr>
              <w:fldChar w:fldCharType="end"/>
            </w:r>
            <w:r w:rsidRPr="008B1E3D">
              <w:rPr>
                <w:rFonts w:ascii="Georgia" w:hAnsi="Georgia"/>
              </w:rPr>
              <w:t xml:space="preserve"> of </w:t>
            </w:r>
            <w:r w:rsidRPr="008B1E3D">
              <w:rPr>
                <w:rFonts w:ascii="Georgia" w:hAnsi="Georgia"/>
                <w:sz w:val="24"/>
                <w:szCs w:val="24"/>
              </w:rPr>
              <w:fldChar w:fldCharType="begin"/>
            </w:r>
            <w:r w:rsidRPr="008B1E3D">
              <w:rPr>
                <w:rFonts w:ascii="Georgia" w:hAnsi="Georgia"/>
              </w:rPr>
              <w:instrText xml:space="preserve"> NUMPAGES  </w:instrText>
            </w:r>
            <w:r w:rsidRPr="008B1E3D">
              <w:rPr>
                <w:rFonts w:ascii="Georgia" w:hAnsi="Georgia"/>
                <w:sz w:val="24"/>
                <w:szCs w:val="24"/>
              </w:rPr>
              <w:fldChar w:fldCharType="separate"/>
            </w:r>
            <w:r w:rsidRPr="008B1E3D">
              <w:rPr>
                <w:rFonts w:ascii="Georgia" w:hAnsi="Georgia"/>
                <w:noProof/>
              </w:rPr>
              <w:t>2</w:t>
            </w:r>
            <w:r w:rsidRPr="008B1E3D">
              <w:rPr>
                <w:rFonts w:ascii="Georgia" w:hAnsi="Georgia"/>
                <w:sz w:val="24"/>
                <w:szCs w:val="24"/>
              </w:rPr>
              <w:fldChar w:fldCharType="end"/>
            </w:r>
          </w:p>
        </w:sdtContent>
      </w:sdt>
    </w:sdtContent>
  </w:sdt>
  <w:p w14:paraId="64570AC0" w14:textId="77777777" w:rsidR="008B1E3D" w:rsidRDefault="008B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75309" w14:textId="77777777" w:rsidR="00FE3A12" w:rsidRDefault="00FE3A12" w:rsidP="008B1E3D">
      <w:pPr>
        <w:spacing w:after="0" w:line="240" w:lineRule="auto"/>
      </w:pPr>
      <w:r>
        <w:separator/>
      </w:r>
    </w:p>
  </w:footnote>
  <w:footnote w:type="continuationSeparator" w:id="0">
    <w:p w14:paraId="27798F74" w14:textId="77777777" w:rsidR="00FE3A12" w:rsidRDefault="00FE3A12" w:rsidP="008B1E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3D"/>
    <w:rsid w:val="000A4AD4"/>
    <w:rsid w:val="000C53B3"/>
    <w:rsid w:val="00467A12"/>
    <w:rsid w:val="008B1E3D"/>
    <w:rsid w:val="00EB3DF5"/>
    <w:rsid w:val="00FE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EFD6"/>
  <w15:chartTrackingRefBased/>
  <w15:docId w15:val="{5DB1419B-E2BB-4F87-9721-FBC4B206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3D"/>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8B1E3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1E3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1E3D"/>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1E3D"/>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B1E3D"/>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B1E3D"/>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8B1E3D"/>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B1E3D"/>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B1E3D"/>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E3D"/>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8B1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E3D"/>
    <w:rPr>
      <w:rFonts w:eastAsiaTheme="majorEastAsia" w:cstheme="majorBidi"/>
      <w:color w:val="272727" w:themeColor="text1" w:themeTint="D8"/>
    </w:rPr>
  </w:style>
  <w:style w:type="paragraph" w:styleId="Title">
    <w:name w:val="Title"/>
    <w:basedOn w:val="Normal"/>
    <w:next w:val="Normal"/>
    <w:link w:val="TitleChar"/>
    <w:uiPriority w:val="10"/>
    <w:qFormat/>
    <w:rsid w:val="008B1E3D"/>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1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E3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1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E3D"/>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B1E3D"/>
    <w:rPr>
      <w:i/>
      <w:iCs/>
      <w:color w:val="404040" w:themeColor="text1" w:themeTint="BF"/>
    </w:rPr>
  </w:style>
  <w:style w:type="paragraph" w:styleId="ListParagraph">
    <w:name w:val="List Paragraph"/>
    <w:basedOn w:val="Normal"/>
    <w:uiPriority w:val="34"/>
    <w:qFormat/>
    <w:rsid w:val="008B1E3D"/>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8B1E3D"/>
    <w:rPr>
      <w:i/>
      <w:iCs/>
      <w:color w:val="0F4761" w:themeColor="accent1" w:themeShade="BF"/>
    </w:rPr>
  </w:style>
  <w:style w:type="paragraph" w:styleId="IntenseQuote">
    <w:name w:val="Intense Quote"/>
    <w:basedOn w:val="Normal"/>
    <w:next w:val="Normal"/>
    <w:link w:val="IntenseQuoteChar"/>
    <w:uiPriority w:val="30"/>
    <w:qFormat/>
    <w:rsid w:val="008B1E3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B1E3D"/>
    <w:rPr>
      <w:i/>
      <w:iCs/>
      <w:color w:val="0F4761" w:themeColor="accent1" w:themeShade="BF"/>
    </w:rPr>
  </w:style>
  <w:style w:type="character" w:styleId="IntenseReference">
    <w:name w:val="Intense Reference"/>
    <w:basedOn w:val="DefaultParagraphFont"/>
    <w:uiPriority w:val="32"/>
    <w:qFormat/>
    <w:rsid w:val="008B1E3D"/>
    <w:rPr>
      <w:b/>
      <w:bCs/>
      <w:smallCaps/>
      <w:color w:val="0F4761" w:themeColor="accent1" w:themeShade="BF"/>
      <w:spacing w:val="5"/>
    </w:rPr>
  </w:style>
  <w:style w:type="paragraph" w:customStyle="1" w:styleId="OpinionCitation">
    <w:name w:val="Opinion Citation"/>
    <w:basedOn w:val="Normal"/>
    <w:link w:val="OpinionCitationChar"/>
    <w:qFormat/>
    <w:rsid w:val="008B1E3D"/>
    <w:pPr>
      <w:keepNext/>
      <w:spacing w:after="120"/>
      <w:ind w:firstLine="0"/>
    </w:pPr>
    <w:rPr>
      <w:b/>
    </w:rPr>
  </w:style>
  <w:style w:type="character" w:customStyle="1" w:styleId="OpinionCitationChar">
    <w:name w:val="Opinion Citation Char"/>
    <w:link w:val="OpinionCitation"/>
    <w:rsid w:val="008B1E3D"/>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8B1E3D"/>
    <w:pPr>
      <w:ind w:left="576" w:right="576" w:firstLine="0"/>
    </w:pPr>
  </w:style>
  <w:style w:type="character" w:customStyle="1" w:styleId="BlockquoteChar">
    <w:name w:val="Blockquote Char"/>
    <w:link w:val="Blockquote"/>
    <w:rsid w:val="008B1E3D"/>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8B1E3D"/>
    <w:pPr>
      <w:ind w:firstLine="0"/>
    </w:pPr>
  </w:style>
  <w:style w:type="character" w:customStyle="1" w:styleId="NormalNoIndentChar">
    <w:name w:val="Normal No Indent Char"/>
    <w:link w:val="NormalNoIndent"/>
    <w:rsid w:val="008B1E3D"/>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8B1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E3D"/>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8B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E3D"/>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2378</Words>
  <Characters>13557</Characters>
  <Application>Microsoft Office Word</Application>
  <DocSecurity>0</DocSecurity>
  <Lines>112</Lines>
  <Paragraphs>31</Paragraphs>
  <ScaleCrop>false</ScaleCrop>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1</cp:revision>
  <dcterms:created xsi:type="dcterms:W3CDTF">2024-07-31T00:44:00Z</dcterms:created>
  <dcterms:modified xsi:type="dcterms:W3CDTF">2024-07-31T00:46:00Z</dcterms:modified>
</cp:coreProperties>
</file>