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708C2" w14:textId="77777777" w:rsidR="005F33EA" w:rsidRPr="0058269B" w:rsidRDefault="005F33EA" w:rsidP="005F33EA">
      <w:pPr>
        <w:pStyle w:val="Centered"/>
        <w:rPr>
          <w:rFonts w:ascii="Georgia" w:hAnsi="Georgia"/>
        </w:rPr>
      </w:pPr>
      <w:r w:rsidRPr="0058269B">
        <w:rPr>
          <w:rFonts w:ascii="Georgia" w:hAnsi="Georgia"/>
          <w:noProof/>
        </w:rPr>
        <w:drawing>
          <wp:inline distT="0" distB="0" distL="0" distR="0" wp14:anchorId="45769AA0" wp14:editId="64F6DFE8">
            <wp:extent cx="5561330" cy="3089910"/>
            <wp:effectExtent l="0" t="0" r="0" b="0"/>
            <wp:docPr id="104" name="Picture 80" descr="A computer screen shot of a b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80" descr="A computer screen shot of a be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1330" cy="3089910"/>
                    </a:xfrm>
                    <a:prstGeom prst="rect">
                      <a:avLst/>
                    </a:prstGeom>
                    <a:noFill/>
                    <a:ln>
                      <a:noFill/>
                    </a:ln>
                  </pic:spPr>
                </pic:pic>
              </a:graphicData>
            </a:graphic>
          </wp:inline>
        </w:drawing>
      </w:r>
    </w:p>
    <w:p w14:paraId="5AE7F0F0" w14:textId="77777777" w:rsidR="005F33EA" w:rsidRPr="0058269B" w:rsidRDefault="005F33EA" w:rsidP="0058269B">
      <w:pPr>
        <w:pStyle w:val="Heading7"/>
        <w:jc w:val="center"/>
        <w:rPr>
          <w:rFonts w:ascii="Georgia" w:hAnsi="Georgia"/>
          <w:b/>
          <w:bCs/>
          <w:color w:val="000000" w:themeColor="text1"/>
          <w:sz w:val="32"/>
          <w:szCs w:val="32"/>
        </w:rPr>
      </w:pPr>
      <w:bookmarkStart w:id="0" w:name="_Toc171715795"/>
      <w:r w:rsidRPr="0058269B">
        <w:rPr>
          <w:rFonts w:ascii="Georgia" w:hAnsi="Georgia"/>
          <w:b/>
          <w:bCs/>
          <w:color w:val="000000" w:themeColor="text1"/>
          <w:sz w:val="32"/>
          <w:szCs w:val="32"/>
        </w:rPr>
        <w:t>Select Comfort Corporation v. Baxter</w:t>
      </w:r>
      <w:bookmarkEnd w:id="0"/>
    </w:p>
    <w:p w14:paraId="0F1307B3" w14:textId="77777777" w:rsidR="005F33EA" w:rsidRPr="0058269B" w:rsidRDefault="005F33EA" w:rsidP="0058269B">
      <w:pPr>
        <w:pStyle w:val="OpinionCitation"/>
        <w:jc w:val="center"/>
        <w:rPr>
          <w:rFonts w:ascii="Georgia" w:hAnsi="Georgia"/>
          <w:color w:val="000000" w:themeColor="text1"/>
        </w:rPr>
      </w:pPr>
      <w:r w:rsidRPr="0058269B">
        <w:rPr>
          <w:rFonts w:ascii="Georgia" w:hAnsi="Georgia"/>
          <w:color w:val="000000" w:themeColor="text1"/>
        </w:rPr>
        <w:t>996 F.3d 925 (8th Cir. 2021)</w:t>
      </w:r>
    </w:p>
    <w:p w14:paraId="681B0FB4" w14:textId="77777777" w:rsidR="005F33EA" w:rsidRPr="0058269B" w:rsidRDefault="005F33EA" w:rsidP="005F33EA">
      <w:pPr>
        <w:pStyle w:val="NormalNoIndent"/>
        <w:keepNext/>
        <w:rPr>
          <w:rFonts w:ascii="Georgia" w:hAnsi="Georgia"/>
        </w:rPr>
      </w:pPr>
      <w:r w:rsidRPr="0058269B">
        <w:rPr>
          <w:rFonts w:ascii="Georgia" w:hAnsi="Georgia"/>
        </w:rPr>
        <w:t>MELLOY, Circuit Judge.</w:t>
      </w:r>
    </w:p>
    <w:p w14:paraId="713656A3" w14:textId="6C29E1F1" w:rsidR="005F33EA" w:rsidRPr="0058269B" w:rsidRDefault="005F33EA" w:rsidP="005F33EA">
      <w:pPr>
        <w:rPr>
          <w:rFonts w:ascii="Georgia" w:hAnsi="Georgia"/>
        </w:rPr>
      </w:pPr>
      <w:r w:rsidRPr="0058269B">
        <w:rPr>
          <w:rFonts w:ascii="Georgia" w:hAnsi="Georgia"/>
        </w:rPr>
        <w:t>Plaintiffs and Defendants sell competing adjustable air mattresses and related products. Plaintiffs’ registered trademarks include “SLEEP NUMBER”, “WHAT’S YOUR SLEEP NUMBER”, “SELECT COMFORT”, and “COMFORTAIRE”. Plaintiffs allege Defendants used similar and identical marks in several different capacities online to sell competing products</w:t>
      </w:r>
      <w:proofErr w:type="gramStart"/>
      <w:r w:rsidRPr="0058269B">
        <w:rPr>
          <w:rFonts w:ascii="Georgia" w:hAnsi="Georgia"/>
        </w:rPr>
        <w:t>. . . .</w:t>
      </w:r>
      <w:proofErr w:type="gramEnd"/>
      <w:r w:rsidRPr="0058269B">
        <w:rPr>
          <w:rFonts w:ascii="Georgia" w:hAnsi="Georgia"/>
        </w:rPr>
        <w:t xml:space="preserve"> At summary judgment the district court rejected as a matter of law an infringement theory based on presale or initial-interest confusion. 4 J. McCarthy, </w:t>
      </w:r>
      <w:r w:rsidRPr="0058269B">
        <w:rPr>
          <w:rFonts w:ascii="Georgia" w:hAnsi="Georgia"/>
          <w:i/>
          <w:iCs/>
        </w:rPr>
        <w:t>Trademarks and Unfair Competition</w:t>
      </w:r>
      <w:r w:rsidRPr="0058269B">
        <w:rPr>
          <w:rFonts w:ascii="Georgia" w:hAnsi="Georgia"/>
        </w:rPr>
        <w:t xml:space="preserve">, § 23:6 (4th Ed. 2010) (hereinafter </w:t>
      </w:r>
      <w:r w:rsidRPr="0058269B">
        <w:rPr>
          <w:rFonts w:ascii="Georgia" w:hAnsi="Georgia"/>
          <w:i/>
          <w:iCs/>
        </w:rPr>
        <w:t>McCarthy</w:t>
      </w:r>
      <w:r w:rsidRPr="0058269B">
        <w:rPr>
          <w:rFonts w:ascii="Georgia" w:hAnsi="Georgia"/>
        </w:rPr>
        <w:t>) (initial-interest confusion is “confusion that creates initial customer interest, even though no actual sale is finally completed as a result of the confusion”). The case proceeded to a trial on trademark infringement and dilution claims and on unfair competition and false advertising claims. Consistent with the summary judgment ruling, the district court instructed the jury that infringement liability depended on a showing of a likelihood of confusion at the time of purchase. The trial resulted in a mixed verdict.</w:t>
      </w:r>
    </w:p>
    <w:p w14:paraId="4CA69AC8" w14:textId="4265EEDC" w:rsidR="005F33EA" w:rsidRPr="0058269B" w:rsidRDefault="005F33EA" w:rsidP="005F33EA">
      <w:pPr>
        <w:rPr>
          <w:rFonts w:ascii="Georgia" w:hAnsi="Georgia"/>
        </w:rPr>
      </w:pPr>
      <w:r w:rsidRPr="0058269B">
        <w:rPr>
          <w:rFonts w:ascii="Georgia" w:hAnsi="Georgia"/>
        </w:rPr>
        <w:t>Both sides appeal</w:t>
      </w:r>
      <w:proofErr w:type="gramStart"/>
      <w:r w:rsidRPr="0058269B">
        <w:rPr>
          <w:rFonts w:ascii="Georgia" w:hAnsi="Georgia"/>
        </w:rPr>
        <w:t>. . . .</w:t>
      </w:r>
      <w:proofErr w:type="gramEnd"/>
      <w:r w:rsidRPr="0058269B">
        <w:rPr>
          <w:rFonts w:ascii="Georgia" w:hAnsi="Georgia"/>
        </w:rPr>
        <w:t xml:space="preserve"> Because we conclude the district court erred by finding as a matter of law that the relevant consumers were sophisticated and that a theory of initial-interest confusion could not apply, we reverse</w:t>
      </w:r>
      <w:proofErr w:type="gramStart"/>
      <w:r w:rsidRPr="0058269B">
        <w:rPr>
          <w:rFonts w:ascii="Georgia" w:hAnsi="Georgia"/>
        </w:rPr>
        <w:t>. . . .</w:t>
      </w:r>
      <w:proofErr w:type="gramEnd"/>
    </w:p>
    <w:p w14:paraId="2E8CD654" w14:textId="77777777" w:rsidR="005F33EA" w:rsidRPr="0058269B" w:rsidRDefault="005F33EA" w:rsidP="005F33EA">
      <w:pPr>
        <w:pStyle w:val="Normal-Centered"/>
        <w:rPr>
          <w:rFonts w:ascii="Georgia" w:hAnsi="Georgia"/>
        </w:rPr>
      </w:pPr>
      <w:bookmarkStart w:id="1" w:name="co_anchor_I7904d0e1bcea11ebbf06aef927e0e"/>
      <w:bookmarkEnd w:id="1"/>
      <w:r w:rsidRPr="0058269B">
        <w:rPr>
          <w:rFonts w:ascii="Georgia" w:hAnsi="Georgia"/>
        </w:rPr>
        <w:t>I. Background</w:t>
      </w:r>
    </w:p>
    <w:p w14:paraId="6C072F07" w14:textId="5B8949DC" w:rsidR="005F33EA" w:rsidRPr="0058269B" w:rsidRDefault="005F33EA" w:rsidP="005F33EA">
      <w:pPr>
        <w:rPr>
          <w:rFonts w:ascii="Georgia" w:hAnsi="Georgia"/>
        </w:rPr>
      </w:pPr>
      <w:r w:rsidRPr="0058269B">
        <w:rPr>
          <w:rFonts w:ascii="Georgia" w:hAnsi="Georgia"/>
        </w:rPr>
        <w:lastRenderedPageBreak/>
        <w:t xml:space="preserve">Plaintiffs are the owners of the heavily advertised Select Comfort and Sleep Number brands of adjustable air mattresses sold online, over the phone, and (primarily) through hundreds of company-owned stores nationwide. Defendant Dires, LLC, and its principals and predecessor or affiliated companies, </w:t>
      </w:r>
      <w:proofErr w:type="gramStart"/>
      <w:r w:rsidRPr="0058269B">
        <w:rPr>
          <w:rFonts w:ascii="Georgia" w:hAnsi="Georgia"/>
        </w:rPr>
        <w:t>actually made</w:t>
      </w:r>
      <w:proofErr w:type="gramEnd"/>
      <w:r w:rsidRPr="0058269B">
        <w:rPr>
          <w:rFonts w:ascii="Georgia" w:hAnsi="Georgia"/>
        </w:rPr>
        <w:t xml:space="preserve"> adjustable air beds at an earlier date. Defendants have evolved into an online retailer (“personalcomfortbed.com”) that utilizes internet advertising and a call-center-based sales model to sell their own brand of lower-priced adjustable air beds. The individual defendants are executives or owners of Dires or related companies, all of whom had input into marketing strategy and advertising design. Defendants are a distant second to Plaintiffs in adjustable-bed sales volume.</w:t>
      </w:r>
    </w:p>
    <w:p w14:paraId="6AA40990" w14:textId="3CE351E4" w:rsidR="005F33EA" w:rsidRPr="0058269B" w:rsidRDefault="005F33EA" w:rsidP="005F33EA">
      <w:pPr>
        <w:rPr>
          <w:rFonts w:ascii="Georgia" w:hAnsi="Georgia"/>
        </w:rPr>
      </w:pPr>
      <w:r w:rsidRPr="0058269B">
        <w:rPr>
          <w:rFonts w:ascii="Georgia" w:hAnsi="Georgia"/>
        </w:rPr>
        <w:t xml:space="preserve">Plaintiffs’ overall theory of the case alleges Defendants employed words or phrases identical or confusingly similar to Plaintiffs trademarks in various online advertising formats </w:t>
      </w:r>
      <w:proofErr w:type="gramStart"/>
      <w:r w:rsidRPr="0058269B">
        <w:rPr>
          <w:rFonts w:ascii="Georgia" w:hAnsi="Georgia"/>
        </w:rPr>
        <w:t>including:</w:t>
      </w:r>
      <w:proofErr w:type="gramEnd"/>
      <w:r w:rsidRPr="0058269B">
        <w:rPr>
          <w:rFonts w:ascii="Georgia" w:hAnsi="Georgia"/>
        </w:rPr>
        <w:t xml:space="preserve"> website </w:t>
      </w:r>
      <w:proofErr w:type="spellStart"/>
      <w:r w:rsidRPr="0058269B">
        <w:rPr>
          <w:rFonts w:ascii="Georgia" w:hAnsi="Georgia"/>
        </w:rPr>
        <w:t>urls</w:t>
      </w:r>
      <w:proofErr w:type="spellEnd"/>
      <w:r w:rsidRPr="0058269B">
        <w:rPr>
          <w:rFonts w:ascii="Georgia" w:hAnsi="Georgia"/>
        </w:rPr>
        <w:t xml:space="preserve">; search inquiry paid terms; embedded links in third-party sites; and general use of identical or similar phrases in text advertisements or combined graphic-and-text advertisements that could be viewed by users or detected organically by search engines. According to Plaintiffs, Defendants used these means to divert customers to their own website and phone lines where Defendants (1) failed to dispel consumer confusion or made statements that caused further source confusion and (2) made false representations about their own products and Plaintiffs’ products </w:t>
      </w:r>
      <w:proofErr w:type="gramStart"/>
      <w:r w:rsidRPr="0058269B">
        <w:rPr>
          <w:rFonts w:ascii="Georgia" w:hAnsi="Georgia"/>
        </w:rPr>
        <w:t>in order to</w:t>
      </w:r>
      <w:proofErr w:type="gramEnd"/>
      <w:r w:rsidRPr="0058269B">
        <w:rPr>
          <w:rFonts w:ascii="Georgia" w:hAnsi="Georgia"/>
        </w:rPr>
        <w:t xml:space="preserve"> promote their own products. In this way, Plaintiffs assert trademark infringement, trademark dilution, and false-advertising theories that rely upon common facts.</w:t>
      </w:r>
    </w:p>
    <w:p w14:paraId="320FDA6A" w14:textId="77C970EA" w:rsidR="005F33EA" w:rsidRPr="0058269B" w:rsidRDefault="005F33EA" w:rsidP="005F33EA">
      <w:pPr>
        <w:rPr>
          <w:rFonts w:ascii="Georgia" w:hAnsi="Georgia"/>
        </w:rPr>
      </w:pPr>
      <w:r w:rsidRPr="0058269B">
        <w:rPr>
          <w:rFonts w:ascii="Georgia" w:hAnsi="Georgia"/>
        </w:rPr>
        <w:t>As relevant to claims on appeal, Plaintiffs asserted federal trademark infringement and dilution claims based on their registered trademarks, federal unfair competition and false advertising claims, and a state law deceptive trade practices claim. In a declaratory judgment counterclaim, Defendants . . . argued Plaintiffs could not maintain an infringement claim based on presale or initial-interest confusion. Both parties sought summary judgment.</w:t>
      </w:r>
    </w:p>
    <w:p w14:paraId="253AED13" w14:textId="05FDC017" w:rsidR="005F33EA" w:rsidRPr="0058269B" w:rsidRDefault="005F33EA" w:rsidP="005F33EA">
      <w:pPr>
        <w:rPr>
          <w:rFonts w:ascii="Georgia" w:hAnsi="Georgia"/>
        </w:rPr>
      </w:pPr>
      <w:r w:rsidRPr="0058269B">
        <w:rPr>
          <w:rFonts w:ascii="Georgia" w:hAnsi="Georgia"/>
        </w:rPr>
        <w:t>In summary judgment rulings, the district court found . . . [r]</w:t>
      </w:r>
      <w:proofErr w:type="spellStart"/>
      <w:r w:rsidRPr="0058269B">
        <w:rPr>
          <w:rFonts w:ascii="Georgia" w:hAnsi="Georgia"/>
        </w:rPr>
        <w:t>egarding</w:t>
      </w:r>
      <w:proofErr w:type="spellEnd"/>
      <w:r w:rsidRPr="0058269B">
        <w:rPr>
          <w:rFonts w:ascii="Georgia" w:hAnsi="Georgia"/>
        </w:rPr>
        <w:t xml:space="preserve"> trademark </w:t>
      </w:r>
      <w:proofErr w:type="gramStart"/>
      <w:r w:rsidRPr="0058269B">
        <w:rPr>
          <w:rFonts w:ascii="Georgia" w:hAnsi="Georgia"/>
        </w:rPr>
        <w:t>infringement .</w:t>
      </w:r>
      <w:proofErr w:type="gramEnd"/>
      <w:r w:rsidRPr="0058269B">
        <w:rPr>
          <w:rFonts w:ascii="Georgia" w:hAnsi="Georgia"/>
        </w:rPr>
        <w:t xml:space="preserve"> . that outstanding questions of fact precluded summary judgment. Regarding the specific question of trademark infringement in the form of initial-interest confusion, the district court first noted that Plaintiffs expressly disavowed any theory of trademark infringement that relied exclusively on Defendants’ use of Plaintiffs’ trademarks as paid search terms with search engine providers such as Google. Rather, Plaintiffs alleged infringement based on that use coupled with Defendants’ several and varied other uses of similar and identical trademarks in multiple forms of online advertising. The district court then relied on our case, </w:t>
      </w:r>
      <w:r w:rsidRPr="0058269B">
        <w:rPr>
          <w:rFonts w:ascii="Georgia" w:hAnsi="Georgia"/>
          <w:i/>
          <w:iCs/>
        </w:rPr>
        <w:t xml:space="preserve">Sensient Techs. Corp. v. </w:t>
      </w:r>
      <w:proofErr w:type="spellStart"/>
      <w:r w:rsidRPr="0058269B">
        <w:rPr>
          <w:rFonts w:ascii="Georgia" w:hAnsi="Georgia"/>
          <w:i/>
          <w:iCs/>
        </w:rPr>
        <w:t>SensoryEffects</w:t>
      </w:r>
      <w:proofErr w:type="spellEnd"/>
      <w:r w:rsidRPr="0058269B">
        <w:rPr>
          <w:rFonts w:ascii="Georgia" w:hAnsi="Georgia"/>
          <w:i/>
          <w:iCs/>
        </w:rPr>
        <w:t xml:space="preserve"> Flavor Co</w:t>
      </w:r>
      <w:r w:rsidRPr="0058269B">
        <w:rPr>
          <w:rFonts w:ascii="Georgia" w:hAnsi="Georgia"/>
        </w:rPr>
        <w:t>., 613 F.3d 754 (8th Cir. 2010), noting that the Eighth Circuit had neither expressly adopted nor rejected a theory of initial-interest confusion as a general matter, but had refused to apply the theory in a case where consumers were sophisticated.</w:t>
      </w:r>
    </w:p>
    <w:p w14:paraId="60A5C033" w14:textId="72BEE83A" w:rsidR="005F33EA" w:rsidRPr="0058269B" w:rsidRDefault="005F33EA" w:rsidP="005F33EA">
      <w:pPr>
        <w:rPr>
          <w:rFonts w:ascii="Georgia" w:hAnsi="Georgia"/>
        </w:rPr>
      </w:pPr>
      <w:r w:rsidRPr="0058269B">
        <w:rPr>
          <w:rFonts w:ascii="Georgia" w:hAnsi="Georgia"/>
        </w:rPr>
        <w:lastRenderedPageBreak/>
        <w:t>The District Court next held as a matter of law that retail purchasers of mattresses were sophisticated consumers because mattresses are expensive. As a result, the District Court held as a matter of law that a claim alleging initial-interest confusion could not proceed and Plaintiffs would have to show a likelihood of confusion at the time of purchase</w:t>
      </w:r>
      <w:proofErr w:type="gramStart"/>
      <w:r w:rsidRPr="0058269B">
        <w:rPr>
          <w:rFonts w:ascii="Georgia" w:hAnsi="Georgia"/>
        </w:rPr>
        <w:t>. . . .</w:t>
      </w:r>
      <w:proofErr w:type="gramEnd"/>
    </w:p>
    <w:p w14:paraId="51CB5D9C" w14:textId="20DFE9EA" w:rsidR="005F33EA" w:rsidRPr="0058269B" w:rsidRDefault="005F33EA" w:rsidP="005F33EA">
      <w:pPr>
        <w:rPr>
          <w:rFonts w:ascii="Georgia" w:hAnsi="Georgia"/>
        </w:rPr>
      </w:pPr>
      <w:r w:rsidRPr="0058269B">
        <w:rPr>
          <w:rFonts w:ascii="Georgia" w:hAnsi="Georgia"/>
        </w:rPr>
        <w:t xml:space="preserve">At trial, Plaintiffs presented evidence which showed Defendants had used Plaintiffs’ actual trademarks as paid search terms and as identical phrases in their own web-based advertising in text pages, combined text and graphical pages, as terms embedded in linked internet address </w:t>
      </w:r>
      <w:proofErr w:type="spellStart"/>
      <w:r w:rsidRPr="0058269B">
        <w:rPr>
          <w:rFonts w:ascii="Georgia" w:hAnsi="Georgia"/>
        </w:rPr>
        <w:t>urls</w:t>
      </w:r>
      <w:proofErr w:type="spellEnd"/>
      <w:r w:rsidRPr="0058269B">
        <w:rPr>
          <w:rFonts w:ascii="Georgia" w:hAnsi="Georgia"/>
        </w:rPr>
        <w:t xml:space="preserve">, and in other fashions. Examples included website links that presented Plaintiffs’ trademarks as identical phrases (e.g. </w:t>
      </w:r>
      <w:r w:rsidRPr="0058269B">
        <w:rPr>
          <w:rFonts w:ascii="Georgia" w:hAnsi="Georgia"/>
          <w:u w:val="single"/>
        </w:rPr>
        <w:t>personalcomfortbed.com/</w:t>
      </w:r>
      <w:proofErr w:type="spellStart"/>
      <w:r w:rsidRPr="0058269B">
        <w:rPr>
          <w:rFonts w:ascii="Georgia" w:hAnsi="Georgia"/>
          <w:u w:val="single"/>
        </w:rPr>
        <w:t>vSleepNumber</w:t>
      </w:r>
      <w:proofErr w:type="spellEnd"/>
      <w:r w:rsidRPr="0058269B">
        <w:rPr>
          <w:rFonts w:ascii="Georgia" w:hAnsi="Georgia"/>
        </w:rPr>
        <w:t xml:space="preserve"> or </w:t>
      </w:r>
      <w:r w:rsidRPr="0058269B">
        <w:rPr>
          <w:rFonts w:ascii="Georgia" w:hAnsi="Georgia"/>
          <w:u w:val="single"/>
        </w:rPr>
        <w:t xml:space="preserve">www.personalcomfortbed.com/ </w:t>
      </w:r>
      <w:proofErr w:type="spellStart"/>
      <w:r w:rsidRPr="0058269B">
        <w:rPr>
          <w:rFonts w:ascii="Georgia" w:hAnsi="Georgia"/>
          <w:u w:val="single"/>
        </w:rPr>
        <w:t>cComfortaire</w:t>
      </w:r>
      <w:proofErr w:type="spellEnd"/>
      <w:r w:rsidRPr="0058269B">
        <w:rPr>
          <w:rFonts w:ascii="Georgia" w:hAnsi="Georgia"/>
        </w:rPr>
        <w:t xml:space="preserve">). In addition, Defendants used phrases </w:t>
      </w:r>
      <w:proofErr w:type="gramStart"/>
      <w:r w:rsidRPr="0058269B">
        <w:rPr>
          <w:rFonts w:ascii="Georgia" w:hAnsi="Georgia"/>
        </w:rPr>
        <w:t>similar to</w:t>
      </w:r>
      <w:proofErr w:type="gramEnd"/>
      <w:r w:rsidRPr="0058269B">
        <w:rPr>
          <w:rFonts w:ascii="Georgia" w:hAnsi="Georgia"/>
        </w:rPr>
        <w:t xml:space="preserve"> Plaintiffs’ trademarks, often with words broken up in a grammatically non-sensical fashion. Examples included the use of terms such as “Sleep 55% Off Number Beds” and “Comfort Air Beds on Sale” in online advertisements. Survey evidence demonstrated actual consumer confusion, although the parties disputed the relevancy and value of the survey evidence based on percentages of participants who were confused, whether the survey participants were actual or potential consumers, and how the questions were presented. Evidence also included instances of actual confusion, often from transcripts of call-center interactions, messages from customers, or messages from call-center employees. The transcripts and recordings of call-center interactions appeared to show that Defendants’ call-center employees at times attempted to promote confusion and at other times attempted to dispel confusion. Finally, evidence included statements from Defendants’ principals in which they described confusion as between Plaintiffs’ and Defendants’ brands as a “good thing” and, in response to reports of confusion, indicated that their advertisements were “working.”</w:t>
      </w:r>
    </w:p>
    <w:p w14:paraId="01D317E5" w14:textId="491D7EC3" w:rsidR="005F33EA" w:rsidRPr="0058269B" w:rsidRDefault="005F33EA" w:rsidP="005F33EA">
      <w:pPr>
        <w:rPr>
          <w:rFonts w:ascii="Georgia" w:hAnsi="Georgia"/>
        </w:rPr>
      </w:pPr>
      <w:r w:rsidRPr="0058269B">
        <w:rPr>
          <w:rFonts w:ascii="Georgia" w:hAnsi="Georgia"/>
        </w:rPr>
        <w:t>At the end of the day, the district court submitted the case to the jury. Based on the summary judgment ruling, the district court instructed the jury that a likelihood of confusion must exist at the time of purchase to support a trademark infringement claim</w:t>
      </w:r>
      <w:proofErr w:type="gramStart"/>
      <w:r w:rsidRPr="0058269B">
        <w:rPr>
          <w:rFonts w:ascii="Georgia" w:hAnsi="Georgia"/>
        </w:rPr>
        <w:t>. . . .</w:t>
      </w:r>
      <w:proofErr w:type="gramEnd"/>
    </w:p>
    <w:p w14:paraId="1A486716" w14:textId="0B94E6FE" w:rsidR="005F33EA" w:rsidRPr="0058269B" w:rsidRDefault="005F33EA" w:rsidP="005F33EA">
      <w:pPr>
        <w:rPr>
          <w:rFonts w:ascii="Georgia" w:hAnsi="Georgia"/>
        </w:rPr>
      </w:pPr>
      <w:r w:rsidRPr="0058269B">
        <w:rPr>
          <w:rFonts w:ascii="Georgia" w:hAnsi="Georgia"/>
        </w:rPr>
        <w:t>The jury rejected the trademark infringement claims as to the registered trademarks based on the jury instruction that limited the possibility of a likelihood of confusion to the time of purchase</w:t>
      </w:r>
      <w:proofErr w:type="gramStart"/>
      <w:r w:rsidRPr="0058269B">
        <w:rPr>
          <w:rFonts w:ascii="Georgia" w:hAnsi="Georgia"/>
        </w:rPr>
        <w:t>. . . .</w:t>
      </w:r>
      <w:proofErr w:type="gramEnd"/>
    </w:p>
    <w:p w14:paraId="66A787FD" w14:textId="77777777" w:rsidR="005F33EA" w:rsidRPr="0058269B" w:rsidRDefault="005F33EA" w:rsidP="005F33EA">
      <w:pPr>
        <w:pStyle w:val="Normal-Centered"/>
        <w:rPr>
          <w:rFonts w:ascii="Georgia" w:hAnsi="Georgia"/>
        </w:rPr>
      </w:pPr>
      <w:r w:rsidRPr="0058269B">
        <w:rPr>
          <w:rFonts w:ascii="Georgia" w:hAnsi="Georgia"/>
        </w:rPr>
        <w:t>II. Discussion</w:t>
      </w:r>
    </w:p>
    <w:p w14:paraId="4418F350" w14:textId="77777777" w:rsidR="005F33EA" w:rsidRPr="0058269B" w:rsidRDefault="005F33EA" w:rsidP="005F33EA">
      <w:pPr>
        <w:rPr>
          <w:rFonts w:ascii="Georgia" w:hAnsi="Georgia"/>
        </w:rPr>
      </w:pPr>
      <w:bookmarkStart w:id="2" w:name="co_anchor_I790964c1bcea11ebbf06aef927e0e"/>
      <w:bookmarkEnd w:id="2"/>
      <w:r w:rsidRPr="0058269B">
        <w:rPr>
          <w:rFonts w:ascii="Georgia" w:hAnsi="Georgia"/>
        </w:rPr>
        <w:t>A. Initial-Interest Confusion</w:t>
      </w:r>
    </w:p>
    <w:p w14:paraId="0C3B2E50" w14:textId="6A6E642E" w:rsidR="005F33EA" w:rsidRPr="0058269B" w:rsidRDefault="005F33EA" w:rsidP="005F33EA">
      <w:pPr>
        <w:rPr>
          <w:rFonts w:ascii="Georgia" w:hAnsi="Georgia"/>
        </w:rPr>
      </w:pPr>
      <w:bookmarkStart w:id="3" w:name="co_anchor_B12053611497_1"/>
      <w:bookmarkStart w:id="4" w:name="co_anchor_B22053611497_1"/>
      <w:bookmarkEnd w:id="3"/>
      <w:bookmarkEnd w:id="4"/>
      <w:r w:rsidRPr="0058269B">
        <w:rPr>
          <w:rFonts w:ascii="Georgia" w:hAnsi="Georgia"/>
        </w:rPr>
        <w:t xml:space="preserve">The primary issue in this appeal is the availability of a theory of initial-interest confusion on the trademark infringement claim and the resulting limitation in the instruction requiring any likelihood of confusion to exist at the time of purchase. As noted, initial-interest confusion is “confusion that creates initial customer </w:t>
      </w:r>
      <w:r w:rsidRPr="0058269B">
        <w:rPr>
          <w:rFonts w:ascii="Georgia" w:hAnsi="Georgia"/>
        </w:rPr>
        <w:lastRenderedPageBreak/>
        <w:t xml:space="preserve">interest, even though no actual sale is finally completed as a result of the confusion.” 4 </w:t>
      </w:r>
      <w:r w:rsidRPr="0058269B">
        <w:rPr>
          <w:rFonts w:ascii="Georgia" w:hAnsi="Georgia"/>
          <w:i/>
          <w:iCs/>
        </w:rPr>
        <w:t>McCarthy</w:t>
      </w:r>
      <w:r w:rsidRPr="0058269B">
        <w:rPr>
          <w:rFonts w:ascii="Georgia" w:hAnsi="Georgia"/>
        </w:rPr>
        <w:t xml:space="preserve"> § 23:6. Most circuits that have addressed the question “recognize the initial interest confusion theory as a form of likelihood of confusion which can trigger a finding of infringement.” </w:t>
      </w:r>
      <w:r w:rsidRPr="0058269B">
        <w:rPr>
          <w:rFonts w:ascii="Georgia" w:hAnsi="Georgia"/>
          <w:i/>
          <w:iCs/>
        </w:rPr>
        <w:t>Id</w:t>
      </w:r>
      <w:r w:rsidRPr="0058269B">
        <w:rPr>
          <w:rFonts w:ascii="Georgia" w:hAnsi="Georgia"/>
          <w:u w:val="single"/>
        </w:rPr>
        <w:t>.</w:t>
      </w:r>
      <w:r w:rsidRPr="0058269B">
        <w:rPr>
          <w:rFonts w:ascii="Georgia" w:hAnsi="Georgia"/>
        </w:rPr>
        <w:t xml:space="preserve"> (collecting cases). In general, the theory of initial-interest confusion recognizes that a senior user’s goodwill </w:t>
      </w:r>
      <w:proofErr w:type="gramStart"/>
      <w:r w:rsidRPr="0058269B">
        <w:rPr>
          <w:rFonts w:ascii="Georgia" w:hAnsi="Georgia"/>
        </w:rPr>
        <w:t>holds value at all times</w:t>
      </w:r>
      <w:proofErr w:type="gramEnd"/>
      <w:r w:rsidRPr="0058269B">
        <w:rPr>
          <w:rFonts w:ascii="Georgia" w:hAnsi="Georgia"/>
        </w:rPr>
        <w:t xml:space="preserve">, not merely at the moment of purchase. The theory protects against the threat of a competitor “receiving a ‘free ride on the goodwill’ of [an] established mark.” </w:t>
      </w:r>
      <w:r w:rsidRPr="0058269B">
        <w:rPr>
          <w:rFonts w:ascii="Georgia" w:hAnsi="Georgia"/>
          <w:i/>
          <w:iCs/>
        </w:rPr>
        <w:t>Checkpoint Systems, Inc. v. Check Point Software Technologies, Inc</w:t>
      </w:r>
      <w:r w:rsidRPr="0058269B">
        <w:rPr>
          <w:rFonts w:ascii="Georgia" w:hAnsi="Georgia"/>
        </w:rPr>
        <w:t xml:space="preserve">., 269 F.3d 270, 295 (3d Cir. 2001) (quoting </w:t>
      </w:r>
      <w:r w:rsidRPr="0058269B">
        <w:rPr>
          <w:rFonts w:ascii="Georgia" w:hAnsi="Georgia"/>
          <w:i/>
          <w:iCs/>
        </w:rPr>
        <w:t>Mobil Oil Corp. v. Pegasus Petroleum Corp</w:t>
      </w:r>
      <w:r w:rsidRPr="0058269B">
        <w:rPr>
          <w:rFonts w:ascii="Georgia" w:hAnsi="Georgia"/>
        </w:rPr>
        <w:t xml:space="preserve">., 818 F.2d 254, 260 (2d Cir. 1987)). This free ride may result in the consumer falsely inferring an affiliation between the junior and senior users, provide the junior user with an opportunity it otherwise would not have achieved, or deprive the senior user of an actual opportunity. </w:t>
      </w:r>
      <w:r w:rsidRPr="0058269B">
        <w:rPr>
          <w:rFonts w:ascii="Georgia" w:hAnsi="Georgia"/>
          <w:i/>
          <w:iCs/>
        </w:rPr>
        <w:t>Id</w:t>
      </w:r>
      <w:r w:rsidRPr="0058269B">
        <w:rPr>
          <w:rFonts w:ascii="Georgia" w:hAnsi="Georgia"/>
        </w:rPr>
        <w:t xml:space="preserve">. at 293–95. At least one circuit has “equated initial interest confusion to a ‘bait and switch scheme.’” </w:t>
      </w:r>
      <w:r w:rsidRPr="0058269B">
        <w:rPr>
          <w:rFonts w:ascii="Georgia" w:hAnsi="Georgia"/>
          <w:i/>
          <w:iCs/>
        </w:rPr>
        <w:t>Id</w:t>
      </w:r>
      <w:r w:rsidRPr="0058269B">
        <w:rPr>
          <w:rFonts w:ascii="Georgia" w:hAnsi="Georgia"/>
        </w:rPr>
        <w:t xml:space="preserve">. at 294 (quoting </w:t>
      </w:r>
      <w:r w:rsidRPr="0058269B">
        <w:rPr>
          <w:rFonts w:ascii="Georgia" w:hAnsi="Georgia"/>
          <w:i/>
          <w:iCs/>
        </w:rPr>
        <w:t>Dorr-Oliver, Inc. v. Fluid Quip, Inc.</w:t>
      </w:r>
      <w:r w:rsidRPr="0058269B">
        <w:rPr>
          <w:rFonts w:ascii="Georgia" w:hAnsi="Georgia"/>
        </w:rPr>
        <w:t>, 94 F.3d 376, 382 (7th Cir. 1996)).</w:t>
      </w:r>
    </w:p>
    <w:p w14:paraId="556C7C44" w14:textId="2806249C" w:rsidR="005F33EA" w:rsidRPr="0058269B" w:rsidRDefault="005F33EA" w:rsidP="005F33EA">
      <w:pPr>
        <w:rPr>
          <w:rFonts w:ascii="Georgia" w:hAnsi="Georgia"/>
        </w:rPr>
      </w:pPr>
      <w:r w:rsidRPr="0058269B">
        <w:rPr>
          <w:rFonts w:ascii="Georgia" w:hAnsi="Georgia"/>
        </w:rPr>
        <w:t xml:space="preserve">In the present case, the parties dispute as a general matter whether a theory of initial-interest confusion is a viable theory of infringement in our circuit. They also dispute whether the relevant consumers—consumers investigating mattresses and online shoppers in general—are so sophisticated that the issue of consumer sophistication could properly be removed from the jury. To address these questions, it is necessary first to review more generally the test for confusion and what our Court has said about </w:t>
      </w:r>
      <w:r w:rsidRPr="0058269B">
        <w:rPr>
          <w:rFonts w:ascii="Georgia" w:hAnsi="Georgia"/>
          <w:i/>
          <w:iCs/>
        </w:rPr>
        <w:t>when</w:t>
      </w:r>
      <w:r w:rsidRPr="0058269B">
        <w:rPr>
          <w:rFonts w:ascii="Georgia" w:hAnsi="Georgia"/>
        </w:rPr>
        <w:t xml:space="preserve"> confusion must exist.</w:t>
      </w:r>
    </w:p>
    <w:p w14:paraId="3DE8284D" w14:textId="77777777" w:rsidR="005F33EA" w:rsidRPr="0058269B" w:rsidRDefault="005F33EA" w:rsidP="005F33EA">
      <w:pPr>
        <w:rPr>
          <w:rFonts w:ascii="Georgia" w:hAnsi="Georgia"/>
        </w:rPr>
      </w:pPr>
      <w:bookmarkStart w:id="5" w:name="co_anchor_B32053611497_1"/>
      <w:bookmarkEnd w:id="5"/>
      <w:r w:rsidRPr="0058269B">
        <w:rPr>
          <w:rFonts w:ascii="Georgia" w:hAnsi="Georgia"/>
        </w:rPr>
        <w:t>. . . .</w:t>
      </w:r>
    </w:p>
    <w:p w14:paraId="0E5EE585" w14:textId="0EB73DBB" w:rsidR="005F33EA" w:rsidRPr="0058269B" w:rsidRDefault="005F33EA" w:rsidP="005F33EA">
      <w:pPr>
        <w:rPr>
          <w:rFonts w:ascii="Georgia" w:hAnsi="Georgia"/>
        </w:rPr>
      </w:pPr>
      <w:r w:rsidRPr="0058269B">
        <w:rPr>
          <w:rFonts w:ascii="Georgia" w:hAnsi="Georgia"/>
        </w:rPr>
        <w:t>To assess the likelihood of confusion as required for a showing of infringement, our circuit employs a list of nonexclusive factors for addressing a core inquiry: whether the relevant average consumers for a product or service are likely to be confused as to the source of a product or service or as to an affiliation between sources based on a defendant’s use</w:t>
      </w:r>
      <w:proofErr w:type="gramStart"/>
      <w:r w:rsidRPr="0058269B">
        <w:rPr>
          <w:rFonts w:ascii="Georgia" w:hAnsi="Georgia"/>
        </w:rPr>
        <w:t>. . . .</w:t>
      </w:r>
      <w:proofErr w:type="gramEnd"/>
      <w:r w:rsidRPr="0058269B">
        <w:rPr>
          <w:rFonts w:ascii="Georgia" w:hAnsi="Georgia"/>
        </w:rPr>
        <w:t xml:space="preserve"> The factors we consider come from </w:t>
      </w:r>
      <w:proofErr w:type="spellStart"/>
      <w:r w:rsidRPr="0058269B">
        <w:rPr>
          <w:rFonts w:ascii="Georgia" w:hAnsi="Georgia"/>
          <w:i/>
          <w:iCs/>
        </w:rPr>
        <w:t>SquirtCo</w:t>
      </w:r>
      <w:proofErr w:type="spellEnd"/>
      <w:r w:rsidRPr="0058269B">
        <w:rPr>
          <w:rFonts w:ascii="Georgia" w:hAnsi="Georgia"/>
          <w:i/>
          <w:iCs/>
        </w:rPr>
        <w:t xml:space="preserve"> v. Seven–Up Co.</w:t>
      </w:r>
      <w:r w:rsidRPr="0058269B">
        <w:rPr>
          <w:rFonts w:ascii="Georgia" w:hAnsi="Georgia"/>
        </w:rPr>
        <w:t xml:space="preserve">, 628 F.2d 1086, 1091 (8th Cir. </w:t>
      </w:r>
      <w:proofErr w:type="gramStart"/>
      <w:r w:rsidRPr="0058269B">
        <w:rPr>
          <w:rFonts w:ascii="Georgia" w:hAnsi="Georgia"/>
        </w:rPr>
        <w:t>1980). . .</w:t>
      </w:r>
      <w:proofErr w:type="gramEnd"/>
      <w:r w:rsidRPr="0058269B">
        <w:rPr>
          <w:rFonts w:ascii="Georgia" w:hAnsi="Georgia"/>
        </w:rPr>
        <w:t> .</w:t>
      </w:r>
    </w:p>
    <w:p w14:paraId="6997E718" w14:textId="26C7E63C" w:rsidR="005F33EA" w:rsidRPr="0058269B" w:rsidRDefault="005F33EA" w:rsidP="005F33EA">
      <w:pPr>
        <w:rPr>
          <w:rFonts w:ascii="Georgia" w:hAnsi="Georgia"/>
        </w:rPr>
      </w:pPr>
      <w:r w:rsidRPr="0058269B">
        <w:rPr>
          <w:rFonts w:ascii="Georgia" w:hAnsi="Georgia"/>
        </w:rPr>
        <w:t>This flexible, context-specific, and relative-rather-than-mechanical approach makes sense because the general function of the likelihood-of-confusion factors is to guide the finder of fact towards considerations generally thought to be material to the consuming public’s understanding of product source or affiliation</w:t>
      </w:r>
      <w:proofErr w:type="gramStart"/>
      <w:r w:rsidRPr="0058269B">
        <w:rPr>
          <w:rFonts w:ascii="Georgia" w:hAnsi="Georgia"/>
        </w:rPr>
        <w:t>. . . .</w:t>
      </w:r>
      <w:proofErr w:type="gramEnd"/>
    </w:p>
    <w:p w14:paraId="03898460" w14:textId="5DD84138" w:rsidR="005F33EA" w:rsidRPr="0058269B" w:rsidRDefault="005F33EA" w:rsidP="005F33EA">
      <w:pPr>
        <w:rPr>
          <w:rFonts w:ascii="Georgia" w:hAnsi="Georgia"/>
        </w:rPr>
      </w:pPr>
      <w:bookmarkStart w:id="6" w:name="co_anchor_B42053611497_1"/>
      <w:bookmarkStart w:id="7" w:name="co_anchor_B52053611497_1"/>
      <w:bookmarkEnd w:id="6"/>
      <w:bookmarkEnd w:id="7"/>
      <w:r w:rsidRPr="0058269B">
        <w:rPr>
          <w:rFonts w:ascii="Georgia" w:hAnsi="Georgia"/>
        </w:rPr>
        <w:t xml:space="preserve">Although our test for a likelihood of confusion is well-developed, some uncertainty remains as to </w:t>
      </w:r>
      <w:r w:rsidRPr="0058269B">
        <w:rPr>
          <w:rFonts w:ascii="Georgia" w:hAnsi="Georgia"/>
          <w:i/>
          <w:iCs/>
        </w:rPr>
        <w:t>when</w:t>
      </w:r>
      <w:r w:rsidRPr="0058269B">
        <w:rPr>
          <w:rFonts w:ascii="Georgia" w:hAnsi="Georgia"/>
        </w:rPr>
        <w:t xml:space="preserve"> confusion must exist </w:t>
      </w:r>
      <w:proofErr w:type="gramStart"/>
      <w:r w:rsidRPr="0058269B">
        <w:rPr>
          <w:rFonts w:ascii="Georgia" w:hAnsi="Georgia"/>
        </w:rPr>
        <w:t>in order to</w:t>
      </w:r>
      <w:proofErr w:type="gramEnd"/>
      <w:r w:rsidRPr="0058269B">
        <w:rPr>
          <w:rFonts w:ascii="Georgia" w:hAnsi="Georgia"/>
        </w:rPr>
        <w:t xml:space="preserve"> support a trademark infringement claim. </w:t>
      </w:r>
      <w:r w:rsidRPr="0058269B">
        <w:rPr>
          <w:rFonts w:ascii="Georgia" w:hAnsi="Georgia"/>
          <w:i/>
          <w:iCs/>
        </w:rPr>
        <w:t>Sensient</w:t>
      </w:r>
      <w:r w:rsidRPr="0058269B">
        <w:rPr>
          <w:rFonts w:ascii="Georgia" w:hAnsi="Georgia"/>
        </w:rPr>
        <w:t xml:space="preserve">, 613 F.3d at 766. Although not addressing initial-interest confusion specifically, our Court has clearly established that claims of infringement are </w:t>
      </w:r>
      <w:r w:rsidRPr="0058269B">
        <w:rPr>
          <w:rFonts w:ascii="Georgia" w:hAnsi="Georgia"/>
          <w:i/>
          <w:iCs/>
        </w:rPr>
        <w:t>not limited</w:t>
      </w:r>
      <w:r w:rsidRPr="0058269B">
        <w:rPr>
          <w:rFonts w:ascii="Georgia" w:hAnsi="Georgia"/>
        </w:rPr>
        <w:t xml:space="preserve"> solely to a likelihood of confusion at the time of purchase. </w:t>
      </w:r>
      <w:r w:rsidRPr="0058269B">
        <w:rPr>
          <w:rFonts w:ascii="Georgia" w:hAnsi="Georgia"/>
          <w:i/>
          <w:iCs/>
        </w:rPr>
        <w:t xml:space="preserve">See </w:t>
      </w:r>
      <w:proofErr w:type="spellStart"/>
      <w:r w:rsidRPr="0058269B">
        <w:rPr>
          <w:rFonts w:ascii="Georgia" w:hAnsi="Georgia"/>
          <w:i/>
          <w:iCs/>
        </w:rPr>
        <w:t>Insty</w:t>
      </w:r>
      <w:proofErr w:type="spellEnd"/>
      <w:r w:rsidRPr="0058269B">
        <w:rPr>
          <w:rFonts w:ascii="Georgia" w:hAnsi="Georgia"/>
          <w:i/>
          <w:iCs/>
        </w:rPr>
        <w:t>*Bit, Inc. v. Poly-Tech Indus.</w:t>
      </w:r>
      <w:r w:rsidRPr="0058269B">
        <w:rPr>
          <w:rFonts w:ascii="Georgia" w:hAnsi="Georgia"/>
        </w:rPr>
        <w:t xml:space="preserve">, 95 F.3d 663, 671–72 (8th Cir. </w:t>
      </w:r>
      <w:r w:rsidRPr="0058269B">
        <w:rPr>
          <w:rFonts w:ascii="Georgia" w:hAnsi="Georgia"/>
        </w:rPr>
        <w:lastRenderedPageBreak/>
        <w:t xml:space="preserve">1996). In </w:t>
      </w:r>
      <w:proofErr w:type="spellStart"/>
      <w:r w:rsidRPr="0058269B">
        <w:rPr>
          <w:rFonts w:ascii="Georgia" w:hAnsi="Georgia"/>
          <w:i/>
          <w:iCs/>
        </w:rPr>
        <w:t>Insty</w:t>
      </w:r>
      <w:proofErr w:type="spellEnd"/>
      <w:r w:rsidRPr="0058269B">
        <w:rPr>
          <w:rFonts w:ascii="Georgia" w:hAnsi="Georgia"/>
          <w:i/>
          <w:iCs/>
        </w:rPr>
        <w:t>*Bit</w:t>
      </w:r>
      <w:r w:rsidRPr="0058269B">
        <w:rPr>
          <w:rFonts w:ascii="Georgia" w:hAnsi="Georgia"/>
        </w:rPr>
        <w:t xml:space="preserve">, our Court recognized that a 1962 amendment to the Lanham Act eliminated reference to “purchasers” when describing actionable confusion. </w:t>
      </w:r>
      <w:r w:rsidRPr="0058269B">
        <w:rPr>
          <w:rFonts w:ascii="Georgia" w:hAnsi="Georgia"/>
          <w:i/>
          <w:iCs/>
        </w:rPr>
        <w:t>Id.</w:t>
      </w:r>
      <w:r w:rsidRPr="0058269B">
        <w:rPr>
          <w:rFonts w:ascii="Georgia" w:hAnsi="Georgia"/>
        </w:rPr>
        <w:t xml:space="preserve"> (quoting Pub. L. No. 87–772, 76 Stat. 769, 773 (1962)). We interpreted this statutory amendment as permitting claims for post-sale confusion among </w:t>
      </w:r>
      <w:proofErr w:type="spellStart"/>
      <w:r w:rsidRPr="0058269B">
        <w:rPr>
          <w:rFonts w:ascii="Georgia" w:hAnsi="Georgia"/>
        </w:rPr>
        <w:t>nonpurchasers</w:t>
      </w:r>
      <w:proofErr w:type="spellEnd"/>
      <w:r w:rsidRPr="0058269B">
        <w:rPr>
          <w:rFonts w:ascii="Georgia" w:hAnsi="Georgia"/>
        </w:rPr>
        <w:t xml:space="preserve">—generally “consumers”— who witnessed a confusingly marked product. </w:t>
      </w:r>
      <w:r w:rsidRPr="0058269B">
        <w:rPr>
          <w:rFonts w:ascii="Georgia" w:hAnsi="Georgia"/>
          <w:i/>
          <w:iCs/>
        </w:rPr>
        <w:t>Id.</w:t>
      </w:r>
      <w:bookmarkStart w:id="8" w:name="co_fnRef_B00032053611497_ID0ESFAI_1"/>
      <w:bookmarkEnd w:id="8"/>
    </w:p>
    <w:p w14:paraId="4DA805A1" w14:textId="4C4AEEBD" w:rsidR="005F33EA" w:rsidRPr="0058269B" w:rsidRDefault="005F33EA" w:rsidP="005F33EA">
      <w:pPr>
        <w:rPr>
          <w:rFonts w:ascii="Georgia" w:hAnsi="Georgia"/>
        </w:rPr>
      </w:pPr>
      <w:r w:rsidRPr="0058269B">
        <w:rPr>
          <w:rFonts w:ascii="Georgia" w:hAnsi="Georgia"/>
        </w:rPr>
        <w:t xml:space="preserve">Fourteen years later, however, our Court indicated that it was unclear as a general matter whether initial-interest or </w:t>
      </w:r>
      <w:r w:rsidRPr="0058269B">
        <w:rPr>
          <w:rFonts w:ascii="Georgia" w:hAnsi="Georgia"/>
          <w:i/>
          <w:iCs/>
        </w:rPr>
        <w:t>presale</w:t>
      </w:r>
      <w:r w:rsidRPr="0058269B">
        <w:rPr>
          <w:rFonts w:ascii="Georgia" w:hAnsi="Georgia"/>
        </w:rPr>
        <w:t xml:space="preserve"> confusion was actionable. </w:t>
      </w:r>
      <w:r w:rsidRPr="0058269B">
        <w:rPr>
          <w:rFonts w:ascii="Georgia" w:hAnsi="Georgia"/>
          <w:i/>
          <w:iCs/>
        </w:rPr>
        <w:t>See Sensient Tech.</w:t>
      </w:r>
      <w:r w:rsidRPr="0058269B">
        <w:rPr>
          <w:rFonts w:ascii="Georgia" w:hAnsi="Georgia"/>
        </w:rPr>
        <w:t xml:space="preserve">, 613 F.3d at 766. There, over a dissent, our circuit identified the theory, but neither rejected nor adopted it for general application. Instead, we held that the theory did not apply on the facts of the case because the consumers at issue were sophisticated commercial purchasers of inputs for industrial food production who purchased goods with a high degree of care “after a collaborative process.” </w:t>
      </w:r>
      <w:r w:rsidRPr="0058269B">
        <w:rPr>
          <w:rFonts w:ascii="Georgia" w:hAnsi="Georgia"/>
          <w:i/>
          <w:iCs/>
        </w:rPr>
        <w:t>Id.</w:t>
      </w:r>
      <w:r w:rsidRPr="0058269B">
        <w:rPr>
          <w:rFonts w:ascii="Georgia" w:hAnsi="Georgia"/>
        </w:rPr>
        <w:t xml:space="preserve"> at 769.</w:t>
      </w:r>
    </w:p>
    <w:p w14:paraId="41ECD884" w14:textId="71B5A9FD" w:rsidR="005F33EA" w:rsidRPr="0058269B" w:rsidRDefault="005F33EA" w:rsidP="005F33EA">
      <w:pPr>
        <w:rPr>
          <w:rFonts w:ascii="Georgia" w:hAnsi="Georgia"/>
        </w:rPr>
      </w:pPr>
      <w:r w:rsidRPr="0058269B">
        <w:rPr>
          <w:rFonts w:ascii="Georgia" w:hAnsi="Georgia"/>
        </w:rPr>
        <w:t xml:space="preserve">The general question of whether presale, initial-interest confusion is actionable, therefore, seemingly pits two opposing views of trademark law against one another. On the one hand, through our application and review of the likelihood of confusion factors, we recognize the varied landscape of commercial transactions and leave the jury to sort through the details. Our factors provide guidance but do not draw bright lines that might constrain the general test for confusion. Similarly, the Court in </w:t>
      </w:r>
      <w:proofErr w:type="spellStart"/>
      <w:r w:rsidRPr="0058269B">
        <w:rPr>
          <w:rFonts w:ascii="Georgia" w:hAnsi="Georgia"/>
          <w:i/>
          <w:iCs/>
        </w:rPr>
        <w:t>Insty</w:t>
      </w:r>
      <w:proofErr w:type="spellEnd"/>
      <w:r w:rsidRPr="0058269B">
        <w:rPr>
          <w:rFonts w:ascii="Georgia" w:hAnsi="Georgia"/>
          <w:i/>
          <w:iCs/>
        </w:rPr>
        <w:t>*Bit</w:t>
      </w:r>
      <w:r w:rsidRPr="0058269B">
        <w:rPr>
          <w:rFonts w:ascii="Georgia" w:hAnsi="Georgia"/>
        </w:rPr>
        <w:t xml:space="preserve"> refused to place firm constraints on the question of </w:t>
      </w:r>
      <w:r w:rsidRPr="0058269B">
        <w:rPr>
          <w:rFonts w:ascii="Georgia" w:hAnsi="Georgia"/>
          <w:i/>
          <w:iCs/>
        </w:rPr>
        <w:t>when</w:t>
      </w:r>
      <w:r w:rsidRPr="0058269B">
        <w:rPr>
          <w:rFonts w:ascii="Georgia" w:hAnsi="Georgia"/>
        </w:rPr>
        <w:t xml:space="preserve"> confusion must exist. On the other hand, in </w:t>
      </w:r>
      <w:r w:rsidRPr="0058269B">
        <w:rPr>
          <w:rFonts w:ascii="Georgia" w:hAnsi="Georgia"/>
          <w:i/>
          <w:iCs/>
        </w:rPr>
        <w:t>Sensient</w:t>
      </w:r>
      <w:r w:rsidRPr="0058269B">
        <w:rPr>
          <w:rFonts w:ascii="Georgia" w:hAnsi="Georgia"/>
        </w:rPr>
        <w:t>, our Court acknowledged the possibility of cabining the likelihood-of-confusion test to a particular moment in time, at least under certain circumstances.</w:t>
      </w:r>
    </w:p>
    <w:p w14:paraId="363B106D" w14:textId="61474D3D" w:rsidR="005F33EA" w:rsidRPr="0058269B" w:rsidRDefault="005F33EA" w:rsidP="005F33EA">
      <w:pPr>
        <w:rPr>
          <w:rFonts w:ascii="Georgia" w:hAnsi="Georgia"/>
        </w:rPr>
      </w:pPr>
      <w:bookmarkStart w:id="9" w:name="co_anchor_B102053611497_1"/>
      <w:bookmarkEnd w:id="9"/>
      <w:r w:rsidRPr="0058269B">
        <w:rPr>
          <w:rFonts w:ascii="Georgia" w:hAnsi="Georgia"/>
        </w:rPr>
        <w:t xml:space="preserve">We now address the issue left open in </w:t>
      </w:r>
      <w:r w:rsidRPr="0058269B">
        <w:rPr>
          <w:rFonts w:ascii="Georgia" w:hAnsi="Georgia"/>
          <w:i/>
          <w:iCs/>
        </w:rPr>
        <w:t>Sensient</w:t>
      </w:r>
      <w:r w:rsidRPr="0058269B">
        <w:rPr>
          <w:rFonts w:ascii="Georgia" w:hAnsi="Georgia"/>
        </w:rPr>
        <w:t xml:space="preserve"> and hold that a theory of initial-interest confusion may apply in our circuit.</w:t>
      </w:r>
      <w:bookmarkStart w:id="10" w:name="co_fnRef_B00042053611497_ID0ENLAI_1"/>
      <w:bookmarkEnd w:id="10"/>
      <w:r w:rsidRPr="0058269B">
        <w:rPr>
          <w:rFonts w:ascii="Georgia" w:hAnsi="Georgia"/>
        </w:rPr>
        <w:t xml:space="preserve"> We are, of course, bound by </w:t>
      </w:r>
      <w:r w:rsidRPr="0058269B">
        <w:rPr>
          <w:rFonts w:ascii="Georgia" w:hAnsi="Georgia"/>
          <w:i/>
          <w:iCs/>
        </w:rPr>
        <w:t>Sensient</w:t>
      </w:r>
      <w:r w:rsidRPr="0058269B">
        <w:rPr>
          <w:rFonts w:ascii="Georgia" w:hAnsi="Georgia"/>
        </w:rPr>
        <w:t>.</w:t>
      </w:r>
      <w:bookmarkStart w:id="11" w:name="co_fnRef_B00052053611497_ID0E5LAI_1"/>
      <w:bookmarkEnd w:id="11"/>
      <w:r w:rsidRPr="0058269B">
        <w:rPr>
          <w:rFonts w:ascii="Georgia" w:hAnsi="Georgia"/>
        </w:rPr>
        <w:t xml:space="preserve"> But, when the </w:t>
      </w:r>
      <w:proofErr w:type="gramStart"/>
      <w:r w:rsidRPr="0058269B">
        <w:rPr>
          <w:rFonts w:ascii="Georgia" w:hAnsi="Georgia"/>
        </w:rPr>
        <w:t>particular conditions</w:t>
      </w:r>
      <w:proofErr w:type="gramEnd"/>
      <w:r w:rsidRPr="0058269B">
        <w:rPr>
          <w:rFonts w:ascii="Georgia" w:hAnsi="Georgia"/>
        </w:rPr>
        <w:t xml:space="preserve"> of </w:t>
      </w:r>
      <w:r w:rsidRPr="0058269B">
        <w:rPr>
          <w:rFonts w:ascii="Georgia" w:hAnsi="Georgia"/>
          <w:i/>
          <w:iCs/>
        </w:rPr>
        <w:t>Sensient</w:t>
      </w:r>
      <w:r w:rsidRPr="0058269B">
        <w:rPr>
          <w:rFonts w:ascii="Georgia" w:hAnsi="Georgia"/>
        </w:rPr>
        <w:t xml:space="preserve"> are not present, i.e., when a jury question exists as to the issue of consumer sophistication, a plaintiff should not be barred from proving presale, initial-interest confusion. In reaching this conclusion we find the Lanham Act itself and amendments to its language as cited in </w:t>
      </w:r>
      <w:proofErr w:type="spellStart"/>
      <w:r w:rsidRPr="0058269B">
        <w:rPr>
          <w:rFonts w:ascii="Georgia" w:hAnsi="Georgia"/>
          <w:i/>
          <w:iCs/>
        </w:rPr>
        <w:t>Insty</w:t>
      </w:r>
      <w:proofErr w:type="spellEnd"/>
      <w:r w:rsidRPr="0058269B">
        <w:rPr>
          <w:rFonts w:ascii="Georgia" w:hAnsi="Georgia"/>
          <w:i/>
          <w:iCs/>
        </w:rPr>
        <w:t>*Bit</w:t>
      </w:r>
      <w:r w:rsidRPr="0058269B">
        <w:rPr>
          <w:rFonts w:ascii="Georgia" w:hAnsi="Georgia"/>
        </w:rPr>
        <w:t xml:space="preserve"> particularly compelling. Other courts addressing the question of initial-interest confusion have relied on this language. </w:t>
      </w:r>
      <w:r w:rsidRPr="0058269B">
        <w:rPr>
          <w:rFonts w:ascii="Georgia" w:hAnsi="Georgia"/>
          <w:i/>
          <w:iCs/>
        </w:rPr>
        <w:t>Checkpoint</w:t>
      </w:r>
      <w:r w:rsidRPr="0058269B">
        <w:rPr>
          <w:rFonts w:ascii="Georgia" w:hAnsi="Georgia"/>
        </w:rPr>
        <w:t xml:space="preserve">, 269 F.3d at 295 (noting that as originally enacted, “the Lanham Act only applied where the use of similar marks was ‘likely to cause confusion or mistake or to deceive purchasers as to the source of origin of such goods or services’ “ (quoting 1946 Lanham Act) (accord </w:t>
      </w:r>
      <w:proofErr w:type="spellStart"/>
      <w:r w:rsidRPr="0058269B">
        <w:rPr>
          <w:rFonts w:ascii="Georgia" w:hAnsi="Georgia"/>
          <w:i/>
          <w:iCs/>
        </w:rPr>
        <w:t>Esercizio</w:t>
      </w:r>
      <w:proofErr w:type="spellEnd"/>
      <w:r w:rsidRPr="0058269B">
        <w:rPr>
          <w:rFonts w:ascii="Georgia" w:hAnsi="Georgia"/>
          <w:i/>
          <w:iCs/>
        </w:rPr>
        <w:t xml:space="preserve"> v. Roberts</w:t>
      </w:r>
      <w:r w:rsidRPr="0058269B">
        <w:rPr>
          <w:rFonts w:ascii="Georgia" w:hAnsi="Georgia"/>
        </w:rPr>
        <w:t xml:space="preserve">, 944 F.2d 1235, 1244 (6th Cir. 1991))); </w:t>
      </w:r>
      <w:r w:rsidRPr="0058269B">
        <w:rPr>
          <w:rFonts w:ascii="Georgia" w:hAnsi="Georgia"/>
          <w:i/>
          <w:iCs/>
        </w:rPr>
        <w:t>see generally</w:t>
      </w:r>
      <w:r w:rsidRPr="0058269B">
        <w:rPr>
          <w:rFonts w:ascii="Georgia" w:hAnsi="Georgia"/>
        </w:rPr>
        <w:t xml:space="preserve">, 4 </w:t>
      </w:r>
      <w:r w:rsidRPr="0058269B">
        <w:rPr>
          <w:rFonts w:ascii="Georgia" w:hAnsi="Georgia"/>
          <w:i/>
          <w:iCs/>
        </w:rPr>
        <w:t>McCarthy</w:t>
      </w:r>
      <w:r w:rsidRPr="0058269B">
        <w:rPr>
          <w:rFonts w:ascii="Georgia" w:hAnsi="Georgia"/>
        </w:rPr>
        <w:t xml:space="preserve"> § 23:7 (collecting cases) (noting that several courts have interpreted this amendment as expanding trademark protection beyond point-of-sale confusion to reach presale confusion (including initial-interest confusion) and post-sale confusion). And, in general, adoption of the theory is consistent with the overall practice of recognizing the varied nature of commercial interactions and the importance of not cabining </w:t>
      </w:r>
      <w:r w:rsidRPr="0058269B">
        <w:rPr>
          <w:rFonts w:ascii="Georgia" w:hAnsi="Georgia"/>
        </w:rPr>
        <w:lastRenderedPageBreak/>
        <w:t>the jury’s analysis of the likelihood of confusion factors. If we do not generally impose strict constraints on the jury’s nuanced assessment of how or whether the consuming public might be confused, it would be odd to presume that all commercial interactions are alike or that, in all settings, trademarks are worthy of protection only in the few moments before the consummation of a transaction.</w:t>
      </w:r>
    </w:p>
    <w:p w14:paraId="12F20296" w14:textId="0D606DE2" w:rsidR="005F33EA" w:rsidRPr="0058269B" w:rsidRDefault="005F33EA" w:rsidP="005F33EA">
      <w:pPr>
        <w:rPr>
          <w:rFonts w:ascii="Georgia" w:hAnsi="Georgia"/>
        </w:rPr>
      </w:pPr>
      <w:r w:rsidRPr="0058269B">
        <w:rPr>
          <w:rFonts w:ascii="Georgia" w:hAnsi="Georgia"/>
        </w:rPr>
        <w:t xml:space="preserve">Of course, as per </w:t>
      </w:r>
      <w:r w:rsidRPr="0058269B">
        <w:rPr>
          <w:rFonts w:ascii="Georgia" w:hAnsi="Georgia"/>
          <w:i/>
          <w:iCs/>
        </w:rPr>
        <w:t>Sensient</w:t>
      </w:r>
      <w:r w:rsidRPr="0058269B">
        <w:rPr>
          <w:rFonts w:ascii="Georgia" w:hAnsi="Georgia"/>
        </w:rPr>
        <w:t xml:space="preserve">, the theory of initial-interest confusion cannot apply in our Circuit where the relevant average consumers are sophisticated at the level of the careful professional purchasers who were at issue in </w:t>
      </w:r>
      <w:r w:rsidRPr="0058269B">
        <w:rPr>
          <w:rFonts w:ascii="Georgia" w:hAnsi="Georgia"/>
          <w:i/>
        </w:rPr>
        <w:t>Sensient</w:t>
      </w:r>
      <w:r w:rsidRPr="0058269B">
        <w:rPr>
          <w:rFonts w:ascii="Georgia" w:hAnsi="Georgia"/>
        </w:rPr>
        <w:t xml:space="preserve">. In this regard, however, we find several comments by the dissent in </w:t>
      </w:r>
      <w:r w:rsidRPr="0058269B">
        <w:rPr>
          <w:rFonts w:ascii="Georgia" w:hAnsi="Georgia"/>
          <w:i/>
          <w:iCs/>
        </w:rPr>
        <w:t>Sensient</w:t>
      </w:r>
      <w:r w:rsidRPr="0058269B">
        <w:rPr>
          <w:rFonts w:ascii="Georgia" w:hAnsi="Georgia"/>
        </w:rPr>
        <w:t xml:space="preserve"> compelling, and we note that a finding of customer sophistication typically will rest with the jury.</w:t>
      </w:r>
    </w:p>
    <w:p w14:paraId="6959F7ED" w14:textId="4764288E" w:rsidR="005F33EA" w:rsidRPr="0058269B" w:rsidRDefault="005F33EA" w:rsidP="005F33EA">
      <w:pPr>
        <w:rPr>
          <w:rFonts w:ascii="Georgia" w:hAnsi="Georgia"/>
        </w:rPr>
      </w:pPr>
      <w:r w:rsidRPr="0058269B">
        <w:rPr>
          <w:rFonts w:ascii="Georgia" w:hAnsi="Georgia"/>
        </w:rPr>
        <w:t xml:space="preserve">In reaching its conclusion, the Court in </w:t>
      </w:r>
      <w:r w:rsidRPr="0058269B">
        <w:rPr>
          <w:rFonts w:ascii="Georgia" w:hAnsi="Georgia"/>
          <w:i/>
          <w:iCs/>
        </w:rPr>
        <w:t>Sensient</w:t>
      </w:r>
      <w:r w:rsidRPr="0058269B">
        <w:rPr>
          <w:rFonts w:ascii="Georgia" w:hAnsi="Georgia"/>
        </w:rPr>
        <w:t xml:space="preserve"> relied upon </w:t>
      </w:r>
      <w:r w:rsidRPr="0058269B">
        <w:rPr>
          <w:rFonts w:ascii="Georgia" w:hAnsi="Georgia"/>
          <w:i/>
          <w:iCs/>
        </w:rPr>
        <w:t>Checkpoint Systems</w:t>
      </w:r>
      <w:r w:rsidRPr="0058269B">
        <w:rPr>
          <w:rFonts w:ascii="Georgia" w:hAnsi="Georgia"/>
        </w:rPr>
        <w:t xml:space="preserve"> for the proposition that “courts look to factors such as product relatedness and the level of care exercised by customers to determine whether initial interest confusion exists.” </w:t>
      </w:r>
      <w:r w:rsidRPr="0058269B">
        <w:rPr>
          <w:rFonts w:ascii="Georgia" w:hAnsi="Georgia"/>
          <w:i/>
          <w:iCs/>
        </w:rPr>
        <w:t>Sensient</w:t>
      </w:r>
      <w:r w:rsidRPr="0058269B">
        <w:rPr>
          <w:rFonts w:ascii="Georgia" w:hAnsi="Georgia"/>
        </w:rPr>
        <w:t xml:space="preserve">, 613 F.3d at 766. </w:t>
      </w:r>
      <w:r w:rsidRPr="0058269B">
        <w:rPr>
          <w:rFonts w:ascii="Georgia" w:hAnsi="Georgia"/>
          <w:i/>
          <w:iCs/>
        </w:rPr>
        <w:t>Sensient</w:t>
      </w:r>
      <w:r w:rsidRPr="0058269B">
        <w:rPr>
          <w:rFonts w:ascii="Georgia" w:hAnsi="Georgia"/>
        </w:rPr>
        <w:t xml:space="preserve"> was an appeal from a grant of summary judgment, and on the summary judgment record, our Court indicated that the parties agreed the relevant consumers were sophisticated. The dissent in </w:t>
      </w:r>
      <w:r w:rsidRPr="0058269B">
        <w:rPr>
          <w:rFonts w:ascii="Georgia" w:hAnsi="Georgia"/>
          <w:i/>
          <w:iCs/>
        </w:rPr>
        <w:t>Sensient</w:t>
      </w:r>
      <w:r w:rsidRPr="0058269B">
        <w:rPr>
          <w:rFonts w:ascii="Georgia" w:hAnsi="Georgia"/>
        </w:rPr>
        <w:t xml:space="preserve"> accurately noted, however, that in </w:t>
      </w:r>
      <w:r w:rsidRPr="0058269B">
        <w:rPr>
          <w:rFonts w:ascii="Georgia" w:hAnsi="Georgia"/>
          <w:i/>
          <w:iCs/>
        </w:rPr>
        <w:t>Checkpoint Systems</w:t>
      </w:r>
      <w:r w:rsidRPr="0058269B">
        <w:rPr>
          <w:rFonts w:ascii="Georgia" w:hAnsi="Georgia"/>
        </w:rPr>
        <w:t xml:space="preserve">, the Third Circuit had been reviewing the issue after trial, not </w:t>
      </w:r>
      <w:proofErr w:type="gramStart"/>
      <w:r w:rsidRPr="0058269B">
        <w:rPr>
          <w:rFonts w:ascii="Georgia" w:hAnsi="Georgia"/>
        </w:rPr>
        <w:t>making a determination</w:t>
      </w:r>
      <w:proofErr w:type="gramEnd"/>
      <w:r w:rsidRPr="0058269B">
        <w:rPr>
          <w:rFonts w:ascii="Georgia" w:hAnsi="Georgia"/>
        </w:rPr>
        <w:t xml:space="preserve"> as to consumer sophistication as a matter of law (or making any likelihood of confusion determinations) at the summary judgment stage. </w:t>
      </w:r>
      <w:r w:rsidRPr="0058269B">
        <w:rPr>
          <w:rFonts w:ascii="Georgia" w:hAnsi="Georgia"/>
          <w:i/>
          <w:iCs/>
        </w:rPr>
        <w:t>Id.</w:t>
      </w:r>
      <w:r w:rsidRPr="0058269B">
        <w:rPr>
          <w:rFonts w:ascii="Georgia" w:hAnsi="Georgia"/>
        </w:rPr>
        <w:t xml:space="preserve"> at 773 (Colloton, J, dissenting). The dissent described the theory of initial-interest confusion and emphasized that, even if customers are sophisticated, that fact alone should not automatically defeat the theory. In advocating for this no-blanket-rule point, the dissent cited a Second Circuit case involving professional buyers in a lawsuit between Mobil Oil and an entity that was marketing products under the name “Pegasus Petroleum.” The dissent noted that “[w]</w:t>
      </w:r>
      <w:proofErr w:type="spellStart"/>
      <w:r w:rsidRPr="0058269B">
        <w:rPr>
          <w:rFonts w:ascii="Georgia" w:hAnsi="Georgia"/>
        </w:rPr>
        <w:t>hether</w:t>
      </w:r>
      <w:proofErr w:type="spellEnd"/>
      <w:r w:rsidRPr="0058269B">
        <w:rPr>
          <w:rFonts w:ascii="Georgia" w:hAnsi="Georgia"/>
        </w:rPr>
        <w:t xml:space="preserve"> or not a sophisticated customer eventually would sort out the difference, the doctrine of initial interest confusion prevents an infringer from using another’s mark to gain ‘crucial credibility during the </w:t>
      </w:r>
      <w:r w:rsidRPr="0058269B">
        <w:rPr>
          <w:rFonts w:ascii="Georgia" w:hAnsi="Georgia"/>
          <w:i/>
          <w:iCs/>
        </w:rPr>
        <w:t>initial</w:t>
      </w:r>
      <w:r w:rsidRPr="0058269B">
        <w:rPr>
          <w:rFonts w:ascii="Georgia" w:hAnsi="Georgia"/>
        </w:rPr>
        <w:t xml:space="preserve"> phases of a deal.’” </w:t>
      </w:r>
      <w:r w:rsidRPr="0058269B">
        <w:rPr>
          <w:rFonts w:ascii="Georgia" w:hAnsi="Georgia"/>
          <w:i/>
          <w:iCs/>
        </w:rPr>
        <w:t>Id.</w:t>
      </w:r>
      <w:r w:rsidRPr="0058269B">
        <w:rPr>
          <w:rFonts w:ascii="Georgia" w:hAnsi="Georgia"/>
        </w:rPr>
        <w:t xml:space="preserve"> at 773 (quoting </w:t>
      </w:r>
      <w:r w:rsidRPr="0058269B">
        <w:rPr>
          <w:rFonts w:ascii="Georgia" w:hAnsi="Georgia"/>
          <w:i/>
          <w:iCs/>
        </w:rPr>
        <w:t>Mobil Oil Corp. v. Pegasus Petroleum Corp.</w:t>
      </w:r>
      <w:r w:rsidRPr="0058269B">
        <w:rPr>
          <w:rFonts w:ascii="Georgia" w:hAnsi="Georgia"/>
        </w:rPr>
        <w:t xml:space="preserve">, 818 F.2d 254, 258 (2d Cir. 1987)). </w:t>
      </w:r>
      <w:proofErr w:type="gramStart"/>
      <w:r w:rsidRPr="0058269B">
        <w:rPr>
          <w:rFonts w:ascii="Georgia" w:hAnsi="Georgia"/>
        </w:rPr>
        <w:t>And,</w:t>
      </w:r>
      <w:proofErr w:type="gramEnd"/>
      <w:r w:rsidRPr="0058269B">
        <w:rPr>
          <w:rFonts w:ascii="Georgia" w:hAnsi="Georgia"/>
        </w:rPr>
        <w:t xml:space="preserve"> the dissent also emphasized that the Third Circuit in </w:t>
      </w:r>
      <w:r w:rsidRPr="0058269B">
        <w:rPr>
          <w:rFonts w:ascii="Georgia" w:hAnsi="Georgia"/>
          <w:i/>
          <w:iCs/>
        </w:rPr>
        <w:t>Checkpoint</w:t>
      </w:r>
      <w:r w:rsidRPr="0058269B">
        <w:rPr>
          <w:rFonts w:ascii="Georgia" w:hAnsi="Georgia"/>
        </w:rPr>
        <w:t xml:space="preserve"> specifically disclaimed any categorical rule, stating instead that the “significance [of customer sophistication] will vary, and must be determined on a case-by-case basis.” </w:t>
      </w:r>
      <w:r w:rsidRPr="0058269B">
        <w:rPr>
          <w:rFonts w:ascii="Georgia" w:hAnsi="Georgia"/>
          <w:i/>
          <w:iCs/>
        </w:rPr>
        <w:t>Sensient</w:t>
      </w:r>
      <w:r w:rsidRPr="0058269B">
        <w:rPr>
          <w:rFonts w:ascii="Georgia" w:hAnsi="Georgia"/>
        </w:rPr>
        <w:t xml:space="preserve">, 613 F.3d at 773 (quoting </w:t>
      </w:r>
      <w:r w:rsidRPr="0058269B">
        <w:rPr>
          <w:rFonts w:ascii="Georgia" w:hAnsi="Georgia"/>
          <w:i/>
          <w:iCs/>
        </w:rPr>
        <w:t>Checkpoint</w:t>
      </w:r>
      <w:r w:rsidRPr="0058269B">
        <w:rPr>
          <w:rFonts w:ascii="Georgia" w:hAnsi="Georgia"/>
        </w:rPr>
        <w:t>, 269 F.3d at 297).</w:t>
      </w:r>
    </w:p>
    <w:p w14:paraId="3B892B38" w14:textId="6874A4ED" w:rsidR="005F33EA" w:rsidRPr="0058269B" w:rsidRDefault="005F33EA" w:rsidP="005F33EA">
      <w:pPr>
        <w:rPr>
          <w:rFonts w:ascii="Georgia" w:hAnsi="Georgia"/>
        </w:rPr>
      </w:pPr>
      <w:bookmarkStart w:id="12" w:name="co_anchor_B132053611497_1"/>
      <w:bookmarkEnd w:id="12"/>
      <w:r w:rsidRPr="0058269B">
        <w:rPr>
          <w:rFonts w:ascii="Georgia" w:hAnsi="Georgia"/>
        </w:rPr>
        <w:t xml:space="preserve">Regardless of the relative merits of the positions reflected in </w:t>
      </w:r>
      <w:r w:rsidRPr="0058269B">
        <w:rPr>
          <w:rFonts w:ascii="Georgia" w:hAnsi="Georgia"/>
          <w:i/>
          <w:iCs/>
        </w:rPr>
        <w:t>Sensient</w:t>
      </w:r>
      <w:r w:rsidRPr="0058269B">
        <w:rPr>
          <w:rFonts w:ascii="Georgia" w:hAnsi="Georgia"/>
        </w:rPr>
        <w:t xml:space="preserve">, our general adoption of the theory of initial-interest confusion forecloses summary judgment where a question of fact exists as to the level of consumer sophistication. Here, the parties dispute the issue of consumer sophistication both in reference to shopping for mattresses and shopping online. They also dispute whether consumer sophistication should be measured at the “point of click” for an online shopper, at the point of sale upon final purchase, or at points in between. For the reasons </w:t>
      </w:r>
      <w:r w:rsidRPr="0058269B">
        <w:rPr>
          <w:rFonts w:ascii="Georgia" w:hAnsi="Georgia"/>
        </w:rPr>
        <w:lastRenderedPageBreak/>
        <w:t>previously discussed, we do not believe it is appropriate to cabin the analysis to any one point in time. And, in any event, authority is mixed as to whether mattress shoppers and online shoppers should be deemed careful, sophisticated consumers. </w:t>
      </w:r>
    </w:p>
    <w:p w14:paraId="184BE14E" w14:textId="5DE81407" w:rsidR="005F33EA" w:rsidRPr="0058269B" w:rsidRDefault="005F33EA" w:rsidP="005F33EA">
      <w:pPr>
        <w:rPr>
          <w:rFonts w:ascii="Georgia" w:hAnsi="Georgia"/>
        </w:rPr>
      </w:pPr>
      <w:r w:rsidRPr="0058269B">
        <w:rPr>
          <w:rFonts w:ascii="Georgia" w:hAnsi="Georgia"/>
        </w:rPr>
        <w:t xml:space="preserve">On the one hand, mattresses are relatively expensive among most consumers’ purchases. </w:t>
      </w:r>
      <w:r w:rsidRPr="0058269B">
        <w:rPr>
          <w:rFonts w:ascii="Georgia" w:hAnsi="Georgia"/>
          <w:i/>
          <w:iCs/>
        </w:rPr>
        <w:t>See</w:t>
      </w:r>
      <w:r w:rsidRPr="0058269B">
        <w:rPr>
          <w:rFonts w:ascii="Georgia" w:hAnsi="Georgia"/>
        </w:rPr>
        <w:t xml:space="preserve"> </w:t>
      </w:r>
      <w:proofErr w:type="spellStart"/>
      <w:r w:rsidRPr="0058269B">
        <w:rPr>
          <w:rFonts w:ascii="Georgia" w:hAnsi="Georgia"/>
          <w:i/>
          <w:iCs/>
        </w:rPr>
        <w:t>Sleepmaster</w:t>
      </w:r>
      <w:proofErr w:type="spellEnd"/>
      <w:r w:rsidRPr="0058269B">
        <w:rPr>
          <w:rFonts w:ascii="Georgia" w:hAnsi="Georgia"/>
          <w:i/>
          <w:iCs/>
        </w:rPr>
        <w:t xml:space="preserve"> Prods. Co. v. Am. Auto-Felt Corp.</w:t>
      </w:r>
      <w:r w:rsidRPr="0058269B">
        <w:rPr>
          <w:rFonts w:ascii="Georgia" w:hAnsi="Georgia"/>
        </w:rPr>
        <w:t xml:space="preserve">, 241 F.2d 738, 741 (C.C.P.A. 1957) (“[T]he average purchaser will exercise such care in the selection of a mattress as to minimize the possibility of confusion as to the origin of the goods.”). On the other hand, most people buy mattresses infrequently, so they enter the marketplace uneducated and susceptible to fast-talking </w:t>
      </w:r>
      <w:proofErr w:type="gramStart"/>
      <w:r w:rsidRPr="0058269B">
        <w:rPr>
          <w:rFonts w:ascii="Georgia" w:hAnsi="Georgia"/>
        </w:rPr>
        <w:t>sales people</w:t>
      </w:r>
      <w:proofErr w:type="gramEnd"/>
      <w:r w:rsidRPr="0058269B">
        <w:rPr>
          <w:rFonts w:ascii="Georgia" w:hAnsi="Georgia"/>
        </w:rPr>
        <w:t xml:space="preserve"> and brand confusion. </w:t>
      </w:r>
      <w:r w:rsidRPr="0058269B">
        <w:rPr>
          <w:rFonts w:ascii="Georgia" w:hAnsi="Georgia"/>
          <w:i/>
          <w:iCs/>
        </w:rPr>
        <w:t>See</w:t>
      </w:r>
      <w:r w:rsidRPr="0058269B">
        <w:rPr>
          <w:rFonts w:ascii="Georgia" w:hAnsi="Georgia"/>
        </w:rPr>
        <w:t xml:space="preserve"> </w:t>
      </w:r>
      <w:r w:rsidRPr="0058269B">
        <w:rPr>
          <w:rFonts w:ascii="Georgia" w:hAnsi="Georgia"/>
          <w:i/>
          <w:iCs/>
        </w:rPr>
        <w:t>Friedman v. Sealy, Inc.</w:t>
      </w:r>
      <w:r w:rsidRPr="0058269B">
        <w:rPr>
          <w:rFonts w:ascii="Georgia" w:hAnsi="Georgia"/>
        </w:rPr>
        <w:t>, 274 F.2d 255, 261–62 (10th Cir. 1959) (“[S]</w:t>
      </w:r>
      <w:proofErr w:type="spellStart"/>
      <w:r w:rsidRPr="0058269B">
        <w:rPr>
          <w:rFonts w:ascii="Georgia" w:hAnsi="Georgia"/>
        </w:rPr>
        <w:t>ince</w:t>
      </w:r>
      <w:proofErr w:type="spellEnd"/>
      <w:r w:rsidRPr="0058269B">
        <w:rPr>
          <w:rFonts w:ascii="Georgia" w:hAnsi="Georgia"/>
        </w:rPr>
        <w:t xml:space="preserve"> a mattress or box spring requires an investment . . ., the degree of care which a customer might be expected to exercise is somewhat greater than if he were buying 5-cent candies. [But] the construction of sleep equipment is not a matter of common knowledge and the consumer buys infrequently. He is thus forced to rely on his memory, more than his inspection, for the recall of names, guarantees, and endorsements. Under such circumstances, confusion can easily arise.”).</w:t>
      </w:r>
    </w:p>
    <w:p w14:paraId="320F3EA2" w14:textId="2B553B05" w:rsidR="005F33EA" w:rsidRPr="0058269B" w:rsidRDefault="005F33EA" w:rsidP="005F33EA">
      <w:pPr>
        <w:rPr>
          <w:rFonts w:ascii="Georgia" w:hAnsi="Georgia"/>
        </w:rPr>
      </w:pPr>
      <w:r w:rsidRPr="0058269B">
        <w:rPr>
          <w:rFonts w:ascii="Georgia" w:hAnsi="Georgia"/>
        </w:rPr>
        <w:t xml:space="preserve">Authority is also mixed as to the level of sophistication web-based shoppers bring to the table and how this potentially separate question should influence the general assessment of sophistication. </w:t>
      </w:r>
      <w:r w:rsidRPr="0058269B">
        <w:rPr>
          <w:rFonts w:ascii="Georgia" w:hAnsi="Georgia"/>
          <w:i/>
          <w:iCs/>
        </w:rPr>
        <w:t>Compare Coca-Cola Co. v. Purdy</w:t>
      </w:r>
      <w:r w:rsidRPr="0058269B">
        <w:rPr>
          <w:rFonts w:ascii="Georgia" w:hAnsi="Georgia"/>
        </w:rPr>
        <w:t xml:space="preserve">, No. 02-1782 ADM/JGL, 2005 WL 212797, at *4 (D. Minn. Jan. 28, 2005) (“[T]he quick and effortless nature of ‘surfing’ the Internet makes it unlikely that consumers can avoid confusion through the exercise of due care.”) </w:t>
      </w:r>
      <w:r w:rsidRPr="0058269B">
        <w:rPr>
          <w:rFonts w:ascii="Georgia" w:hAnsi="Georgia"/>
          <w:i/>
          <w:iCs/>
        </w:rPr>
        <w:t>and GoTo.com, Inc. v. Walt Disney Co.</w:t>
      </w:r>
      <w:r w:rsidRPr="0058269B">
        <w:rPr>
          <w:rFonts w:ascii="Georgia" w:hAnsi="Georgia"/>
        </w:rPr>
        <w:t xml:space="preserve">, 202 F.3d 1199, 1209 (9th Cir. 2000) (“Navigating amongst web sites involves practically no effort whatsoever, and arguments that Web users exercise a great deal of care before clicking on hyperlinks are unconvincing.”) </w:t>
      </w:r>
      <w:r w:rsidRPr="0058269B">
        <w:rPr>
          <w:rFonts w:ascii="Georgia" w:hAnsi="Georgia"/>
          <w:i/>
          <w:iCs/>
        </w:rPr>
        <w:t>with Toyota Motor Sales, U.S.A., Inc. v. Tabari</w:t>
      </w:r>
      <w:r w:rsidRPr="0058269B">
        <w:rPr>
          <w:rFonts w:ascii="Georgia" w:hAnsi="Georgia"/>
        </w:rPr>
        <w:t xml:space="preserve">, 610 F.3d 1171, 1179 (9th Cir. 2010) (“[I]n the age of [the internet], reasonable, prudent and experienced internet consumers are accustomed to such exploration by trial and error. They skip from site to site, ready to hit the back button whenever they’re not satisfied with a site’s contents. They fully expect to find some sites that aren’t what they imagine based on a glance at the domain name or search engine summary.”). </w:t>
      </w:r>
      <w:r w:rsidRPr="0058269B">
        <w:rPr>
          <w:rFonts w:ascii="Georgia" w:hAnsi="Georgia"/>
          <w:i/>
          <w:iCs/>
        </w:rPr>
        <w:t>See also Network Automation, Inc. v. Advanced Systems Concepts, Inc.</w:t>
      </w:r>
      <w:r w:rsidRPr="0058269B">
        <w:rPr>
          <w:rFonts w:ascii="Georgia" w:hAnsi="Georgia"/>
        </w:rPr>
        <w:t>, 638 F.3d 1137, 1152 (9th Cir. 2011) (noting that although “‘there is generally a low degree of care exercised by Internet consumers’ . . . the degree of care analysis cannot begin and end at the marketing channel. We still must consider the nature and cost of the goods, and whether ‘the products being sold are marketed primarily to expert buyers.’” (</w:t>
      </w:r>
      <w:proofErr w:type="gramStart"/>
      <w:r w:rsidRPr="0058269B">
        <w:rPr>
          <w:rFonts w:ascii="Georgia" w:hAnsi="Georgia"/>
        </w:rPr>
        <w:t>quoting</w:t>
      </w:r>
      <w:proofErr w:type="gramEnd"/>
      <w:r w:rsidRPr="0058269B">
        <w:rPr>
          <w:rFonts w:ascii="Georgia" w:hAnsi="Georgia"/>
        </w:rPr>
        <w:t xml:space="preserve"> </w:t>
      </w:r>
      <w:r w:rsidRPr="0058269B">
        <w:rPr>
          <w:rFonts w:ascii="Georgia" w:hAnsi="Georgia"/>
          <w:i/>
          <w:iCs/>
        </w:rPr>
        <w:t xml:space="preserve">Brookfield </w:t>
      </w:r>
      <w:proofErr w:type="spellStart"/>
      <w:r w:rsidRPr="0058269B">
        <w:rPr>
          <w:rFonts w:ascii="Georgia" w:hAnsi="Georgia"/>
          <w:i/>
          <w:iCs/>
        </w:rPr>
        <w:t>Comm’ns</w:t>
      </w:r>
      <w:proofErr w:type="spellEnd"/>
      <w:r w:rsidRPr="0058269B">
        <w:rPr>
          <w:rFonts w:ascii="Georgia" w:hAnsi="Georgia"/>
          <w:i/>
          <w:iCs/>
        </w:rPr>
        <w:t>, Inc. v. West Coast Ent. Corp.</w:t>
      </w:r>
      <w:r w:rsidRPr="0058269B">
        <w:rPr>
          <w:rFonts w:ascii="Georgia" w:hAnsi="Georgia"/>
        </w:rPr>
        <w:t>, 174 F.3d 1036, 1060 (9th Cir. 1999))).</w:t>
      </w:r>
    </w:p>
    <w:p w14:paraId="0DE2A9C4" w14:textId="7FC5E68F" w:rsidR="005F33EA" w:rsidRPr="0058269B" w:rsidRDefault="005F33EA" w:rsidP="005F33EA">
      <w:pPr>
        <w:rPr>
          <w:rFonts w:ascii="Georgia" w:hAnsi="Georgia"/>
        </w:rPr>
      </w:pPr>
      <w:r w:rsidRPr="0058269B">
        <w:rPr>
          <w:rFonts w:ascii="Georgia" w:hAnsi="Georgia"/>
        </w:rPr>
        <w:t xml:space="preserve">At the end of the day, this mix of authority regarding consumer confusion in the context of internet shopping and mattress purchases demonstrates well why a </w:t>
      </w:r>
      <w:r w:rsidRPr="0058269B">
        <w:rPr>
          <w:rFonts w:ascii="Georgia" w:hAnsi="Georgia"/>
        </w:rPr>
        <w:lastRenderedPageBreak/>
        <w:t xml:space="preserve">jury rather than a judge should assess the level of consumer sophistication. This point is particularly strong in a case which, like the present case, enjoys a full record including highly detailed descriptions of Plaintiffs’ and Defendants’ customers’ experience and ample evidence of (1) </w:t>
      </w:r>
      <w:r w:rsidRPr="0058269B">
        <w:rPr>
          <w:rFonts w:ascii="Georgia" w:hAnsi="Georgia"/>
          <w:i/>
          <w:iCs/>
        </w:rPr>
        <w:t>actual confusion</w:t>
      </w:r>
      <w:r w:rsidRPr="0058269B">
        <w:rPr>
          <w:rFonts w:ascii="Georgia" w:hAnsi="Georgia"/>
        </w:rPr>
        <w:t xml:space="preserve"> including transcripts of potential customers who called Defendants’ call centers and believed they were calling Plaintiffs, and (2) statements by Defendants’ principals describing the actual confusion as evidence that their own advertising was working. </w:t>
      </w:r>
      <w:r w:rsidRPr="0058269B">
        <w:rPr>
          <w:rFonts w:ascii="Georgia" w:hAnsi="Georgia"/>
          <w:i/>
          <w:iCs/>
        </w:rPr>
        <w:t>See Kemp</w:t>
      </w:r>
      <w:r w:rsidRPr="0058269B">
        <w:rPr>
          <w:rFonts w:ascii="Georgia" w:hAnsi="Georgia"/>
        </w:rPr>
        <w:t xml:space="preserve">, 398 F.3d at 1058 (evidence of actual confusion, while not required, is strong evidence of a likelihood of confusion); </w:t>
      </w:r>
      <w:proofErr w:type="spellStart"/>
      <w:r w:rsidRPr="0058269B">
        <w:rPr>
          <w:rFonts w:ascii="Georgia" w:hAnsi="Georgia"/>
          <w:i/>
          <w:iCs/>
        </w:rPr>
        <w:t>SquirtCo</w:t>
      </w:r>
      <w:proofErr w:type="spellEnd"/>
      <w:r w:rsidRPr="0058269B">
        <w:rPr>
          <w:rFonts w:ascii="Georgia" w:hAnsi="Georgia"/>
        </w:rPr>
        <w:t>, 628 F.2d at 1091 (“Likewise, actual confusion is not essential to a finding of trademark infringement, although it is positive proof of likelihood of confusion.”).</w:t>
      </w:r>
    </w:p>
    <w:p w14:paraId="4B9780AB" w14:textId="662B018B" w:rsidR="005F33EA" w:rsidRPr="0058269B" w:rsidRDefault="005F33EA" w:rsidP="005F33EA">
      <w:pPr>
        <w:rPr>
          <w:rFonts w:ascii="Georgia" w:hAnsi="Georgia"/>
        </w:rPr>
      </w:pPr>
      <w:bookmarkStart w:id="13" w:name="co_anchor_B142053611497_1"/>
      <w:bookmarkEnd w:id="13"/>
      <w:r w:rsidRPr="0058269B">
        <w:rPr>
          <w:rFonts w:ascii="Georgia" w:hAnsi="Georgia"/>
        </w:rPr>
        <w:t xml:space="preserve">Against this backdrop, we conclude a jury question existed as to the issue of consumer sophistication and summary judgment on the theory of initial-interest confusion was error. For the same reasons, and based on </w:t>
      </w:r>
      <w:proofErr w:type="spellStart"/>
      <w:r w:rsidRPr="0058269B">
        <w:rPr>
          <w:rFonts w:ascii="Georgia" w:hAnsi="Georgia"/>
          <w:i/>
          <w:iCs/>
        </w:rPr>
        <w:t>Insty</w:t>
      </w:r>
      <w:proofErr w:type="spellEnd"/>
      <w:r w:rsidRPr="0058269B">
        <w:rPr>
          <w:rFonts w:ascii="Georgia" w:hAnsi="Georgia"/>
          <w:i/>
          <w:iCs/>
        </w:rPr>
        <w:t>*Bit</w:t>
      </w:r>
      <w:r w:rsidRPr="0058269B">
        <w:rPr>
          <w:rFonts w:ascii="Georgia" w:hAnsi="Georgia"/>
        </w:rPr>
        <w:t xml:space="preserve">, we conclude that limiting the infringement instruction to require confusion at the time of purchase was error. Finally, given the strength of the Plaintiffs’ evidence on the issue of confusion, we cannot conclude that the summary judgment and instructional errors were harmless. </w:t>
      </w:r>
      <w:r w:rsidRPr="0058269B">
        <w:rPr>
          <w:rFonts w:ascii="Georgia" w:hAnsi="Georgia"/>
          <w:u w:val="single"/>
        </w:rPr>
        <w:t>See</w:t>
      </w:r>
      <w:r w:rsidRPr="0058269B">
        <w:rPr>
          <w:rFonts w:ascii="Georgia" w:hAnsi="Georgia"/>
        </w:rPr>
        <w:t xml:space="preserve"> Fed. R. Civ. P. 61. In so ruling, we make no comment as to how a finding of confusion at times other than the moment of purchase might affect the analysis of remedies and the determination of damages.</w:t>
      </w:r>
    </w:p>
    <w:p w14:paraId="0E30105E" w14:textId="77777777" w:rsidR="005F33EA" w:rsidRPr="0058269B" w:rsidRDefault="005F33EA" w:rsidP="005F33EA">
      <w:pPr>
        <w:rPr>
          <w:rFonts w:ascii="Georgia" w:hAnsi="Georgia"/>
        </w:rPr>
      </w:pPr>
      <w:r w:rsidRPr="0058269B">
        <w:rPr>
          <w:rFonts w:ascii="Georgia" w:hAnsi="Georgia"/>
        </w:rPr>
        <w:t>. . . .</w:t>
      </w:r>
    </w:p>
    <w:p w14:paraId="64F09D5E" w14:textId="77777777" w:rsidR="00EB3DF5" w:rsidRPr="0058269B" w:rsidRDefault="00EB3DF5">
      <w:pPr>
        <w:rPr>
          <w:rFonts w:ascii="Georgia" w:hAnsi="Georgia"/>
        </w:rPr>
      </w:pPr>
    </w:p>
    <w:sectPr w:rsidR="00EB3DF5" w:rsidRPr="0058269B" w:rsidSect="0058269B">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E34BF" w14:textId="77777777" w:rsidR="00390D64" w:rsidRDefault="00390D64" w:rsidP="0058269B">
      <w:pPr>
        <w:spacing w:after="0" w:line="240" w:lineRule="auto"/>
      </w:pPr>
      <w:r>
        <w:separator/>
      </w:r>
    </w:p>
  </w:endnote>
  <w:endnote w:type="continuationSeparator" w:id="0">
    <w:p w14:paraId="752B3B13" w14:textId="77777777" w:rsidR="00390D64" w:rsidRDefault="00390D64" w:rsidP="00582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4380385"/>
      <w:docPartObj>
        <w:docPartGallery w:val="Page Numbers (Bottom of Page)"/>
        <w:docPartUnique/>
      </w:docPartObj>
    </w:sdtPr>
    <w:sdtContent>
      <w:sdt>
        <w:sdtPr>
          <w:id w:val="1728636285"/>
          <w:docPartObj>
            <w:docPartGallery w:val="Page Numbers (Top of Page)"/>
            <w:docPartUnique/>
          </w:docPartObj>
        </w:sdtPr>
        <w:sdtContent>
          <w:p w14:paraId="225648E3" w14:textId="4E75CCFA" w:rsidR="0058269B" w:rsidRDefault="0058269B">
            <w:pPr>
              <w:pStyle w:val="Footer"/>
              <w:jc w:val="center"/>
            </w:pPr>
            <w:r w:rsidRPr="0058269B">
              <w:rPr>
                <w:rFonts w:ascii="Georgia" w:hAnsi="Georgia"/>
              </w:rPr>
              <w:t xml:space="preserve">Page </w:t>
            </w:r>
            <w:r w:rsidRPr="0058269B">
              <w:rPr>
                <w:rFonts w:ascii="Georgia" w:hAnsi="Georgia"/>
                <w:sz w:val="24"/>
                <w:szCs w:val="24"/>
              </w:rPr>
              <w:fldChar w:fldCharType="begin"/>
            </w:r>
            <w:r w:rsidRPr="0058269B">
              <w:rPr>
                <w:rFonts w:ascii="Georgia" w:hAnsi="Georgia"/>
              </w:rPr>
              <w:instrText xml:space="preserve"> PAGE </w:instrText>
            </w:r>
            <w:r w:rsidRPr="0058269B">
              <w:rPr>
                <w:rFonts w:ascii="Georgia" w:hAnsi="Georgia"/>
                <w:sz w:val="24"/>
                <w:szCs w:val="24"/>
              </w:rPr>
              <w:fldChar w:fldCharType="separate"/>
            </w:r>
            <w:r w:rsidRPr="0058269B">
              <w:rPr>
                <w:rFonts w:ascii="Georgia" w:hAnsi="Georgia"/>
                <w:noProof/>
              </w:rPr>
              <w:t>2</w:t>
            </w:r>
            <w:r w:rsidRPr="0058269B">
              <w:rPr>
                <w:rFonts w:ascii="Georgia" w:hAnsi="Georgia"/>
                <w:sz w:val="24"/>
                <w:szCs w:val="24"/>
              </w:rPr>
              <w:fldChar w:fldCharType="end"/>
            </w:r>
            <w:r w:rsidRPr="0058269B">
              <w:rPr>
                <w:rFonts w:ascii="Georgia" w:hAnsi="Georgia"/>
              </w:rPr>
              <w:t xml:space="preserve"> of </w:t>
            </w:r>
            <w:r w:rsidRPr="0058269B">
              <w:rPr>
                <w:rFonts w:ascii="Georgia" w:hAnsi="Georgia"/>
                <w:sz w:val="24"/>
                <w:szCs w:val="24"/>
              </w:rPr>
              <w:fldChar w:fldCharType="begin"/>
            </w:r>
            <w:r w:rsidRPr="0058269B">
              <w:rPr>
                <w:rFonts w:ascii="Georgia" w:hAnsi="Georgia"/>
              </w:rPr>
              <w:instrText xml:space="preserve"> NUMPAGES  </w:instrText>
            </w:r>
            <w:r w:rsidRPr="0058269B">
              <w:rPr>
                <w:rFonts w:ascii="Georgia" w:hAnsi="Georgia"/>
                <w:sz w:val="24"/>
                <w:szCs w:val="24"/>
              </w:rPr>
              <w:fldChar w:fldCharType="separate"/>
            </w:r>
            <w:r w:rsidRPr="0058269B">
              <w:rPr>
                <w:rFonts w:ascii="Georgia" w:hAnsi="Georgia"/>
                <w:noProof/>
              </w:rPr>
              <w:t>2</w:t>
            </w:r>
            <w:r w:rsidRPr="0058269B">
              <w:rPr>
                <w:rFonts w:ascii="Georgia" w:hAnsi="Georgia"/>
                <w:sz w:val="24"/>
                <w:szCs w:val="24"/>
              </w:rPr>
              <w:fldChar w:fldCharType="end"/>
            </w:r>
          </w:p>
        </w:sdtContent>
      </w:sdt>
    </w:sdtContent>
  </w:sdt>
  <w:p w14:paraId="21CC131C" w14:textId="77777777" w:rsidR="0058269B" w:rsidRDefault="00582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72817" w14:textId="77777777" w:rsidR="00390D64" w:rsidRDefault="00390D64" w:rsidP="0058269B">
      <w:pPr>
        <w:spacing w:after="0" w:line="240" w:lineRule="auto"/>
      </w:pPr>
      <w:r>
        <w:separator/>
      </w:r>
    </w:p>
  </w:footnote>
  <w:footnote w:type="continuationSeparator" w:id="0">
    <w:p w14:paraId="6A3A53F2" w14:textId="77777777" w:rsidR="00390D64" w:rsidRDefault="00390D64" w:rsidP="005826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3EA"/>
    <w:rsid w:val="000A4AD4"/>
    <w:rsid w:val="000C53B3"/>
    <w:rsid w:val="0016510F"/>
    <w:rsid w:val="00390D64"/>
    <w:rsid w:val="0058269B"/>
    <w:rsid w:val="005F33EA"/>
    <w:rsid w:val="008A2CC9"/>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E6B4B"/>
  <w15:chartTrackingRefBased/>
  <w15:docId w15:val="{C94C1E54-6636-4A5E-9E1F-B587917B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3EA"/>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5F33EA"/>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33EA"/>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33EA"/>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F33EA"/>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5F33EA"/>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5F33EA"/>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5F33EA"/>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5F33EA"/>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5F33EA"/>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3EA"/>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5F3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3EA"/>
    <w:rPr>
      <w:rFonts w:eastAsiaTheme="majorEastAsia" w:cstheme="majorBidi"/>
      <w:color w:val="272727" w:themeColor="text1" w:themeTint="D8"/>
    </w:rPr>
  </w:style>
  <w:style w:type="paragraph" w:styleId="Title">
    <w:name w:val="Title"/>
    <w:basedOn w:val="Normal"/>
    <w:next w:val="Normal"/>
    <w:link w:val="TitleChar"/>
    <w:uiPriority w:val="10"/>
    <w:qFormat/>
    <w:rsid w:val="005F33EA"/>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3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3EA"/>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F3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3EA"/>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5F33EA"/>
    <w:rPr>
      <w:i/>
      <w:iCs/>
      <w:color w:val="404040" w:themeColor="text1" w:themeTint="BF"/>
    </w:rPr>
  </w:style>
  <w:style w:type="paragraph" w:styleId="ListParagraph">
    <w:name w:val="List Paragraph"/>
    <w:basedOn w:val="Normal"/>
    <w:uiPriority w:val="34"/>
    <w:qFormat/>
    <w:rsid w:val="005F33EA"/>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5F33EA"/>
    <w:rPr>
      <w:i/>
      <w:iCs/>
      <w:color w:val="0F4761" w:themeColor="accent1" w:themeShade="BF"/>
    </w:rPr>
  </w:style>
  <w:style w:type="paragraph" w:styleId="IntenseQuote">
    <w:name w:val="Intense Quote"/>
    <w:basedOn w:val="Normal"/>
    <w:next w:val="Normal"/>
    <w:link w:val="IntenseQuoteChar"/>
    <w:uiPriority w:val="30"/>
    <w:qFormat/>
    <w:rsid w:val="005F33EA"/>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5F33EA"/>
    <w:rPr>
      <w:i/>
      <w:iCs/>
      <w:color w:val="0F4761" w:themeColor="accent1" w:themeShade="BF"/>
    </w:rPr>
  </w:style>
  <w:style w:type="character" w:styleId="IntenseReference">
    <w:name w:val="Intense Reference"/>
    <w:basedOn w:val="DefaultParagraphFont"/>
    <w:uiPriority w:val="32"/>
    <w:qFormat/>
    <w:rsid w:val="005F33EA"/>
    <w:rPr>
      <w:b/>
      <w:bCs/>
      <w:smallCaps/>
      <w:color w:val="0F4761" w:themeColor="accent1" w:themeShade="BF"/>
      <w:spacing w:val="5"/>
    </w:rPr>
  </w:style>
  <w:style w:type="paragraph" w:customStyle="1" w:styleId="OpinionCitation">
    <w:name w:val="Opinion Citation"/>
    <w:basedOn w:val="Normal"/>
    <w:link w:val="OpinionCitationChar"/>
    <w:qFormat/>
    <w:rsid w:val="005F33EA"/>
    <w:pPr>
      <w:keepNext/>
      <w:spacing w:after="120"/>
      <w:ind w:firstLine="0"/>
    </w:pPr>
    <w:rPr>
      <w:b/>
    </w:rPr>
  </w:style>
  <w:style w:type="character" w:customStyle="1" w:styleId="OpinionCitationChar">
    <w:name w:val="Opinion Citation Char"/>
    <w:link w:val="OpinionCitation"/>
    <w:rsid w:val="005F33EA"/>
    <w:rPr>
      <w:rFonts w:ascii="Cambria" w:eastAsia="Calibri" w:hAnsi="Cambria" w:cs="Times New Roman"/>
      <w:b/>
      <w:kern w:val="0"/>
      <w:szCs w:val="20"/>
      <w14:ligatures w14:val="none"/>
    </w:rPr>
  </w:style>
  <w:style w:type="paragraph" w:customStyle="1" w:styleId="NormalNoIndent">
    <w:name w:val="Normal No Indent"/>
    <w:basedOn w:val="Normal"/>
    <w:link w:val="NormalNoIndentChar"/>
    <w:qFormat/>
    <w:rsid w:val="005F33EA"/>
    <w:pPr>
      <w:ind w:firstLine="0"/>
    </w:pPr>
  </w:style>
  <w:style w:type="character" w:customStyle="1" w:styleId="NormalNoIndentChar">
    <w:name w:val="Normal No Indent Char"/>
    <w:link w:val="NormalNoIndent"/>
    <w:rsid w:val="005F33EA"/>
    <w:rPr>
      <w:rFonts w:ascii="Cambria" w:eastAsia="Calibri" w:hAnsi="Cambria" w:cs="Times New Roman"/>
      <w:kern w:val="0"/>
      <w:szCs w:val="20"/>
      <w14:ligatures w14:val="none"/>
    </w:rPr>
  </w:style>
  <w:style w:type="paragraph" w:customStyle="1" w:styleId="Centered">
    <w:name w:val="Centered"/>
    <w:basedOn w:val="Normal"/>
    <w:link w:val="CenteredChar"/>
    <w:qFormat/>
    <w:rsid w:val="005F33EA"/>
    <w:pPr>
      <w:ind w:firstLine="0"/>
      <w:jc w:val="center"/>
    </w:pPr>
    <w:rPr>
      <w:i/>
      <w:iCs/>
    </w:rPr>
  </w:style>
  <w:style w:type="character" w:customStyle="1" w:styleId="CenteredChar">
    <w:name w:val="Centered Char"/>
    <w:link w:val="Centered"/>
    <w:rsid w:val="005F33EA"/>
    <w:rPr>
      <w:rFonts w:ascii="Cambria" w:eastAsia="Calibri" w:hAnsi="Cambria" w:cs="Times New Roman"/>
      <w:i/>
      <w:iCs/>
      <w:kern w:val="0"/>
      <w:szCs w:val="20"/>
      <w14:ligatures w14:val="none"/>
    </w:rPr>
  </w:style>
  <w:style w:type="paragraph" w:customStyle="1" w:styleId="Normal-Centered">
    <w:name w:val="*Normal-Centered"/>
    <w:basedOn w:val="NormalNoIndent"/>
    <w:link w:val="Normal-CenteredChar"/>
    <w:qFormat/>
    <w:rsid w:val="005F33EA"/>
    <w:pPr>
      <w:jc w:val="center"/>
    </w:pPr>
  </w:style>
  <w:style w:type="character" w:customStyle="1" w:styleId="Normal-CenteredChar">
    <w:name w:val="*Normal-Centered Char"/>
    <w:basedOn w:val="NormalNoIndentChar"/>
    <w:link w:val="Normal-Centered"/>
    <w:rsid w:val="005F33EA"/>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582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69B"/>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58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69B"/>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3247</Words>
  <Characters>18514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2024-07-15T22:24:00Z</dcterms:created>
  <dcterms:modified xsi:type="dcterms:W3CDTF">2024-07-24T10:23:00Z</dcterms:modified>
</cp:coreProperties>
</file>