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B26A3" w14:textId="77777777" w:rsidR="00EB799F" w:rsidRPr="00660DC5" w:rsidRDefault="00EB799F" w:rsidP="00660DC5">
      <w:pPr>
        <w:pStyle w:val="Heading7"/>
        <w:jc w:val="center"/>
        <w:rPr>
          <w:rFonts w:ascii="Georgia" w:hAnsi="Georgia"/>
          <w:b/>
          <w:bCs/>
          <w:color w:val="000000" w:themeColor="text1"/>
          <w:sz w:val="32"/>
          <w:szCs w:val="32"/>
        </w:rPr>
      </w:pPr>
      <w:bookmarkStart w:id="0" w:name="_Toc171715711"/>
      <w:r w:rsidRPr="00660DC5">
        <w:rPr>
          <w:rFonts w:ascii="Georgia" w:hAnsi="Georgia"/>
          <w:b/>
          <w:bCs/>
          <w:color w:val="000000" w:themeColor="text1"/>
          <w:sz w:val="32"/>
          <w:szCs w:val="32"/>
        </w:rPr>
        <w:t>Specialized Seating, Inc. v. Greenwich Industries, L.P.</w:t>
      </w:r>
      <w:bookmarkEnd w:id="0"/>
    </w:p>
    <w:p w14:paraId="25760F10" w14:textId="77777777" w:rsidR="00EB799F" w:rsidRPr="00660DC5" w:rsidRDefault="00EB799F" w:rsidP="00660DC5">
      <w:pPr>
        <w:pStyle w:val="OpinionCitation"/>
        <w:jc w:val="center"/>
        <w:rPr>
          <w:rFonts w:ascii="Georgia" w:hAnsi="Georgia"/>
        </w:rPr>
      </w:pPr>
      <w:r w:rsidRPr="00660DC5">
        <w:rPr>
          <w:rFonts w:ascii="Georgia" w:hAnsi="Georgia"/>
        </w:rPr>
        <w:t>616 F.3d 722 (7th Cir. 2010)</w:t>
      </w:r>
    </w:p>
    <w:p w14:paraId="3D2C961B" w14:textId="77777777" w:rsidR="00EB799F" w:rsidRPr="00660DC5" w:rsidRDefault="00EB799F" w:rsidP="00EB799F">
      <w:pPr>
        <w:rPr>
          <w:rFonts w:ascii="Georgia" w:hAnsi="Georgia"/>
        </w:rPr>
      </w:pPr>
      <w:r w:rsidRPr="00660DC5">
        <w:rPr>
          <w:rFonts w:ascii="Georgia" w:hAnsi="Georgia"/>
          <w:noProof/>
        </w:rPr>
        <w:drawing>
          <wp:anchor distT="0" distB="0" distL="114300" distR="114300" simplePos="0" relativeHeight="251659264" behindDoc="0" locked="0" layoutInCell="1" allowOverlap="1" wp14:anchorId="608B5A27" wp14:editId="58982B9F">
            <wp:simplePos x="0" y="0"/>
            <wp:positionH relativeFrom="column">
              <wp:posOffset>3886200</wp:posOffset>
            </wp:positionH>
            <wp:positionV relativeFrom="paragraph">
              <wp:posOffset>610235</wp:posOffset>
            </wp:positionV>
            <wp:extent cx="1144905" cy="1831975"/>
            <wp:effectExtent l="0" t="0" r="0" b="0"/>
            <wp:wrapSquare wrapText="bothSides"/>
            <wp:docPr id="64" name="Picture 114" descr="A black and white drawing of a folding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14" descr="A black and white drawing of a folding chai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4905" cy="183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0DC5">
        <w:rPr>
          <w:rFonts w:ascii="Georgia" w:hAnsi="Georgia"/>
        </w:rPr>
        <w:t>{Declaratory defendant Greenwich Industries, L.P., doing business under the name Clarin, owned PTO Registration No. 2,803,875 for a trademark for folding chairs consisting of “a configuration of a folding chair containing an X-frame profile, a flat channel flanked on each side by rolled edges around the perimeter of the chair, two cross bars with a flat channel and rolled edges at the back bottom of the chair, one cross bar with a flat channel and rolled edges on the front bottom, protruding feet, and a back support, the outer sides of which slant inward.”  An image of the folding chair configuration is provided to the right. Specialized Seating, Inc. (“Specialized”) sought a declaratory judgment that its folding chair design did not infringe Clarin’s design. Specialized argued that Clarin’s mark was functional. The district court held a bench trial and agreed, ordering that the registration be cancelled. Clarin appealed.}</w:t>
      </w:r>
    </w:p>
    <w:p w14:paraId="7287539C" w14:textId="77777777" w:rsidR="00EB799F" w:rsidRPr="00660DC5" w:rsidRDefault="00EB799F" w:rsidP="00EB799F">
      <w:pPr>
        <w:pStyle w:val="Normal-Centered"/>
        <w:rPr>
          <w:rFonts w:ascii="Georgia" w:hAnsi="Georgia"/>
        </w:rPr>
      </w:pPr>
    </w:p>
    <w:p w14:paraId="4C9F84A7" w14:textId="77777777" w:rsidR="00EB799F" w:rsidRPr="00660DC5" w:rsidRDefault="00EB799F" w:rsidP="00EB799F">
      <w:pPr>
        <w:keepNext/>
        <w:rPr>
          <w:rFonts w:ascii="Georgia" w:hAnsi="Georgia"/>
        </w:rPr>
      </w:pPr>
      <w:r w:rsidRPr="00660DC5">
        <w:rPr>
          <w:rFonts w:ascii="Georgia" w:hAnsi="Georgia"/>
        </w:rPr>
        <w:t>EASTERBROOK, Circuit Judge</w:t>
      </w:r>
    </w:p>
    <w:p w14:paraId="1EB0D39C" w14:textId="77777777" w:rsidR="00EB799F" w:rsidRPr="00660DC5" w:rsidRDefault="00EB799F" w:rsidP="00EB799F">
      <w:pPr>
        <w:rPr>
          <w:rFonts w:ascii="Georgia" w:hAnsi="Georgia"/>
        </w:rPr>
      </w:pPr>
      <w:r w:rsidRPr="00660DC5">
        <w:rPr>
          <w:rFonts w:ascii="Georgia" w:hAnsi="Georgia"/>
        </w:rPr>
        <w:t>. . . .</w:t>
      </w:r>
    </w:p>
    <w:p w14:paraId="00B2D274" w14:textId="0D382528" w:rsidR="00EB799F" w:rsidRPr="00660DC5" w:rsidRDefault="00EB799F" w:rsidP="00EB799F">
      <w:pPr>
        <w:rPr>
          <w:rFonts w:ascii="Georgia" w:hAnsi="Georgia"/>
        </w:rPr>
      </w:pPr>
      <w:r w:rsidRPr="00660DC5">
        <w:rPr>
          <w:rFonts w:ascii="Georgia" w:hAnsi="Georgia"/>
        </w:rPr>
        <w:t>The [district] judge found that [Clarin’s] x-frame construction is functional because it was designed to be an optimal tradeoff between a chair’s weight (and thus its cost, since lighter chairs use less steel) and its strength; an x-frame chair also folds itself naturally when knocked over (an important consideration for large auditoriums, where it is vital that chairs not impede exit if a fire or panic breaks out); the flat channel at the seat’s edge, where the attachment to the frame slides so that the chair can fold, was designed for strength and attaching hooks to link a chair with its nearest neighbor; the front and back cross bars contribute strength (and allow thinner tubing to be used in the rest of the frame); and the inward-sloping frame of the back support allows the chair to support greater vertical loads than Clarin’s older “a-back” design, which the “b-back” design, depicted in the trademark registration, succeeded. The a-back design is on the left and the b-back on the right:</w:t>
      </w:r>
    </w:p>
    <w:p w14:paraId="67406A41" w14:textId="77777777" w:rsidR="00EB799F" w:rsidRPr="00660DC5" w:rsidRDefault="00EB799F" w:rsidP="00EB799F">
      <w:pPr>
        <w:pStyle w:val="Normal-Centered"/>
        <w:rPr>
          <w:rFonts w:ascii="Georgia" w:hAnsi="Georgia"/>
        </w:rPr>
      </w:pPr>
      <w:r w:rsidRPr="00660DC5">
        <w:rPr>
          <w:rFonts w:ascii="Georgia" w:hAnsi="Georgia"/>
          <w:noProof/>
        </w:rPr>
        <w:drawing>
          <wp:inline distT="0" distB="0" distL="0" distR="0" wp14:anchorId="0CE8A959" wp14:editId="311212C6">
            <wp:extent cx="2436002" cy="923925"/>
            <wp:effectExtent l="0" t="0" r="2540" b="0"/>
            <wp:docPr id="65" name="Picture 11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13" descr="A close up of a fla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6898" cy="928057"/>
                    </a:xfrm>
                    <a:prstGeom prst="rect">
                      <a:avLst/>
                    </a:prstGeom>
                    <a:noFill/>
                    <a:ln>
                      <a:noFill/>
                    </a:ln>
                  </pic:spPr>
                </pic:pic>
              </a:graphicData>
            </a:graphic>
          </wp:inline>
        </w:drawing>
      </w:r>
    </w:p>
    <w:p w14:paraId="2D392FB5" w14:textId="3DF627F4" w:rsidR="00EB799F" w:rsidRPr="00660DC5" w:rsidRDefault="00EB799F" w:rsidP="00EB799F">
      <w:pPr>
        <w:rPr>
          <w:rFonts w:ascii="Georgia" w:hAnsi="Georgia"/>
        </w:rPr>
      </w:pPr>
      <w:r w:rsidRPr="00660DC5">
        <w:rPr>
          <w:rFonts w:ascii="Georgia" w:hAnsi="Georgia"/>
        </w:rPr>
        <w:lastRenderedPageBreak/>
        <w:t>Clarin chairs with a-back designs failed when the audience at rock concerts, seeking a better view, sat on top of the chairs’ backs and put their feet on the seats. The tubing buckled at the bend in the frame. The b-back design is less likely to buckle when someone sits on it, and it also produces a somewhat wider back, which concert promoters see as a benefit. (Patrons sometimes try to get closer to the stage by stepping through rows of chairs. The gap between b-back chairs is smaller, so they are more effective at keeping crowds in place.)</w:t>
      </w:r>
    </w:p>
    <w:p w14:paraId="05E80DDF" w14:textId="27678CDD" w:rsidR="00EB799F" w:rsidRPr="00660DC5" w:rsidRDefault="00EB799F" w:rsidP="00EB799F">
      <w:pPr>
        <w:rPr>
          <w:rFonts w:ascii="Georgia" w:hAnsi="Georgia"/>
        </w:rPr>
      </w:pPr>
      <w:r w:rsidRPr="00660DC5">
        <w:rPr>
          <w:rFonts w:ascii="Georgia" w:hAnsi="Georgia"/>
        </w:rPr>
        <w:t xml:space="preserve">Having concluded not only that the overall design of Clarin’s chair is functional, but also that each feature is functional, the district judge added that Clarin had defrauded the Patent and Trademark Office by giving misleadingly incomplete answers to the trademark examiner’s questions. The examiner initially turned down Clarin’s proposal to register the design as a trademark, observing that the design appeared to be functional. Clarin replied that the design was chosen for aesthetic rather than functional reasons. (This was not a complete answer, as attractiveness is a </w:t>
      </w:r>
      <w:r w:rsidRPr="00660DC5">
        <w:rPr>
          <w:rFonts w:ascii="Georgia" w:hAnsi="Georgia"/>
          <w:i/>
          <w:iCs/>
        </w:rPr>
        <w:t>kind</w:t>
      </w:r>
      <w:r w:rsidRPr="00660DC5">
        <w:rPr>
          <w:rFonts w:ascii="Georgia" w:hAnsi="Georgia"/>
        </w:rPr>
        <w:t xml:space="preserve"> of function. See </w:t>
      </w:r>
      <w:r w:rsidRPr="00660DC5">
        <w:rPr>
          <w:rFonts w:ascii="Georgia" w:hAnsi="Georgia"/>
          <w:i/>
          <w:iCs/>
        </w:rPr>
        <w:t>Jay Franco &amp; Sons, Inc. v. Franek,</w:t>
      </w:r>
      <w:r w:rsidRPr="00660DC5">
        <w:rPr>
          <w:rFonts w:ascii="Georgia" w:hAnsi="Georgia"/>
        </w:rPr>
        <w:t xml:space="preserve"> 615 F.3d 855, 860–61 (7th Cir. 2010). But we need not pursue that subject.) Clarin observed that a patent it held </w:t>
      </w:r>
      <w:proofErr w:type="gramStart"/>
      <w:r w:rsidRPr="00660DC5">
        <w:rPr>
          <w:rFonts w:ascii="Georgia" w:hAnsi="Georgia"/>
        </w:rPr>
        <w:t>on</w:t>
      </w:r>
      <w:proofErr w:type="gramEnd"/>
      <w:r w:rsidRPr="00660DC5">
        <w:rPr>
          <w:rFonts w:ascii="Georgia" w:hAnsi="Georgia"/>
        </w:rPr>
        <w:t xml:space="preserve"> an x-frame chair, No. 1,943,058, issued in 1934, did not include all of the features in the mark’s design. What Clarin did not tell the examiner is that it held three other patents on x-frame designs: No. 1,600,248, issued in 1926; No. 2,137,803, issued in 1938; and No. 3,127,218, issued in 1964. The district judge concluded that the four patents collectively cover every feature of the design submitted for a trademark except the b-back, and that as the b-back is a functional improvement over the a-back Clarin should have disclosed </w:t>
      </w:r>
      <w:proofErr w:type="gramStart"/>
      <w:r w:rsidRPr="00660DC5">
        <w:rPr>
          <w:rFonts w:ascii="Georgia" w:hAnsi="Georgia"/>
        </w:rPr>
        <w:t>all of</w:t>
      </w:r>
      <w:proofErr w:type="gramEnd"/>
      <w:r w:rsidRPr="00660DC5">
        <w:rPr>
          <w:rFonts w:ascii="Georgia" w:hAnsi="Georgia"/>
        </w:rPr>
        <w:t xml:space="preserve"> these utility patents. Had it done so, the judge thought, the examiner would have refused to register the proposed mark.</w:t>
      </w:r>
    </w:p>
    <w:p w14:paraId="3268D2B1" w14:textId="77777777" w:rsidR="00EB799F" w:rsidRPr="00660DC5" w:rsidRDefault="00EB799F" w:rsidP="00EB799F">
      <w:pPr>
        <w:rPr>
          <w:rFonts w:ascii="Georgia" w:hAnsi="Georgia"/>
        </w:rPr>
      </w:pPr>
      <w:r w:rsidRPr="00660DC5">
        <w:rPr>
          <w:rFonts w:ascii="Georgia" w:hAnsi="Georgia"/>
        </w:rPr>
        <w:t>. . . .</w:t>
      </w:r>
    </w:p>
    <w:p w14:paraId="7A67B05B" w14:textId="4A93D03A" w:rsidR="00EB799F" w:rsidRPr="00660DC5" w:rsidRDefault="00EB799F" w:rsidP="00EB799F">
      <w:pPr>
        <w:rPr>
          <w:rFonts w:ascii="Georgia" w:hAnsi="Georgia"/>
        </w:rPr>
      </w:pPr>
      <w:r w:rsidRPr="00660DC5">
        <w:rPr>
          <w:rFonts w:ascii="Georgia" w:hAnsi="Georgia"/>
        </w:rPr>
        <w:t xml:space="preserve">The district judge started from the proposition, which the Supreme Court articulated in </w:t>
      </w:r>
      <w:proofErr w:type="spellStart"/>
      <w:r w:rsidRPr="00660DC5">
        <w:rPr>
          <w:rFonts w:ascii="Georgia" w:hAnsi="Georgia"/>
          <w:i/>
          <w:iCs/>
        </w:rPr>
        <w:t>TrafFix</w:t>
      </w:r>
      <w:proofErr w:type="spellEnd"/>
      <w:r w:rsidRPr="00660DC5">
        <w:rPr>
          <w:rFonts w:ascii="Georgia" w:hAnsi="Georgia"/>
          <w:i/>
          <w:iCs/>
        </w:rPr>
        <w:t>,</w:t>
      </w:r>
      <w:r w:rsidRPr="00660DC5">
        <w:rPr>
          <w:rFonts w:ascii="Georgia" w:hAnsi="Georgia"/>
        </w:rPr>
        <w:t xml:space="preserve"> that claims in an expired utility patent presumptively are functional. Since utility patents are supposed to be restricted to inventions that have utility, and thus are functional, that’s a sensible starting point—and since inventions covered by utility patents pass into the public domain when the patent expires, it is inappropriate to use trademark law to afford extended protection to a patented invention. See also </w:t>
      </w:r>
      <w:r w:rsidRPr="00660DC5">
        <w:rPr>
          <w:rFonts w:ascii="Georgia" w:hAnsi="Georgia"/>
          <w:i/>
          <w:iCs/>
        </w:rPr>
        <w:t>Jay Franco,</w:t>
      </w:r>
      <w:r w:rsidRPr="00660DC5">
        <w:rPr>
          <w:rFonts w:ascii="Georgia" w:hAnsi="Georgia"/>
        </w:rPr>
        <w:t xml:space="preserve"> 615 F.3d at 857–59. Clarin itself obtained four utility patents for aspects of the x-frame folding chair. These patents disclose every aspect of the asserted trademark design except for the b-back. And the district judge did not commit a clear error by concluding that the b-back design is a functional improvement over the a-back design. This means that the trademark design is functional as a unit, and that every important aspect of it is independently functional. It looks the way it does </w:t>
      </w:r>
      <w:proofErr w:type="gramStart"/>
      <w:r w:rsidRPr="00660DC5">
        <w:rPr>
          <w:rFonts w:ascii="Georgia" w:hAnsi="Georgia"/>
        </w:rPr>
        <w:t>in order to</w:t>
      </w:r>
      <w:proofErr w:type="gramEnd"/>
      <w:r w:rsidRPr="00660DC5">
        <w:rPr>
          <w:rFonts w:ascii="Georgia" w:hAnsi="Georgia"/>
        </w:rPr>
        <w:t xml:space="preserve"> be a better chair, not in order to be a better way of identifying who made it (the function of a trademark).</w:t>
      </w:r>
    </w:p>
    <w:p w14:paraId="76E58E03" w14:textId="23A82806" w:rsidR="00EB799F" w:rsidRPr="00660DC5" w:rsidRDefault="00EB799F" w:rsidP="00EB799F">
      <w:pPr>
        <w:rPr>
          <w:rFonts w:ascii="Georgia" w:hAnsi="Georgia"/>
        </w:rPr>
      </w:pPr>
      <w:r w:rsidRPr="00660DC5">
        <w:rPr>
          <w:rFonts w:ascii="Georgia" w:hAnsi="Georgia"/>
        </w:rPr>
        <w:lastRenderedPageBreak/>
        <w:t xml:space="preserve">We do not doubt that there are many other available functional designs. Sometimes the function of the functionality doctrine is to prevent firms from appropriating basic forms (such as the circle) that go into many designs. Our contemporaneous opinion in </w:t>
      </w:r>
      <w:r w:rsidRPr="00660DC5">
        <w:rPr>
          <w:rFonts w:ascii="Georgia" w:hAnsi="Georgia"/>
          <w:i/>
          <w:iCs/>
        </w:rPr>
        <w:t>Jay Franco</w:t>
      </w:r>
      <w:r w:rsidRPr="00660DC5">
        <w:rPr>
          <w:rFonts w:ascii="Georgia" w:hAnsi="Georgia"/>
        </w:rPr>
        <w:t xml:space="preserve"> discusses that aspect of the functionality doctrine. This does not imply that preserving basic elements for the public domain is the doctrine’s </w:t>
      </w:r>
      <w:r w:rsidRPr="00660DC5">
        <w:rPr>
          <w:rFonts w:ascii="Georgia" w:hAnsi="Georgia"/>
          <w:i/>
          <w:iCs/>
        </w:rPr>
        <w:t>only</w:t>
      </w:r>
      <w:r w:rsidRPr="00660DC5">
        <w:rPr>
          <w:rFonts w:ascii="Georgia" w:hAnsi="Georgia"/>
        </w:rPr>
        <w:t xml:space="preserve"> role.</w:t>
      </w:r>
    </w:p>
    <w:p w14:paraId="5F860C23" w14:textId="051437B0" w:rsidR="00EB799F" w:rsidRPr="00660DC5" w:rsidRDefault="00EB799F" w:rsidP="00EB799F">
      <w:pPr>
        <w:rPr>
          <w:rFonts w:ascii="Georgia" w:hAnsi="Georgia"/>
        </w:rPr>
      </w:pPr>
      <w:r w:rsidRPr="00660DC5">
        <w:rPr>
          <w:rFonts w:ascii="Georgia" w:hAnsi="Georgia"/>
        </w:rPr>
        <w:t xml:space="preserve">Another goal, as </w:t>
      </w:r>
      <w:proofErr w:type="spellStart"/>
      <w:r w:rsidRPr="00660DC5">
        <w:rPr>
          <w:rFonts w:ascii="Georgia" w:hAnsi="Georgia"/>
          <w:i/>
          <w:iCs/>
        </w:rPr>
        <w:t>TrafFix</w:t>
      </w:r>
      <w:proofErr w:type="spellEnd"/>
      <w:r w:rsidRPr="00660DC5">
        <w:rPr>
          <w:rFonts w:ascii="Georgia" w:hAnsi="Georgia"/>
        </w:rPr>
        <w:t xml:space="preserve"> stressed, is to separate the spheres of patent and trademark law, and to ensure that the term of a patent is not extended beyond the period authorized by the legislature. A design such as Clarin’s x-frame chair is functional not because it is the only way to do things, but because it represents one of many solutions to a problem. Clarin tells us that other designs are stronger, or thinner, or less likely to collapse when someone sits on the backrest, or lighter and so easier to carry and set up. Granted. But as Clarin’s ‘248 patent states, the x-frame design achieves a favorable strength-to-weight ratio. Plastic chairs are lighter but weaker. Y-frame chairs are stronger but use more metal (and so are heavier and more expensive); some alternative designs must be made with box-shaped metal pieces to achieve strength, and this adds to weight and the cost of fabrication. The list of alternative designs is very long, and it is easy to see why hundreds of different-looking folding chairs are on the market.</w:t>
      </w:r>
    </w:p>
    <w:p w14:paraId="348C8F14" w14:textId="10F93F93" w:rsidR="00EB799F" w:rsidRPr="00660DC5" w:rsidRDefault="00EB799F" w:rsidP="00EB799F">
      <w:pPr>
        <w:rPr>
          <w:rFonts w:ascii="Georgia" w:hAnsi="Georgia"/>
        </w:rPr>
      </w:pPr>
      <w:r w:rsidRPr="00660DC5">
        <w:rPr>
          <w:rFonts w:ascii="Georgia" w:hAnsi="Georgia"/>
        </w:rPr>
        <w:t xml:space="preserve">What this says to us is that </w:t>
      </w:r>
      <w:proofErr w:type="gramStart"/>
      <w:r w:rsidRPr="00660DC5">
        <w:rPr>
          <w:rFonts w:ascii="Georgia" w:hAnsi="Georgia"/>
          <w:i/>
          <w:iCs/>
        </w:rPr>
        <w:t>all</w:t>
      </w:r>
      <w:r w:rsidRPr="00660DC5">
        <w:rPr>
          <w:rFonts w:ascii="Georgia" w:hAnsi="Georgia"/>
        </w:rPr>
        <w:t xml:space="preserve"> of</w:t>
      </w:r>
      <w:proofErr w:type="gramEnd"/>
      <w:r w:rsidRPr="00660DC5">
        <w:rPr>
          <w:rFonts w:ascii="Georgia" w:hAnsi="Georgia"/>
        </w:rPr>
        <w:t xml:space="preserve"> the designs are functional, in the sense that they represent different compromises along the axes of weight, strength, kind of material, ease of setup, ability to connect (“gang”) the chairs together for maximum seating density, and so on. A novel or distinctive selection of attributes on these many dimensions can be protected for a time by a utility patent or a design patent, but it cannot be protected forever as one producer’s trade dress. When the patent expires, other firms are free to copy the design to the last detail </w:t>
      </w:r>
      <w:proofErr w:type="gramStart"/>
      <w:r w:rsidRPr="00660DC5">
        <w:rPr>
          <w:rFonts w:ascii="Georgia" w:hAnsi="Georgia"/>
        </w:rPr>
        <w:t>in order to</w:t>
      </w:r>
      <w:proofErr w:type="gramEnd"/>
      <w:r w:rsidRPr="00660DC5">
        <w:rPr>
          <w:rFonts w:ascii="Georgia" w:hAnsi="Georgia"/>
        </w:rPr>
        <w:t xml:space="preserve"> increase competition and drive down the price that consumers pay. See, e.g., </w:t>
      </w:r>
      <w:r w:rsidRPr="00660DC5">
        <w:rPr>
          <w:rFonts w:ascii="Georgia" w:hAnsi="Georgia"/>
          <w:i/>
          <w:iCs/>
        </w:rPr>
        <w:t>Bonito Boats, Inc. v. Thunder Craft Boats, Inc.,</w:t>
      </w:r>
      <w:r w:rsidRPr="00660DC5">
        <w:rPr>
          <w:rFonts w:ascii="Georgia" w:hAnsi="Georgia"/>
        </w:rPr>
        <w:t xml:space="preserve"> 489 U.S. 141(1989); </w:t>
      </w:r>
      <w:r w:rsidRPr="00660DC5">
        <w:rPr>
          <w:rFonts w:ascii="Georgia" w:hAnsi="Georgia"/>
          <w:i/>
          <w:iCs/>
        </w:rPr>
        <w:t>Sears, Roebuck &amp; Co. v. Stiffel Co.,</w:t>
      </w:r>
      <w:r w:rsidRPr="00660DC5">
        <w:rPr>
          <w:rFonts w:ascii="Georgia" w:hAnsi="Georgia"/>
        </w:rPr>
        <w:t xml:space="preserve"> 376 U.S. 225 (1964) </w:t>
      </w:r>
      <w:proofErr w:type="gramStart"/>
      <w:r w:rsidRPr="00660DC5">
        <w:rPr>
          <w:rFonts w:ascii="Georgia" w:hAnsi="Georgia"/>
        </w:rPr>
        <w:t>. . . .</w:t>
      </w:r>
      <w:proofErr w:type="gramEnd"/>
    </w:p>
    <w:p w14:paraId="0F59CF7B" w14:textId="45089736" w:rsidR="00EB799F" w:rsidRPr="00660DC5" w:rsidRDefault="00EB799F" w:rsidP="00EB799F">
      <w:pPr>
        <w:rPr>
          <w:rFonts w:ascii="Georgia" w:hAnsi="Georgia"/>
        </w:rPr>
      </w:pPr>
      <w:r w:rsidRPr="00660DC5">
        <w:rPr>
          <w:rFonts w:ascii="Georgia" w:hAnsi="Georgia"/>
        </w:rPr>
        <w:t>Because the district court did not commit clear error in finding Clarin’s design to be functional, it is unnecessary to decide whether Clarin committed fraud on the Patent and Trademark Office </w:t>
      </w:r>
      <w:proofErr w:type="gramStart"/>
      <w:r w:rsidRPr="00660DC5">
        <w:rPr>
          <w:rFonts w:ascii="Georgia" w:hAnsi="Georgia"/>
        </w:rPr>
        <w:t>. . . .</w:t>
      </w:r>
      <w:proofErr w:type="gramEnd"/>
    </w:p>
    <w:p w14:paraId="037953AA" w14:textId="77777777" w:rsidR="00EB799F" w:rsidRPr="00660DC5" w:rsidRDefault="00EB799F" w:rsidP="00EB799F">
      <w:pPr>
        <w:rPr>
          <w:rFonts w:ascii="Georgia" w:hAnsi="Georgia"/>
        </w:rPr>
      </w:pPr>
      <w:r w:rsidRPr="00660DC5">
        <w:rPr>
          <w:rFonts w:ascii="Georgia" w:hAnsi="Georgia"/>
        </w:rPr>
        <w:t>AFFIRMED</w:t>
      </w:r>
    </w:p>
    <w:p w14:paraId="41EF37CF" w14:textId="77777777" w:rsidR="00EB3DF5" w:rsidRPr="00660DC5" w:rsidRDefault="00EB3DF5">
      <w:pPr>
        <w:rPr>
          <w:rFonts w:ascii="Georgia" w:hAnsi="Georgia"/>
        </w:rPr>
      </w:pPr>
    </w:p>
    <w:sectPr w:rsidR="00EB3DF5" w:rsidRPr="00660DC5" w:rsidSect="00660DC5">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65F2A" w14:textId="77777777" w:rsidR="00711067" w:rsidRDefault="00711067" w:rsidP="00660DC5">
      <w:pPr>
        <w:spacing w:after="0" w:line="240" w:lineRule="auto"/>
      </w:pPr>
      <w:r>
        <w:separator/>
      </w:r>
    </w:p>
  </w:endnote>
  <w:endnote w:type="continuationSeparator" w:id="0">
    <w:p w14:paraId="3FA2F60A" w14:textId="77777777" w:rsidR="00711067" w:rsidRDefault="00711067" w:rsidP="0066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56916"/>
      <w:docPartObj>
        <w:docPartGallery w:val="Page Numbers (Bottom of Page)"/>
        <w:docPartUnique/>
      </w:docPartObj>
    </w:sdtPr>
    <w:sdtContent>
      <w:sdt>
        <w:sdtPr>
          <w:id w:val="1728636285"/>
          <w:docPartObj>
            <w:docPartGallery w:val="Page Numbers (Top of Page)"/>
            <w:docPartUnique/>
          </w:docPartObj>
        </w:sdtPr>
        <w:sdtContent>
          <w:p w14:paraId="7DC61545" w14:textId="0F52E58C" w:rsidR="00660DC5" w:rsidRDefault="00660DC5">
            <w:pPr>
              <w:pStyle w:val="Footer"/>
              <w:jc w:val="center"/>
            </w:pPr>
            <w:r w:rsidRPr="00660DC5">
              <w:rPr>
                <w:rFonts w:ascii="Georgia" w:hAnsi="Georgia"/>
              </w:rPr>
              <w:t xml:space="preserve">Page </w:t>
            </w:r>
            <w:r w:rsidRPr="00660DC5">
              <w:rPr>
                <w:rFonts w:ascii="Georgia" w:hAnsi="Georgia"/>
                <w:sz w:val="24"/>
                <w:szCs w:val="24"/>
              </w:rPr>
              <w:fldChar w:fldCharType="begin"/>
            </w:r>
            <w:r w:rsidRPr="00660DC5">
              <w:rPr>
                <w:rFonts w:ascii="Georgia" w:hAnsi="Georgia"/>
              </w:rPr>
              <w:instrText xml:space="preserve"> PAGE </w:instrText>
            </w:r>
            <w:r w:rsidRPr="00660DC5">
              <w:rPr>
                <w:rFonts w:ascii="Georgia" w:hAnsi="Georgia"/>
                <w:sz w:val="24"/>
                <w:szCs w:val="24"/>
              </w:rPr>
              <w:fldChar w:fldCharType="separate"/>
            </w:r>
            <w:r w:rsidRPr="00660DC5">
              <w:rPr>
                <w:rFonts w:ascii="Georgia" w:hAnsi="Georgia"/>
                <w:noProof/>
              </w:rPr>
              <w:t>2</w:t>
            </w:r>
            <w:r w:rsidRPr="00660DC5">
              <w:rPr>
                <w:rFonts w:ascii="Georgia" w:hAnsi="Georgia"/>
                <w:sz w:val="24"/>
                <w:szCs w:val="24"/>
              </w:rPr>
              <w:fldChar w:fldCharType="end"/>
            </w:r>
            <w:r w:rsidRPr="00660DC5">
              <w:rPr>
                <w:rFonts w:ascii="Georgia" w:hAnsi="Georgia"/>
              </w:rPr>
              <w:t xml:space="preserve"> of </w:t>
            </w:r>
            <w:r w:rsidRPr="00660DC5">
              <w:rPr>
                <w:rFonts w:ascii="Georgia" w:hAnsi="Georgia"/>
                <w:sz w:val="24"/>
                <w:szCs w:val="24"/>
              </w:rPr>
              <w:fldChar w:fldCharType="begin"/>
            </w:r>
            <w:r w:rsidRPr="00660DC5">
              <w:rPr>
                <w:rFonts w:ascii="Georgia" w:hAnsi="Georgia"/>
              </w:rPr>
              <w:instrText xml:space="preserve"> NUMPAGES  </w:instrText>
            </w:r>
            <w:r w:rsidRPr="00660DC5">
              <w:rPr>
                <w:rFonts w:ascii="Georgia" w:hAnsi="Georgia"/>
                <w:sz w:val="24"/>
                <w:szCs w:val="24"/>
              </w:rPr>
              <w:fldChar w:fldCharType="separate"/>
            </w:r>
            <w:r w:rsidRPr="00660DC5">
              <w:rPr>
                <w:rFonts w:ascii="Georgia" w:hAnsi="Georgia"/>
                <w:noProof/>
              </w:rPr>
              <w:t>2</w:t>
            </w:r>
            <w:r w:rsidRPr="00660DC5">
              <w:rPr>
                <w:rFonts w:ascii="Georgia" w:hAnsi="Georgia"/>
                <w:sz w:val="24"/>
                <w:szCs w:val="24"/>
              </w:rPr>
              <w:fldChar w:fldCharType="end"/>
            </w:r>
          </w:p>
        </w:sdtContent>
      </w:sdt>
    </w:sdtContent>
  </w:sdt>
  <w:p w14:paraId="5DD51C0F" w14:textId="77777777" w:rsidR="00660DC5" w:rsidRDefault="00660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82371" w14:textId="77777777" w:rsidR="00711067" w:rsidRDefault="00711067" w:rsidP="00660DC5">
      <w:pPr>
        <w:spacing w:after="0" w:line="240" w:lineRule="auto"/>
      </w:pPr>
      <w:r>
        <w:separator/>
      </w:r>
    </w:p>
  </w:footnote>
  <w:footnote w:type="continuationSeparator" w:id="0">
    <w:p w14:paraId="061DDE44" w14:textId="77777777" w:rsidR="00711067" w:rsidRDefault="00711067" w:rsidP="00660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9F"/>
    <w:rsid w:val="000A4AD4"/>
    <w:rsid w:val="000C53B3"/>
    <w:rsid w:val="00660DC5"/>
    <w:rsid w:val="00711067"/>
    <w:rsid w:val="00AD41FA"/>
    <w:rsid w:val="00EB3DF5"/>
    <w:rsid w:val="00EB799F"/>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569"/>
  <w15:chartTrackingRefBased/>
  <w15:docId w15:val="{E5F39279-9D9C-498C-BF60-A9ECBEA4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9F"/>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EB799F"/>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799F"/>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799F"/>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799F"/>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B799F"/>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B799F"/>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EB799F"/>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B799F"/>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B799F"/>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99F"/>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EB7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99F"/>
    <w:rPr>
      <w:rFonts w:eastAsiaTheme="majorEastAsia" w:cstheme="majorBidi"/>
      <w:color w:val="272727" w:themeColor="text1" w:themeTint="D8"/>
    </w:rPr>
  </w:style>
  <w:style w:type="paragraph" w:styleId="Title">
    <w:name w:val="Title"/>
    <w:basedOn w:val="Normal"/>
    <w:next w:val="Normal"/>
    <w:link w:val="TitleChar"/>
    <w:uiPriority w:val="10"/>
    <w:qFormat/>
    <w:rsid w:val="00EB799F"/>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7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99F"/>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7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99F"/>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B799F"/>
    <w:rPr>
      <w:i/>
      <w:iCs/>
      <w:color w:val="404040" w:themeColor="text1" w:themeTint="BF"/>
    </w:rPr>
  </w:style>
  <w:style w:type="paragraph" w:styleId="ListParagraph">
    <w:name w:val="List Paragraph"/>
    <w:basedOn w:val="Normal"/>
    <w:uiPriority w:val="34"/>
    <w:qFormat/>
    <w:rsid w:val="00EB799F"/>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EB799F"/>
    <w:rPr>
      <w:i/>
      <w:iCs/>
      <w:color w:val="0F4761" w:themeColor="accent1" w:themeShade="BF"/>
    </w:rPr>
  </w:style>
  <w:style w:type="paragraph" w:styleId="IntenseQuote">
    <w:name w:val="Intense Quote"/>
    <w:basedOn w:val="Normal"/>
    <w:next w:val="Normal"/>
    <w:link w:val="IntenseQuoteChar"/>
    <w:uiPriority w:val="30"/>
    <w:qFormat/>
    <w:rsid w:val="00EB799F"/>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B799F"/>
    <w:rPr>
      <w:i/>
      <w:iCs/>
      <w:color w:val="0F4761" w:themeColor="accent1" w:themeShade="BF"/>
    </w:rPr>
  </w:style>
  <w:style w:type="character" w:styleId="IntenseReference">
    <w:name w:val="Intense Reference"/>
    <w:basedOn w:val="DefaultParagraphFont"/>
    <w:uiPriority w:val="32"/>
    <w:qFormat/>
    <w:rsid w:val="00EB799F"/>
    <w:rPr>
      <w:b/>
      <w:bCs/>
      <w:smallCaps/>
      <w:color w:val="0F4761" w:themeColor="accent1" w:themeShade="BF"/>
      <w:spacing w:val="5"/>
    </w:rPr>
  </w:style>
  <w:style w:type="paragraph" w:customStyle="1" w:styleId="OpinionCitation">
    <w:name w:val="Opinion Citation"/>
    <w:basedOn w:val="Normal"/>
    <w:link w:val="OpinionCitationChar"/>
    <w:qFormat/>
    <w:rsid w:val="00EB799F"/>
    <w:pPr>
      <w:keepNext/>
      <w:spacing w:after="120"/>
      <w:ind w:firstLine="0"/>
    </w:pPr>
    <w:rPr>
      <w:b/>
    </w:rPr>
  </w:style>
  <w:style w:type="character" w:customStyle="1" w:styleId="OpinionCitationChar">
    <w:name w:val="Opinion Citation Char"/>
    <w:link w:val="OpinionCitation"/>
    <w:rsid w:val="00EB799F"/>
    <w:rPr>
      <w:rFonts w:ascii="Cambria" w:eastAsia="Calibri" w:hAnsi="Cambria" w:cs="Times New Roman"/>
      <w:b/>
      <w:kern w:val="0"/>
      <w:szCs w:val="20"/>
      <w14:ligatures w14:val="none"/>
    </w:rPr>
  </w:style>
  <w:style w:type="paragraph" w:customStyle="1" w:styleId="Normal-Centered">
    <w:name w:val="*Normal-Centered"/>
    <w:basedOn w:val="Normal"/>
    <w:link w:val="Normal-CenteredChar"/>
    <w:qFormat/>
    <w:rsid w:val="00EB799F"/>
    <w:pPr>
      <w:ind w:firstLine="0"/>
      <w:jc w:val="center"/>
    </w:pPr>
  </w:style>
  <w:style w:type="character" w:customStyle="1" w:styleId="Normal-CenteredChar">
    <w:name w:val="*Normal-Centered Char"/>
    <w:basedOn w:val="DefaultParagraphFont"/>
    <w:link w:val="Normal-Centered"/>
    <w:rsid w:val="00EB799F"/>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660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C5"/>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660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C5"/>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2024-07-15T20:54:00Z</dcterms:created>
  <dcterms:modified xsi:type="dcterms:W3CDTF">2024-07-24T21:33:00Z</dcterms:modified>
</cp:coreProperties>
</file>