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AC438" w14:textId="77777777" w:rsidR="00003CD4" w:rsidRPr="009658F4" w:rsidRDefault="00003CD4" w:rsidP="009658F4">
      <w:pPr>
        <w:pStyle w:val="Heading7"/>
        <w:ind w:firstLine="0"/>
        <w:jc w:val="center"/>
        <w:rPr>
          <w:rFonts w:ascii="Georgia" w:hAnsi="Georgia"/>
          <w:b/>
          <w:bCs/>
          <w:color w:val="000000" w:themeColor="text1"/>
          <w:sz w:val="32"/>
          <w:szCs w:val="28"/>
        </w:rPr>
      </w:pPr>
      <w:bookmarkStart w:id="0" w:name="_Toc171715727"/>
      <w:r w:rsidRPr="009658F4">
        <w:rPr>
          <w:rFonts w:ascii="Georgia" w:hAnsi="Georgia"/>
          <w:b/>
          <w:bCs/>
          <w:color w:val="000000" w:themeColor="text1"/>
          <w:sz w:val="32"/>
          <w:szCs w:val="28"/>
        </w:rPr>
        <w:t>Vidal v. Elster</w:t>
      </w:r>
      <w:bookmarkEnd w:id="0"/>
    </w:p>
    <w:p w14:paraId="71D65598" w14:textId="77777777" w:rsidR="00003CD4" w:rsidRPr="009658F4" w:rsidRDefault="00003CD4" w:rsidP="009658F4">
      <w:pPr>
        <w:pStyle w:val="OpinionCitation"/>
        <w:jc w:val="center"/>
        <w:rPr>
          <w:rFonts w:ascii="Georgia" w:hAnsi="Georgia"/>
        </w:rPr>
      </w:pPr>
      <w:r w:rsidRPr="009658F4">
        <w:rPr>
          <w:rFonts w:ascii="Georgia" w:hAnsi="Georgia"/>
        </w:rPr>
        <w:t>602 U.S. 286 (2024)</w:t>
      </w:r>
    </w:p>
    <w:p w14:paraId="469EA815" w14:textId="77777777" w:rsidR="00003CD4" w:rsidRPr="009658F4" w:rsidRDefault="00003CD4" w:rsidP="00003CD4">
      <w:pPr>
        <w:rPr>
          <w:rFonts w:ascii="Georgia" w:hAnsi="Georgia"/>
        </w:rPr>
      </w:pPr>
      <w:r w:rsidRPr="009658F4">
        <w:rPr>
          <w:rFonts w:ascii="Georgia" w:hAnsi="Georgia"/>
        </w:rPr>
        <w:t xml:space="preserve">Justice </w:t>
      </w:r>
      <w:r w:rsidRPr="009658F4">
        <w:rPr>
          <w:rFonts w:ascii="Georgia" w:hAnsi="Georgia"/>
          <w:smallCaps/>
        </w:rPr>
        <w:t>Thomas</w:t>
      </w:r>
      <w:r w:rsidRPr="009658F4">
        <w:rPr>
          <w:rFonts w:ascii="Georgia" w:hAnsi="Georgia"/>
        </w:rPr>
        <w:t xml:space="preserve"> announced the judgment of the Court and delivered the opinion of the Court with respect to Parts I, II, and IV, and an opinion with respect to Part III, in which Justice </w:t>
      </w:r>
      <w:r w:rsidRPr="009658F4">
        <w:rPr>
          <w:rFonts w:ascii="Georgia" w:hAnsi="Georgia"/>
          <w:smallCaps/>
        </w:rPr>
        <w:t>Alito</w:t>
      </w:r>
      <w:r w:rsidRPr="009658F4">
        <w:rPr>
          <w:rFonts w:ascii="Georgia" w:hAnsi="Georgia"/>
        </w:rPr>
        <w:t xml:space="preserve"> and Justice </w:t>
      </w:r>
      <w:r w:rsidRPr="009658F4">
        <w:rPr>
          <w:rFonts w:ascii="Georgia" w:hAnsi="Georgia"/>
          <w:smallCaps/>
        </w:rPr>
        <w:t>Gorsuch</w:t>
      </w:r>
      <w:r w:rsidRPr="009658F4">
        <w:rPr>
          <w:rFonts w:ascii="Georgia" w:hAnsi="Georgia"/>
        </w:rPr>
        <w:t xml:space="preserve"> </w:t>
      </w:r>
      <w:proofErr w:type="gramStart"/>
      <w:r w:rsidRPr="009658F4">
        <w:rPr>
          <w:rFonts w:ascii="Georgia" w:hAnsi="Georgia"/>
        </w:rPr>
        <w:t>join.</w:t>
      </w:r>
      <w:r w:rsidRPr="009658F4">
        <w:rPr>
          <w:rFonts w:ascii="Georgia" w:hAnsi="Georgia"/>
          <w:vertAlign w:val="superscript"/>
        </w:rPr>
        <w:footnoteReference w:customMarkFollows="1" w:id="1"/>
        <w:t>*</w:t>
      </w:r>
      <w:proofErr w:type="gramEnd"/>
    </w:p>
    <w:p w14:paraId="4FA3199A" w14:textId="07801FAE" w:rsidR="00003CD4" w:rsidRPr="009658F4" w:rsidRDefault="00003CD4" w:rsidP="00003CD4">
      <w:pPr>
        <w:rPr>
          <w:rFonts w:ascii="Georgia" w:hAnsi="Georgia"/>
        </w:rPr>
      </w:pPr>
      <w:r w:rsidRPr="009658F4">
        <w:rPr>
          <w:rFonts w:ascii="Georgia" w:hAnsi="Georgia"/>
        </w:rPr>
        <w:t xml:space="preserve">Steve Elster sought to register the trademark “Trump too small.” </w:t>
      </w:r>
      <w:proofErr w:type="gramStart"/>
      <w:r w:rsidRPr="009658F4">
        <w:rPr>
          <w:rFonts w:ascii="Georgia" w:hAnsi="Georgia"/>
        </w:rPr>
        <w:t>But,</w:t>
      </w:r>
      <w:proofErr w:type="gramEnd"/>
      <w:r w:rsidRPr="009658F4">
        <w:rPr>
          <w:rFonts w:ascii="Georgia" w:hAnsi="Georgia"/>
        </w:rPr>
        <w:t xml:space="preserve"> the Patent and Trademark Office (PTO) refused to register the mark because the Lanham Act prohibits registration of a trademark that “[c]</w:t>
      </w:r>
      <w:proofErr w:type="spellStart"/>
      <w:r w:rsidRPr="009658F4">
        <w:rPr>
          <w:rFonts w:ascii="Georgia" w:hAnsi="Georgia"/>
        </w:rPr>
        <w:t>onsists</w:t>
      </w:r>
      <w:proofErr w:type="spellEnd"/>
      <w:r w:rsidRPr="009658F4">
        <w:rPr>
          <w:rFonts w:ascii="Georgia" w:hAnsi="Georgia"/>
        </w:rPr>
        <w:t xml:space="preserve"> of or comprises a name . . . identifying a particular living individual except by his written consent.” 15 U. S. C. §1052(c). Elster contends that this prohibition violates his First Amendment right to free speech. We hold that it does not.</w:t>
      </w:r>
    </w:p>
    <w:p w14:paraId="3F19F8F8" w14:textId="77777777" w:rsidR="00003CD4" w:rsidRPr="009658F4" w:rsidRDefault="00003CD4" w:rsidP="00003CD4">
      <w:pPr>
        <w:pStyle w:val="CntrdNoItal"/>
        <w:rPr>
          <w:rFonts w:ascii="Georgia" w:hAnsi="Georgia"/>
        </w:rPr>
      </w:pPr>
      <w:r w:rsidRPr="009658F4">
        <w:rPr>
          <w:rFonts w:ascii="Georgia" w:hAnsi="Georgia"/>
        </w:rPr>
        <w:t>I</w:t>
      </w:r>
    </w:p>
    <w:p w14:paraId="62711BA2" w14:textId="594C1826" w:rsidR="00003CD4" w:rsidRPr="009658F4" w:rsidRDefault="00003CD4" w:rsidP="00003CD4">
      <w:pPr>
        <w:rPr>
          <w:rFonts w:ascii="Georgia" w:hAnsi="Georgia"/>
        </w:rPr>
      </w:pPr>
      <w:bookmarkStart w:id="1" w:name="Bookmark_I6C86HBT28T4Y60020000400"/>
      <w:bookmarkStart w:id="2" w:name="Bookmark_I6C86HBT28T4Y60040000400"/>
      <w:bookmarkEnd w:id="1"/>
      <w:bookmarkEnd w:id="2"/>
      <w:r w:rsidRPr="009658F4">
        <w:rPr>
          <w:rFonts w:ascii="Georgia" w:hAnsi="Georgia"/>
        </w:rPr>
        <w:t xml:space="preserve">A trademark is “a symbol or a device to distinguish the goods or property made or sold by the person whose mark it is, to the exclusion of use by all other persons.” </w:t>
      </w:r>
      <w:bookmarkStart w:id="3" w:name="Bookmark_I6C86HBT28T4Y60010000400"/>
      <w:bookmarkEnd w:id="3"/>
      <w:r w:rsidRPr="009658F4">
        <w:rPr>
          <w:rFonts w:ascii="Georgia" w:hAnsi="Georgia"/>
          <w:i/>
        </w:rPr>
        <w:t>Trade-Mark Cases</w:t>
      </w:r>
      <w:r w:rsidRPr="009658F4">
        <w:rPr>
          <w:rFonts w:ascii="Georgia" w:hAnsi="Georgia"/>
        </w:rPr>
        <w:t xml:space="preserve">, 100 U. S. 82, 92 (1879); see also §1127. As we have explained, “[t]he principle underlying trademark protection is that distinctive marks—words, names, symbols, and the like—can help distinguish a particular artisan’s goods from those of others.” </w:t>
      </w:r>
      <w:bookmarkStart w:id="4" w:name="Bookmark_I6C86HBT28T4Y60030000400"/>
      <w:bookmarkEnd w:id="4"/>
      <w:r w:rsidRPr="009658F4">
        <w:rPr>
          <w:rFonts w:ascii="Georgia" w:hAnsi="Georgia"/>
          <w:i/>
        </w:rPr>
        <w:t>B&amp;B Hardware, Inc.</w:t>
      </w:r>
      <w:r w:rsidRPr="009658F4">
        <w:rPr>
          <w:rFonts w:ascii="Georgia" w:hAnsi="Georgia"/>
        </w:rPr>
        <w:t xml:space="preserve"> v. </w:t>
      </w:r>
      <w:r w:rsidRPr="009658F4">
        <w:rPr>
          <w:rFonts w:ascii="Georgia" w:hAnsi="Georgia"/>
          <w:i/>
        </w:rPr>
        <w:t>Hargis Industries, Inc.</w:t>
      </w:r>
      <w:r w:rsidRPr="009658F4">
        <w:rPr>
          <w:rFonts w:ascii="Georgia" w:hAnsi="Georgia"/>
        </w:rPr>
        <w:t xml:space="preserve">, 575 U. S. 138, 142 (2015). So “[o]ne who first uses a distinct mark in commerce thus acquires rights to that mark,” which “include preventing others from using the mark.” </w:t>
      </w:r>
      <w:r w:rsidRPr="009658F4">
        <w:rPr>
          <w:rFonts w:ascii="Georgia" w:hAnsi="Georgia"/>
          <w:i/>
        </w:rPr>
        <w:t>Ibid.</w:t>
      </w:r>
    </w:p>
    <w:p w14:paraId="283DF204" w14:textId="57473DA6" w:rsidR="00003CD4" w:rsidRPr="009658F4" w:rsidRDefault="00003CD4" w:rsidP="00003CD4">
      <w:pPr>
        <w:rPr>
          <w:rFonts w:ascii="Georgia" w:hAnsi="Georgia"/>
        </w:rPr>
      </w:pPr>
      <w:bookmarkStart w:id="5" w:name="Bookmark_I6C86HBV2SF7YF0010000400"/>
      <w:bookmarkStart w:id="6" w:name="Bookmark_I6C86HBV2SF7YF0030000400"/>
      <w:bookmarkEnd w:id="5"/>
      <w:bookmarkEnd w:id="6"/>
      <w:r w:rsidRPr="009658F4">
        <w:rPr>
          <w:rFonts w:ascii="Georgia" w:hAnsi="Georgia"/>
        </w:rPr>
        <w:t>Trademark rights are primarily a matter of state law, but an owner can obtain important rights through federal registration. The Lanham Act creates a federal trademark-registration system administered by the PTO. Federal “[r]</w:t>
      </w:r>
      <w:proofErr w:type="spellStart"/>
      <w:r w:rsidRPr="009658F4">
        <w:rPr>
          <w:rFonts w:ascii="Georgia" w:hAnsi="Georgia"/>
        </w:rPr>
        <w:t>egistration</w:t>
      </w:r>
      <w:proofErr w:type="spellEnd"/>
      <w:r w:rsidRPr="009658F4">
        <w:rPr>
          <w:rFonts w:ascii="Georgia" w:hAnsi="Georgia"/>
        </w:rPr>
        <w:t xml:space="preserve"> of a mark is not mandatory,” and “[t]he owner of an unregistered mark may still use it in commerce and enforce it against infringers.” </w:t>
      </w:r>
      <w:bookmarkStart w:id="7" w:name="Bookmark_I6C86HBT28T4Y60050000400"/>
      <w:bookmarkEnd w:id="7"/>
      <w:r w:rsidRPr="009658F4">
        <w:rPr>
          <w:rFonts w:ascii="Georgia" w:hAnsi="Georgia"/>
          <w:i/>
        </w:rPr>
        <w:t>Iancu</w:t>
      </w:r>
      <w:r w:rsidRPr="009658F4">
        <w:rPr>
          <w:rFonts w:ascii="Georgia" w:hAnsi="Georgia"/>
        </w:rPr>
        <w:t xml:space="preserve"> v. </w:t>
      </w:r>
      <w:r w:rsidRPr="009658F4">
        <w:rPr>
          <w:rFonts w:ascii="Georgia" w:hAnsi="Georgia"/>
          <w:i/>
        </w:rPr>
        <w:t>Brunetti</w:t>
      </w:r>
      <w:r w:rsidRPr="009658F4">
        <w:rPr>
          <w:rFonts w:ascii="Georgia" w:hAnsi="Georgia"/>
        </w:rPr>
        <w:t xml:space="preserve">, 588 U. S. 388, 391 (2019). Federal registration, however, “confers important legal rights and benefits.” </w:t>
      </w:r>
      <w:bookmarkStart w:id="8" w:name="Bookmark_I6C86HBV2SF7YF0020000400"/>
      <w:bookmarkEnd w:id="8"/>
      <w:r w:rsidRPr="009658F4">
        <w:rPr>
          <w:rFonts w:ascii="Georgia" w:hAnsi="Georgia"/>
          <w:i/>
        </w:rPr>
        <w:t>B&amp;B Hardware</w:t>
      </w:r>
      <w:r w:rsidRPr="009658F4">
        <w:rPr>
          <w:rFonts w:ascii="Georgia" w:hAnsi="Georgia"/>
        </w:rPr>
        <w:t xml:space="preserve">, 575 U. S., at 142 (internal quotation marks omitted). For example, a registrant may rely on registration in litigation as prima facie evidence of his exclusive right to use the mark. §1115(a). </w:t>
      </w:r>
      <w:proofErr w:type="gramStart"/>
      <w:r w:rsidRPr="009658F4">
        <w:rPr>
          <w:rFonts w:ascii="Georgia" w:hAnsi="Georgia"/>
        </w:rPr>
        <w:t>And,</w:t>
      </w:r>
      <w:proofErr w:type="gramEnd"/>
      <w:r w:rsidRPr="009658F4">
        <w:rPr>
          <w:rFonts w:ascii="Georgia" w:hAnsi="Georgia"/>
        </w:rPr>
        <w:t xml:space="preserve"> registration provides nationwide constructive notice of the registrant’s claim of ownership of the mark. §1072.</w:t>
      </w:r>
    </w:p>
    <w:p w14:paraId="6B7A46F6" w14:textId="6314ECF5" w:rsidR="00003CD4" w:rsidRPr="009658F4" w:rsidRDefault="00003CD4" w:rsidP="00003CD4">
      <w:pPr>
        <w:rPr>
          <w:rFonts w:ascii="Georgia" w:hAnsi="Georgia"/>
        </w:rPr>
      </w:pPr>
      <w:r w:rsidRPr="009658F4">
        <w:rPr>
          <w:rFonts w:ascii="Georgia" w:hAnsi="Georgia"/>
        </w:rPr>
        <w:t>Only marks that meet certain criteria are federally registerable. Among other criteria, the Lanham Act contains what we will call the “names clause”—a prohibition on the registration of a mark that “[c]</w:t>
      </w:r>
      <w:proofErr w:type="spellStart"/>
      <w:r w:rsidRPr="009658F4">
        <w:rPr>
          <w:rFonts w:ascii="Georgia" w:hAnsi="Georgia"/>
        </w:rPr>
        <w:t>onsists</w:t>
      </w:r>
      <w:proofErr w:type="spellEnd"/>
      <w:r w:rsidRPr="009658F4">
        <w:rPr>
          <w:rFonts w:ascii="Georgia" w:hAnsi="Georgia"/>
        </w:rPr>
        <w:t xml:space="preserve"> of or comprises a name . . . identifying a particular living individual except by his written consent.” §1052(c). The names clause excludes from registration “not only full names but also surnames, shortened names, and nicknames, so long as the name does in fact </w:t>
      </w:r>
      <w:r w:rsidRPr="009658F4">
        <w:rPr>
          <w:rFonts w:ascii="Georgia" w:hAnsi="Georgia"/>
        </w:rPr>
        <w:lastRenderedPageBreak/>
        <w:t>identify a particular living individual.” 2 J. McCarthy, Trademarks and Unfair Competition §13:37, p. 31 (5th ed. 2024) (McCarthy).</w:t>
      </w:r>
    </w:p>
    <w:p w14:paraId="4D013E75" w14:textId="34D3632C" w:rsidR="00003CD4" w:rsidRPr="009658F4" w:rsidRDefault="00003CD4" w:rsidP="00003CD4">
      <w:pPr>
        <w:rPr>
          <w:rFonts w:ascii="Georgia" w:hAnsi="Georgia"/>
        </w:rPr>
      </w:pPr>
      <w:r w:rsidRPr="009658F4">
        <w:rPr>
          <w:rFonts w:ascii="Georgia" w:hAnsi="Georgia"/>
        </w:rPr>
        <w:t>Steve Elster sought to register the trademark “Trump too small,” accompanied by an illustration of a hand gesture, to use on shirts and hats. The mark draws on an exchange between then-candidate Donald Trump and Senator Marco Rubio during a 2016 Presidential primary debate.</w:t>
      </w:r>
    </w:p>
    <w:p w14:paraId="43C5E858" w14:textId="2C90659A" w:rsidR="00003CD4" w:rsidRPr="009658F4" w:rsidRDefault="00003CD4" w:rsidP="00003CD4">
      <w:pPr>
        <w:rPr>
          <w:rFonts w:ascii="Georgia" w:hAnsi="Georgia"/>
        </w:rPr>
      </w:pPr>
      <w:bookmarkStart w:id="9" w:name="Bookmark_I6C86HBV2SF7YF0050000400"/>
      <w:bookmarkEnd w:id="9"/>
      <w:r w:rsidRPr="009658F4">
        <w:rPr>
          <w:rFonts w:ascii="Georgia" w:hAnsi="Georgia"/>
        </w:rPr>
        <w:t>The PTO examiner refused registration under the names clause because the mark used President Trump’s name without his consent. The Trademark Trial and Appeal Board affirmed, and it also rejected Elster’s argument that the names clause violates his First Amendment right to free speech.</w:t>
      </w:r>
      <w:r w:rsidRPr="009658F4">
        <w:rPr>
          <w:rFonts w:ascii="Georgia" w:hAnsi="Georgia"/>
          <w:vertAlign w:val="superscript"/>
        </w:rPr>
        <w:footnoteReference w:customMarkFollows="1" w:id="2"/>
        <w:t>1</w:t>
      </w:r>
      <w:r w:rsidRPr="009658F4">
        <w:rPr>
          <w:rFonts w:ascii="Georgia" w:hAnsi="Georgia"/>
        </w:rPr>
        <w:t xml:space="preserve"> The Federal Circuit reversed, holding that the names clause violated the First Amendment.  </w:t>
      </w:r>
      <w:bookmarkStart w:id="10" w:name="Bookmark_I6C86HBV2D6N930020000400"/>
      <w:bookmarkStart w:id="11" w:name="Bookmark_I6C86HBV2SF7YF0040000400"/>
      <w:bookmarkEnd w:id="10"/>
      <w:bookmarkEnd w:id="11"/>
      <w:r w:rsidRPr="009658F4">
        <w:rPr>
          <w:rFonts w:ascii="Georgia" w:hAnsi="Georgia"/>
          <w:i/>
        </w:rPr>
        <w:t>In re Elster</w:t>
      </w:r>
      <w:r w:rsidRPr="009658F4">
        <w:rPr>
          <w:rFonts w:ascii="Georgia" w:hAnsi="Georgia"/>
        </w:rPr>
        <w:t xml:space="preserve">, 26 F. 4th 1328 (CA Fed. 2022). </w:t>
      </w:r>
      <w:bookmarkStart w:id="12" w:name="Bookmark_I6C86HBV2D6N930020000400_2"/>
      <w:bookmarkEnd w:id="12"/>
      <w:r w:rsidRPr="009658F4">
        <w:rPr>
          <w:rFonts w:ascii="Georgia" w:hAnsi="Georgia"/>
        </w:rPr>
        <w:t xml:space="preserve">The court first concluded that the names clause is a viewpoint-neutral, content-based restriction on speech subject to at least intermediate scrutiny. </w:t>
      </w:r>
      <w:bookmarkStart w:id="13" w:name="Bookmark_I6C86HBV2D6N930040000400"/>
      <w:bookmarkEnd w:id="13"/>
      <w:r w:rsidRPr="009658F4">
        <w:rPr>
          <w:rFonts w:ascii="Georgia" w:hAnsi="Georgia"/>
        </w:rPr>
        <w:t xml:space="preserve">See </w:t>
      </w:r>
      <w:bookmarkStart w:id="14" w:name="Bookmark_I6C86HBV2D6N930010000400"/>
      <w:bookmarkEnd w:id="14"/>
      <w:r w:rsidRPr="009658F4">
        <w:rPr>
          <w:rFonts w:ascii="Georgia" w:hAnsi="Georgia"/>
          <w:i/>
        </w:rPr>
        <w:t>id</w:t>
      </w:r>
      <w:r w:rsidRPr="009658F4">
        <w:rPr>
          <w:rFonts w:ascii="Georgia" w:hAnsi="Georgia"/>
        </w:rPr>
        <w:t xml:space="preserve">., at 1331, 1333-1334. </w:t>
      </w:r>
      <w:bookmarkStart w:id="15" w:name="Bookmark_I6C86HBV2D6N930040000400_2"/>
      <w:bookmarkEnd w:id="15"/>
      <w:r w:rsidRPr="009658F4">
        <w:rPr>
          <w:rFonts w:ascii="Georgia" w:hAnsi="Georgia"/>
        </w:rPr>
        <w:t xml:space="preserve">It next concluded that the Government could not satisfy even intermediate scrutiny because the names clause does not advance any substantial governmental interest. See </w:t>
      </w:r>
      <w:bookmarkStart w:id="16" w:name="Bookmark_I6C86HBV2D6N930030000400"/>
      <w:bookmarkEnd w:id="16"/>
      <w:r w:rsidRPr="009658F4">
        <w:rPr>
          <w:rFonts w:ascii="Georgia" w:hAnsi="Georgia"/>
          <w:i/>
        </w:rPr>
        <w:t>id</w:t>
      </w:r>
      <w:r w:rsidRPr="009658F4">
        <w:rPr>
          <w:rFonts w:ascii="Georgia" w:hAnsi="Georgia"/>
        </w:rPr>
        <w:t>., at 1339.</w:t>
      </w:r>
    </w:p>
    <w:p w14:paraId="1A6F49A5" w14:textId="3A969DE3" w:rsidR="00003CD4" w:rsidRPr="009658F4" w:rsidRDefault="00003CD4" w:rsidP="00003CD4">
      <w:pPr>
        <w:rPr>
          <w:rFonts w:ascii="Georgia" w:hAnsi="Georgia"/>
        </w:rPr>
      </w:pPr>
      <w:bookmarkStart w:id="17" w:name="Bookmark_I6C86HBV2D6N940010000400"/>
      <w:bookmarkEnd w:id="17"/>
      <w:r w:rsidRPr="009658F4">
        <w:rPr>
          <w:rFonts w:ascii="Georgia" w:hAnsi="Georgia"/>
        </w:rPr>
        <w:t xml:space="preserve">We granted certiorari to resolve whether the Lanham Act’s names clause violates the First Amendment. </w:t>
      </w:r>
      <w:bookmarkStart w:id="18" w:name="Bookmark_I6C86HBV2D6N930050000400"/>
      <w:bookmarkEnd w:id="18"/>
      <w:r w:rsidRPr="009658F4">
        <w:rPr>
          <w:rFonts w:ascii="Georgia" w:hAnsi="Georgia"/>
        </w:rPr>
        <w:t>598 U. S. ___, 143 S. Ct. 2579, 216 L. Ed. 2d 1192 (2023).</w:t>
      </w:r>
    </w:p>
    <w:p w14:paraId="3A68F1F8" w14:textId="77777777" w:rsidR="00003CD4" w:rsidRPr="009658F4" w:rsidRDefault="00003CD4" w:rsidP="00003CD4">
      <w:pPr>
        <w:pStyle w:val="CntrdNoItal"/>
        <w:rPr>
          <w:rFonts w:ascii="Georgia" w:hAnsi="Georgia"/>
        </w:rPr>
      </w:pPr>
      <w:r w:rsidRPr="009658F4">
        <w:rPr>
          <w:rFonts w:ascii="Georgia" w:hAnsi="Georgia"/>
        </w:rPr>
        <w:t>II</w:t>
      </w:r>
    </w:p>
    <w:p w14:paraId="67178551" w14:textId="77777777" w:rsidR="00003CD4" w:rsidRPr="009658F4" w:rsidRDefault="00003CD4" w:rsidP="00003CD4">
      <w:pPr>
        <w:pStyle w:val="CntrdNoItal"/>
        <w:rPr>
          <w:rFonts w:ascii="Georgia" w:hAnsi="Georgia"/>
        </w:rPr>
      </w:pPr>
      <w:r w:rsidRPr="009658F4">
        <w:rPr>
          <w:rFonts w:ascii="Georgia" w:hAnsi="Georgia"/>
        </w:rPr>
        <w:t>A</w:t>
      </w:r>
    </w:p>
    <w:p w14:paraId="0C62668C" w14:textId="3F33D83E" w:rsidR="00003CD4" w:rsidRPr="009658F4" w:rsidRDefault="00003CD4" w:rsidP="00003CD4">
      <w:pPr>
        <w:rPr>
          <w:rFonts w:ascii="Georgia" w:hAnsi="Georgia"/>
        </w:rPr>
      </w:pPr>
      <w:bookmarkStart w:id="19" w:name="Bookmark_I4XKV2VTH6J00004CNC00025"/>
      <w:bookmarkStart w:id="20" w:name="Bookmark_I6C86HBV2D6N940030000400"/>
      <w:bookmarkStart w:id="21" w:name="Bookmark_I4XKV2VTBJP00004CNC00024"/>
      <w:bookmarkStart w:id="22" w:name="Bookmark_I6C86HBV2D6N940050000400"/>
      <w:bookmarkEnd w:id="19"/>
      <w:bookmarkEnd w:id="20"/>
      <w:bookmarkEnd w:id="21"/>
      <w:bookmarkEnd w:id="22"/>
      <w:r w:rsidRPr="009658F4">
        <w:rPr>
          <w:rFonts w:ascii="Georgia" w:hAnsi="Georgia"/>
        </w:rPr>
        <w:t xml:space="preserve">The First Amendment provides that “Congress shall make no law . . . abridging the freedom of speech.” In general, we have held that the First Amendment prohibits the Government from restricting or burdening “expression because of its message, its ideas, its subject matter, or its content.” </w:t>
      </w:r>
      <w:bookmarkStart w:id="23" w:name="Bookmark_I6C86HBV2D6N940020000400"/>
      <w:bookmarkEnd w:id="23"/>
      <w:r w:rsidRPr="009658F4">
        <w:rPr>
          <w:rFonts w:ascii="Georgia" w:hAnsi="Georgia"/>
          <w:i/>
        </w:rPr>
        <w:t>Ashcroft</w:t>
      </w:r>
      <w:r w:rsidRPr="009658F4">
        <w:rPr>
          <w:rFonts w:ascii="Georgia" w:hAnsi="Georgia"/>
        </w:rPr>
        <w:t xml:space="preserve"> v. </w:t>
      </w:r>
      <w:r w:rsidRPr="009658F4">
        <w:rPr>
          <w:rFonts w:ascii="Georgia" w:hAnsi="Georgia"/>
          <w:i/>
        </w:rPr>
        <w:t>American Civil Liberties Union</w:t>
      </w:r>
      <w:r w:rsidRPr="009658F4">
        <w:rPr>
          <w:rFonts w:ascii="Georgia" w:hAnsi="Georgia"/>
        </w:rPr>
        <w:t xml:space="preserve">, 535 U. S. 564, 573 (2002) (internal quotation marks omitted). </w:t>
      </w:r>
      <w:bookmarkStart w:id="24" w:name="Bookmark_I4XKV2VT1WW00004CNC00022"/>
      <w:bookmarkStart w:id="25" w:name="Bookmark_I6C86HBW2D6N960020000400"/>
      <w:bookmarkEnd w:id="24"/>
      <w:bookmarkEnd w:id="25"/>
      <w:r w:rsidRPr="009658F4">
        <w:rPr>
          <w:rFonts w:ascii="Georgia" w:hAnsi="Georgia"/>
        </w:rPr>
        <w:t xml:space="preserve">“When enforcing this prohibition, our precedents distinguish between content-based and content-neutral regulations of speech.” </w:t>
      </w:r>
      <w:bookmarkStart w:id="26" w:name="Bookmark_I6C86HBV2D6N940040000400"/>
      <w:bookmarkEnd w:id="26"/>
      <w:r w:rsidRPr="009658F4">
        <w:rPr>
          <w:rFonts w:ascii="Georgia" w:hAnsi="Georgia"/>
          <w:i/>
        </w:rPr>
        <w:t>National Institute of Family and Life Advocates</w:t>
      </w:r>
      <w:r w:rsidRPr="009658F4">
        <w:rPr>
          <w:rFonts w:ascii="Georgia" w:hAnsi="Georgia"/>
        </w:rPr>
        <w:t xml:space="preserve"> v. </w:t>
      </w:r>
      <w:r w:rsidRPr="009658F4">
        <w:rPr>
          <w:rFonts w:ascii="Georgia" w:hAnsi="Georgia"/>
          <w:i/>
        </w:rPr>
        <w:t>Becerra</w:t>
      </w:r>
      <w:r w:rsidRPr="009658F4">
        <w:rPr>
          <w:rFonts w:ascii="Georgia" w:hAnsi="Georgia"/>
        </w:rPr>
        <w:t xml:space="preserve">, 585 U. S. 755, 766 (2018). </w:t>
      </w:r>
      <w:bookmarkStart w:id="27" w:name="Bookmark_I4XKV2VSRGM00004CNC00020"/>
      <w:bookmarkStart w:id="28" w:name="Bookmark_I6C86HBW2D6N960040000400"/>
      <w:bookmarkEnd w:id="27"/>
      <w:bookmarkEnd w:id="28"/>
      <w:r w:rsidRPr="009658F4">
        <w:rPr>
          <w:rFonts w:ascii="Georgia" w:hAnsi="Georgia"/>
        </w:rPr>
        <w:t xml:space="preserve">A content-based regulation “target[s] speech based on its communicative content,” restricting discussion of a subject matter or topic. </w:t>
      </w:r>
      <w:bookmarkStart w:id="29" w:name="Bookmark_I6C86HBW2D6N960040000400_2"/>
      <w:bookmarkStart w:id="30" w:name="Bookmark_I6C86HBW2D6N960020000400_2"/>
      <w:bookmarkStart w:id="31" w:name="Bookmark_I6C86HBW2D6N960010000400"/>
      <w:bookmarkEnd w:id="29"/>
      <w:bookmarkEnd w:id="30"/>
      <w:bookmarkEnd w:id="31"/>
      <w:r w:rsidRPr="009658F4">
        <w:rPr>
          <w:rFonts w:ascii="Georgia" w:hAnsi="Georgia"/>
          <w:i/>
        </w:rPr>
        <w:t>Reed</w:t>
      </w:r>
      <w:r w:rsidRPr="009658F4">
        <w:rPr>
          <w:rFonts w:ascii="Georgia" w:hAnsi="Georgia"/>
        </w:rPr>
        <w:t xml:space="preserve"> v. </w:t>
      </w:r>
      <w:r w:rsidRPr="009658F4">
        <w:rPr>
          <w:rFonts w:ascii="Georgia" w:hAnsi="Georgia"/>
          <w:i/>
        </w:rPr>
        <w:t>Town of Gilbert</w:t>
      </w:r>
      <w:r w:rsidRPr="009658F4">
        <w:rPr>
          <w:rFonts w:ascii="Georgia" w:hAnsi="Georgia"/>
        </w:rPr>
        <w:t xml:space="preserve">, 576 U. S. 155, 163 (2015). </w:t>
      </w:r>
      <w:bookmarkStart w:id="32" w:name="Bookmark_I4XKV2VSF3200004CNC0001X"/>
      <w:bookmarkStart w:id="33" w:name="Bookmark_I6C86HBW2D6N970010000400"/>
      <w:bookmarkEnd w:id="32"/>
      <w:bookmarkEnd w:id="33"/>
      <w:r w:rsidRPr="009658F4">
        <w:rPr>
          <w:rFonts w:ascii="Georgia" w:hAnsi="Georgia"/>
        </w:rPr>
        <w:t xml:space="preserve">“As a general matter,” a content-based regulation is “‘presumptively unconstitutional and may be justified only if the government proves that [it is] narrowly tailored to serve compelling state interests.’” </w:t>
      </w:r>
      <w:r w:rsidRPr="009658F4">
        <w:rPr>
          <w:rFonts w:ascii="Georgia" w:hAnsi="Georgia"/>
          <w:i/>
        </w:rPr>
        <w:t xml:space="preserve"> </w:t>
      </w:r>
      <w:bookmarkStart w:id="34" w:name="Bookmark_I6C86HBW2D6N960030000400"/>
      <w:bookmarkEnd w:id="34"/>
      <w:r w:rsidRPr="009658F4">
        <w:rPr>
          <w:rFonts w:ascii="Georgia" w:hAnsi="Georgia"/>
          <w:i/>
        </w:rPr>
        <w:t>National Institute of Family and Life Advocates</w:t>
      </w:r>
      <w:r w:rsidRPr="009658F4">
        <w:rPr>
          <w:rFonts w:ascii="Georgia" w:hAnsi="Georgia"/>
        </w:rPr>
        <w:t xml:space="preserve">, 585 U. S., at 766. </w:t>
      </w:r>
      <w:bookmarkStart w:id="35" w:name="Bookmark_I6C86HBW2D6N970010000400_2"/>
      <w:bookmarkEnd w:id="35"/>
      <w:r w:rsidRPr="009658F4">
        <w:rPr>
          <w:rFonts w:ascii="Georgia" w:hAnsi="Georgia"/>
        </w:rPr>
        <w:t xml:space="preserve">Our precedents distinguish further </w:t>
      </w:r>
      <w:r w:rsidRPr="009658F4">
        <w:rPr>
          <w:rFonts w:ascii="Georgia" w:hAnsi="Georgia"/>
        </w:rPr>
        <w:lastRenderedPageBreak/>
        <w:t xml:space="preserve">a particularly “egregious form of content discrimination”—viewpoint discrimination. </w:t>
      </w:r>
      <w:bookmarkStart w:id="36" w:name="Bookmark_I6C86HBW2D6N960050000400"/>
      <w:bookmarkEnd w:id="36"/>
      <w:r w:rsidRPr="009658F4">
        <w:rPr>
          <w:rFonts w:ascii="Georgia" w:hAnsi="Georgia"/>
          <w:i/>
        </w:rPr>
        <w:t>Rosenberger</w:t>
      </w:r>
      <w:r w:rsidRPr="009658F4">
        <w:rPr>
          <w:rFonts w:ascii="Georgia" w:hAnsi="Georgia"/>
        </w:rPr>
        <w:t xml:space="preserve"> v. </w:t>
      </w:r>
      <w:r w:rsidRPr="009658F4">
        <w:rPr>
          <w:rFonts w:ascii="Georgia" w:hAnsi="Georgia"/>
          <w:i/>
        </w:rPr>
        <w:t>Rector and Visitors of Univ. of Va.</w:t>
      </w:r>
      <w:r w:rsidRPr="009658F4">
        <w:rPr>
          <w:rFonts w:ascii="Georgia" w:hAnsi="Georgia"/>
        </w:rPr>
        <w:t xml:space="preserve">, 515 U. S. 819, 829 (1995). A viewpoint-based regulation targets not merely a subject </w:t>
      </w:r>
      <w:proofErr w:type="gramStart"/>
      <w:r w:rsidRPr="009658F4">
        <w:rPr>
          <w:rFonts w:ascii="Georgia" w:hAnsi="Georgia"/>
        </w:rPr>
        <w:t>matter,  “</w:t>
      </w:r>
      <w:proofErr w:type="gramEnd"/>
      <w:r w:rsidRPr="009658F4">
        <w:rPr>
          <w:rFonts w:ascii="Georgia" w:hAnsi="Georgia"/>
        </w:rPr>
        <w:t xml:space="preserve">but particular views taken by speakers on a subject.” </w:t>
      </w:r>
      <w:r w:rsidRPr="009658F4">
        <w:rPr>
          <w:rFonts w:ascii="Georgia" w:hAnsi="Georgia"/>
          <w:i/>
        </w:rPr>
        <w:t>Ibid</w:t>
      </w:r>
      <w:r w:rsidRPr="009658F4">
        <w:rPr>
          <w:rFonts w:ascii="Georgia" w:hAnsi="Georgia"/>
        </w:rPr>
        <w:t xml:space="preserve">. It is also generally subject to heightened scrutiny, though viewpoint discrimination’s “violation of the First Amendment is . . . more blatant.” </w:t>
      </w:r>
      <w:r w:rsidRPr="009658F4">
        <w:rPr>
          <w:rFonts w:ascii="Georgia" w:hAnsi="Georgia"/>
          <w:i/>
        </w:rPr>
        <w:t>Ibid</w:t>
      </w:r>
      <w:r w:rsidRPr="009658F4">
        <w:rPr>
          <w:rFonts w:ascii="Georgia" w:hAnsi="Georgia"/>
        </w:rPr>
        <w:t>. Because our precedents dictate that these distinctions inform our assessment under the First Amendment, we start with them to evaluate the names clause.</w:t>
      </w:r>
    </w:p>
    <w:p w14:paraId="3604AE79" w14:textId="42FBA701" w:rsidR="00003CD4" w:rsidRPr="009658F4" w:rsidRDefault="00003CD4" w:rsidP="00003CD4">
      <w:pPr>
        <w:rPr>
          <w:rFonts w:ascii="Georgia" w:hAnsi="Georgia"/>
        </w:rPr>
      </w:pPr>
      <w:bookmarkStart w:id="37" w:name="Bookmark_I4XKV2VS96000004CNC0001W"/>
      <w:bookmarkStart w:id="38" w:name="Bookmark_I6C86HBW2D6N970030000400"/>
      <w:bookmarkStart w:id="39" w:name="Bookmark_I6C86HBW2D6N970050000400"/>
      <w:bookmarkEnd w:id="37"/>
      <w:bookmarkEnd w:id="38"/>
      <w:bookmarkEnd w:id="39"/>
      <w:r w:rsidRPr="009658F4">
        <w:rPr>
          <w:rFonts w:ascii="Georgia" w:hAnsi="Georgia"/>
        </w:rPr>
        <w:t xml:space="preserve">In the trademark context, we have twice concluded that trademark restrictions that discriminate based on viewpoint violate the First Amendment. </w:t>
      </w:r>
      <w:bookmarkStart w:id="40" w:name="Bookmark_I6C86HBW28T4YJ0040000400"/>
      <w:bookmarkEnd w:id="40"/>
      <w:r w:rsidRPr="009658F4">
        <w:rPr>
          <w:rFonts w:ascii="Georgia" w:hAnsi="Georgia"/>
        </w:rPr>
        <w:t xml:space="preserve">In </w:t>
      </w:r>
      <w:bookmarkStart w:id="41" w:name="Bookmark_I6C86HBW2D6N970020000400"/>
      <w:bookmarkEnd w:id="41"/>
      <w:r w:rsidRPr="009658F4">
        <w:rPr>
          <w:rFonts w:ascii="Georgia" w:hAnsi="Georgia"/>
          <w:i/>
        </w:rPr>
        <w:t>Matal</w:t>
      </w:r>
      <w:r w:rsidRPr="009658F4">
        <w:rPr>
          <w:rFonts w:ascii="Georgia" w:hAnsi="Georgia"/>
        </w:rPr>
        <w:t xml:space="preserve"> v. </w:t>
      </w:r>
      <w:r w:rsidRPr="009658F4">
        <w:rPr>
          <w:rFonts w:ascii="Georgia" w:hAnsi="Georgia"/>
          <w:i/>
        </w:rPr>
        <w:t>Tam</w:t>
      </w:r>
      <w:r w:rsidRPr="009658F4">
        <w:rPr>
          <w:rFonts w:ascii="Georgia" w:hAnsi="Georgia"/>
        </w:rPr>
        <w:t xml:space="preserve">, 582 U. S. 218, 223 (2017), we held that the Lanham Act’s bar on disparaging trademarks violated the First Amendment. All Justices in </w:t>
      </w:r>
      <w:r w:rsidRPr="009658F4">
        <w:rPr>
          <w:rFonts w:ascii="Georgia" w:hAnsi="Georgia"/>
          <w:i/>
        </w:rPr>
        <w:t xml:space="preserve">Tam </w:t>
      </w:r>
      <w:r w:rsidRPr="009658F4">
        <w:rPr>
          <w:rFonts w:ascii="Georgia" w:hAnsi="Georgia"/>
        </w:rPr>
        <w:t>agreed that this bar was viewpoint based because it prohibited trademarks based only on one viewpoint: “[g]</w:t>
      </w:r>
      <w:proofErr w:type="spellStart"/>
      <w:r w:rsidRPr="009658F4">
        <w:rPr>
          <w:rFonts w:ascii="Georgia" w:hAnsi="Georgia"/>
        </w:rPr>
        <w:t>iving</w:t>
      </w:r>
      <w:proofErr w:type="spellEnd"/>
      <w:r w:rsidRPr="009658F4">
        <w:rPr>
          <w:rFonts w:ascii="Georgia" w:hAnsi="Georgia"/>
        </w:rPr>
        <w:t xml:space="preserve"> offense.” </w:t>
      </w:r>
      <w:bookmarkStart w:id="42" w:name="Bookmark_I6C86HBW2D6N970040000400"/>
      <w:bookmarkEnd w:id="42"/>
      <w:r w:rsidRPr="009658F4">
        <w:rPr>
          <w:rFonts w:ascii="Georgia" w:hAnsi="Georgia"/>
          <w:i/>
        </w:rPr>
        <w:t>Id.</w:t>
      </w:r>
      <w:r w:rsidRPr="009658F4">
        <w:rPr>
          <w:rFonts w:ascii="Georgia" w:hAnsi="Georgia"/>
        </w:rPr>
        <w:t xml:space="preserve">, at 243 (plurality opinion); see also </w:t>
      </w:r>
      <w:bookmarkStart w:id="43" w:name="Bookmark_I6C86HBW28T4YJ0010000400"/>
      <w:bookmarkEnd w:id="43"/>
      <w:r w:rsidRPr="009658F4">
        <w:rPr>
          <w:rFonts w:ascii="Georgia" w:hAnsi="Georgia"/>
          <w:i/>
        </w:rPr>
        <w:t>id</w:t>
      </w:r>
      <w:r w:rsidRPr="009658F4">
        <w:rPr>
          <w:rFonts w:ascii="Georgia" w:hAnsi="Georgia"/>
        </w:rPr>
        <w:t xml:space="preserve">., at 248-249 (Kennedy, J., concurring in part and concurring in judgment). </w:t>
      </w:r>
      <w:bookmarkStart w:id="44" w:name="Bookmark_I6C86HBW28T4YJ0040000400_2"/>
      <w:bookmarkStart w:id="45" w:name="Bookmark_I4XKV2VS0D800004CNC0001T"/>
      <w:bookmarkStart w:id="46" w:name="Bookmark_I6C86HBW2HM6J80010000400"/>
      <w:bookmarkEnd w:id="44"/>
      <w:bookmarkEnd w:id="45"/>
      <w:bookmarkEnd w:id="46"/>
      <w:r w:rsidRPr="009658F4">
        <w:rPr>
          <w:rFonts w:ascii="Georgia" w:hAnsi="Georgia"/>
        </w:rPr>
        <w:t xml:space="preserve">And, in </w:t>
      </w:r>
      <w:r w:rsidRPr="009658F4">
        <w:rPr>
          <w:rFonts w:ascii="Georgia" w:hAnsi="Georgia"/>
          <w:i/>
        </w:rPr>
        <w:t>Brunetti</w:t>
      </w:r>
      <w:r w:rsidRPr="009658F4">
        <w:rPr>
          <w:rFonts w:ascii="Georgia" w:hAnsi="Georgia"/>
        </w:rPr>
        <w:t xml:space="preserve">, we held that the Lanham Act’s bar on trademarks containing immoral or scandalous matter likewise violated the First Amendment. </w:t>
      </w:r>
      <w:bookmarkStart w:id="47" w:name="Bookmark_I6C86HBW28T4YJ0030000400"/>
      <w:bookmarkEnd w:id="47"/>
      <w:r w:rsidRPr="009658F4">
        <w:rPr>
          <w:rFonts w:ascii="Georgia" w:hAnsi="Georgia"/>
        </w:rPr>
        <w:t xml:space="preserve">588 U. S., at 390. </w:t>
      </w:r>
      <w:bookmarkStart w:id="48" w:name="Bookmark_I6C86HBW2HM6J80010000400_2"/>
      <w:bookmarkEnd w:id="48"/>
      <w:r w:rsidRPr="009658F4">
        <w:rPr>
          <w:rFonts w:ascii="Georgia" w:hAnsi="Georgia"/>
        </w:rPr>
        <w:t xml:space="preserve">We concluded that the bar was viewpoint based because it prohibited trademarks based only on one viewpoint, immoral or scandalous matter, while permitting trademarks based on other viewpoints. </w:t>
      </w:r>
      <w:bookmarkStart w:id="49" w:name="Bookmark_I6C86HBW28T4YJ0050000400"/>
      <w:bookmarkEnd w:id="49"/>
      <w:r w:rsidRPr="009658F4">
        <w:rPr>
          <w:rFonts w:ascii="Georgia" w:hAnsi="Georgia"/>
          <w:i/>
        </w:rPr>
        <w:t>Id</w:t>
      </w:r>
      <w:r w:rsidRPr="009658F4">
        <w:rPr>
          <w:rFonts w:ascii="Georgia" w:hAnsi="Georgia"/>
        </w:rPr>
        <w:t>., at 393-394.</w:t>
      </w:r>
    </w:p>
    <w:p w14:paraId="6CA638D6" w14:textId="4B429B18" w:rsidR="00003CD4" w:rsidRPr="009658F4" w:rsidRDefault="00003CD4" w:rsidP="00003CD4">
      <w:pPr>
        <w:rPr>
          <w:rFonts w:ascii="Georgia" w:hAnsi="Georgia"/>
        </w:rPr>
      </w:pPr>
      <w:r w:rsidRPr="009658F4">
        <w:rPr>
          <w:rFonts w:ascii="Georgia" w:hAnsi="Georgia"/>
        </w:rPr>
        <w:t xml:space="preserve">The names clause does not facially discriminate against any viewpoint. </w:t>
      </w:r>
      <w:bookmarkStart w:id="50" w:name="Bookmark_I6C86HBW2HM6J80030000400"/>
      <w:bookmarkEnd w:id="50"/>
      <w:r w:rsidRPr="009658F4">
        <w:rPr>
          <w:rFonts w:ascii="Georgia" w:hAnsi="Georgia"/>
        </w:rPr>
        <w:t xml:space="preserve">No matter the message a registrant wants to convey, the names clause prohibits marks that use another person’s name without consent. It does not matter “whether the use of [the] name is flattering, critical or neutral.” 2 McCarthy §13:37.50. The Government is thus not singling out a trademark “based on the specific motivating ideology or the opinion or perspective of the speaker.” </w:t>
      </w:r>
      <w:bookmarkStart w:id="51" w:name="Bookmark_I6C86HBW2HM6J80020000400"/>
      <w:bookmarkEnd w:id="51"/>
      <w:r w:rsidRPr="009658F4">
        <w:rPr>
          <w:rFonts w:ascii="Georgia" w:hAnsi="Georgia"/>
          <w:i/>
        </w:rPr>
        <w:t>Reed</w:t>
      </w:r>
      <w:r w:rsidRPr="009658F4">
        <w:rPr>
          <w:rFonts w:ascii="Georgia" w:hAnsi="Georgia"/>
        </w:rPr>
        <w:t xml:space="preserve">, 576 U. S., at 168 (internal quotation marks omitted); accord, </w:t>
      </w:r>
      <w:bookmarkStart w:id="52" w:name="Bookmark_I6C86HBW2HM6J80040000400"/>
      <w:bookmarkEnd w:id="52"/>
      <w:r w:rsidRPr="009658F4">
        <w:rPr>
          <w:rFonts w:ascii="Georgia" w:hAnsi="Georgia"/>
          <w:i/>
        </w:rPr>
        <w:t>Brunetti</w:t>
      </w:r>
      <w:r w:rsidRPr="009658F4">
        <w:rPr>
          <w:rFonts w:ascii="Georgia" w:hAnsi="Georgia"/>
        </w:rPr>
        <w:t>, 588 U. S., at 394 (explaining that a viewpoint-based trademark law “distinguishes between two opposed sets of ideas”).</w:t>
      </w:r>
    </w:p>
    <w:p w14:paraId="3FDF64A0" w14:textId="5544B75E" w:rsidR="00003CD4" w:rsidRPr="009658F4" w:rsidRDefault="00003CD4" w:rsidP="00003CD4">
      <w:pPr>
        <w:rPr>
          <w:rFonts w:ascii="Georgia" w:hAnsi="Georgia"/>
        </w:rPr>
      </w:pPr>
      <w:bookmarkStart w:id="53" w:name="Bookmark_I6C86HBW2SF7YS0020000400"/>
      <w:bookmarkEnd w:id="53"/>
      <w:r w:rsidRPr="009658F4">
        <w:rPr>
          <w:rFonts w:ascii="Georgia" w:hAnsi="Georgia"/>
        </w:rPr>
        <w:t xml:space="preserve">Elster suggests that the names clause verges on viewpoint discrimination in practice. According to Elster, it is easier to obtain consent for a trademark that flatters a person rather than mocks him. This Court has found that a law can discriminate based on viewpoint in its practical operation. See </w:t>
      </w:r>
      <w:bookmarkStart w:id="54" w:name="Bookmark_I6C86HBW2SF7YS0010000400"/>
      <w:bookmarkEnd w:id="54"/>
      <w:r w:rsidRPr="009658F4">
        <w:rPr>
          <w:rFonts w:ascii="Georgia" w:hAnsi="Georgia"/>
          <w:i/>
        </w:rPr>
        <w:t>Sorrell</w:t>
      </w:r>
      <w:r w:rsidRPr="009658F4">
        <w:rPr>
          <w:rFonts w:ascii="Georgia" w:hAnsi="Georgia"/>
        </w:rPr>
        <w:t xml:space="preserve"> v. </w:t>
      </w:r>
      <w:r w:rsidRPr="009658F4">
        <w:rPr>
          <w:rFonts w:ascii="Georgia" w:hAnsi="Georgia"/>
          <w:i/>
        </w:rPr>
        <w:t>IMS Health Inc.</w:t>
      </w:r>
      <w:r w:rsidRPr="009658F4">
        <w:rPr>
          <w:rFonts w:ascii="Georgia" w:hAnsi="Georgia"/>
        </w:rPr>
        <w:t xml:space="preserve">, 564 U. S. 552, 565 (2011); </w:t>
      </w:r>
      <w:bookmarkStart w:id="55" w:name="Bookmark_I6C86HBW2SF7YS0030000400"/>
      <w:bookmarkEnd w:id="55"/>
      <w:r w:rsidRPr="009658F4">
        <w:rPr>
          <w:rFonts w:ascii="Georgia" w:hAnsi="Georgia"/>
          <w:i/>
        </w:rPr>
        <w:t>R. A. V.</w:t>
      </w:r>
      <w:r w:rsidRPr="009658F4">
        <w:rPr>
          <w:rFonts w:ascii="Georgia" w:hAnsi="Georgia"/>
        </w:rPr>
        <w:t xml:space="preserve"> v. </w:t>
      </w:r>
      <w:r w:rsidRPr="009658F4">
        <w:rPr>
          <w:rFonts w:ascii="Georgia" w:hAnsi="Georgia"/>
          <w:i/>
        </w:rPr>
        <w:t>St. Paul</w:t>
      </w:r>
      <w:r w:rsidRPr="009658F4">
        <w:rPr>
          <w:rFonts w:ascii="Georgia" w:hAnsi="Georgia"/>
        </w:rPr>
        <w:t xml:space="preserve">, 505 U. S. 377, 391 (1992). But, here, there are many reasons why a person may be unable to secure another’s consent to register a trademark bearing his name. Even when the trademark’s message is neutral or complimentary, a person may withhold consent to avoid any </w:t>
      </w:r>
      <w:r w:rsidRPr="009658F4">
        <w:rPr>
          <w:rFonts w:ascii="Georgia" w:hAnsi="Georgia"/>
        </w:rPr>
        <w:lastRenderedPageBreak/>
        <w:t>association with the goods, or to prevent his name from being exploited for another’s gain.</w:t>
      </w:r>
      <w:r w:rsidRPr="009658F4">
        <w:rPr>
          <w:rFonts w:ascii="Georgia" w:hAnsi="Georgia"/>
          <w:vertAlign w:val="superscript"/>
        </w:rPr>
        <w:footnoteReference w:customMarkFollows="1" w:id="3"/>
        <w:t>2</w:t>
      </w:r>
    </w:p>
    <w:p w14:paraId="782423C4" w14:textId="483B6E36" w:rsidR="00003CD4" w:rsidRPr="009658F4" w:rsidRDefault="00003CD4" w:rsidP="00003CD4">
      <w:pPr>
        <w:rPr>
          <w:rFonts w:ascii="Georgia" w:hAnsi="Georgia"/>
        </w:rPr>
      </w:pPr>
      <w:bookmarkStart w:id="56" w:name="Bookmark_I6C86HBX28T4YM0010000400"/>
      <w:bookmarkEnd w:id="56"/>
      <w:r w:rsidRPr="009658F4">
        <w:rPr>
          <w:rFonts w:ascii="Georgia" w:hAnsi="Georgia"/>
        </w:rPr>
        <w:t xml:space="preserve">Although the names clause is not viewpoint based, it is content based. As we have explained, a restriction on speech is content based if the “law applies to particular speech because of the topic discussed or the idea or message expressed.” </w:t>
      </w:r>
      <w:bookmarkStart w:id="57" w:name="Bookmark_I6C86HBW2SF7YS0050000400"/>
      <w:bookmarkEnd w:id="57"/>
      <w:r w:rsidRPr="009658F4">
        <w:rPr>
          <w:rFonts w:ascii="Georgia" w:hAnsi="Georgia"/>
          <w:i/>
        </w:rPr>
        <w:t>Reed</w:t>
      </w:r>
      <w:r w:rsidRPr="009658F4">
        <w:rPr>
          <w:rFonts w:ascii="Georgia" w:hAnsi="Georgia"/>
        </w:rPr>
        <w:t xml:space="preserve">, 576 U. S., at 163, 135 S. Ct. 2218, 192 L. Ed. 2d 236. </w:t>
      </w:r>
      <w:bookmarkStart w:id="58" w:name="Bookmark_I6C86HBX28T4YM0030000400"/>
      <w:bookmarkEnd w:id="58"/>
      <w:r w:rsidRPr="009658F4">
        <w:rPr>
          <w:rFonts w:ascii="Georgia" w:hAnsi="Georgia"/>
        </w:rPr>
        <w:t xml:space="preserve">The names clause turns on the content of the proposed trademark—whether it contains a person’s name. If the trademark does contain a person’s name, and the registrant lacks that person’s consent, then the names clause prohibits registration. </w:t>
      </w:r>
      <w:bookmarkStart w:id="59" w:name="Bookmark_I6C86HBX28T4YM0030000400_2"/>
      <w:bookmarkEnd w:id="59"/>
      <w:r w:rsidRPr="009658F4">
        <w:rPr>
          <w:rFonts w:ascii="Georgia" w:hAnsi="Georgia"/>
        </w:rPr>
        <w:t xml:space="preserve">Because trademarks containing names “are treated differently from [trademarks] conveying other types of ideas,” the names clause is content based. </w:t>
      </w:r>
      <w:bookmarkStart w:id="60" w:name="Bookmark_I6C86HBX28T4YM0020000400"/>
      <w:bookmarkEnd w:id="60"/>
      <w:r w:rsidRPr="009658F4">
        <w:rPr>
          <w:rFonts w:ascii="Georgia" w:hAnsi="Georgia"/>
          <w:i/>
        </w:rPr>
        <w:t>Id</w:t>
      </w:r>
      <w:r w:rsidRPr="009658F4">
        <w:rPr>
          <w:rFonts w:ascii="Georgia" w:hAnsi="Georgia"/>
        </w:rPr>
        <w:t>., at 164.</w:t>
      </w:r>
    </w:p>
    <w:p w14:paraId="1D7D07A6" w14:textId="2AFFD806" w:rsidR="00003CD4" w:rsidRPr="009658F4" w:rsidRDefault="00003CD4" w:rsidP="00003CD4">
      <w:pPr>
        <w:rPr>
          <w:rFonts w:ascii="Georgia" w:hAnsi="Georgia"/>
        </w:rPr>
      </w:pPr>
      <w:bookmarkStart w:id="61" w:name="Bookmark_I6C86HBX28T4YM0050000400"/>
      <w:bookmarkStart w:id="62" w:name="Bookmark_I6C86HBX2HM6JB0040000400"/>
      <w:bookmarkEnd w:id="61"/>
      <w:bookmarkEnd w:id="62"/>
      <w:r w:rsidRPr="009658F4">
        <w:rPr>
          <w:rFonts w:ascii="Georgia" w:hAnsi="Georgia"/>
        </w:rPr>
        <w:t xml:space="preserve">We thus confront a situation we did not address in </w:t>
      </w:r>
      <w:r w:rsidRPr="009658F4">
        <w:rPr>
          <w:rFonts w:ascii="Georgia" w:hAnsi="Georgia"/>
          <w:i/>
        </w:rPr>
        <w:t>Tam</w:t>
      </w:r>
      <w:r w:rsidRPr="009658F4">
        <w:rPr>
          <w:rFonts w:ascii="Georgia" w:hAnsi="Georgia"/>
        </w:rPr>
        <w:t xml:space="preserve"> or </w:t>
      </w:r>
      <w:r w:rsidRPr="009658F4">
        <w:rPr>
          <w:rFonts w:ascii="Georgia" w:hAnsi="Georgia"/>
          <w:i/>
        </w:rPr>
        <w:t>Brunetti</w:t>
      </w:r>
      <w:r w:rsidRPr="009658F4">
        <w:rPr>
          <w:rFonts w:ascii="Georgia" w:hAnsi="Georgia"/>
        </w:rPr>
        <w:t xml:space="preserve">. In </w:t>
      </w:r>
      <w:r w:rsidRPr="009658F4">
        <w:rPr>
          <w:rFonts w:ascii="Georgia" w:hAnsi="Georgia"/>
          <w:i/>
        </w:rPr>
        <w:t>Tam</w:t>
      </w:r>
      <w:r w:rsidRPr="009658F4">
        <w:rPr>
          <w:rFonts w:ascii="Georgia" w:hAnsi="Georgia"/>
        </w:rPr>
        <w:t xml:space="preserve">, we were careful to “leave </w:t>
      </w:r>
      <w:proofErr w:type="gramStart"/>
      <w:r w:rsidRPr="009658F4">
        <w:rPr>
          <w:rFonts w:ascii="Georgia" w:hAnsi="Georgia"/>
        </w:rPr>
        <w:t>open”  the</w:t>
      </w:r>
      <w:proofErr w:type="gramEnd"/>
      <w:r w:rsidRPr="009658F4">
        <w:rPr>
          <w:rFonts w:ascii="Georgia" w:hAnsi="Georgia"/>
        </w:rPr>
        <w:t xml:space="preserve"> framework “for deciding free speech challenges to provisions of the Lanham Act.” </w:t>
      </w:r>
      <w:bookmarkStart w:id="63" w:name="Bookmark_I6C86HBX28T4YM0040000400"/>
      <w:bookmarkEnd w:id="63"/>
      <w:r w:rsidRPr="009658F4">
        <w:rPr>
          <w:rFonts w:ascii="Georgia" w:hAnsi="Georgia"/>
        </w:rPr>
        <w:t>582 U. S., at 245, n. 17 (plurality opinion); see</w:t>
      </w:r>
      <w:r w:rsidRPr="009658F4">
        <w:rPr>
          <w:rFonts w:ascii="Georgia" w:hAnsi="Georgia"/>
          <w:i/>
        </w:rPr>
        <w:t xml:space="preserve"> </w:t>
      </w:r>
      <w:bookmarkStart w:id="64" w:name="Bookmark_I6C86HBX2HM6JB0010000400"/>
      <w:bookmarkEnd w:id="64"/>
      <w:r w:rsidRPr="009658F4">
        <w:rPr>
          <w:rFonts w:ascii="Georgia" w:hAnsi="Georgia"/>
          <w:i/>
        </w:rPr>
        <w:t>id</w:t>
      </w:r>
      <w:r w:rsidRPr="009658F4">
        <w:rPr>
          <w:rFonts w:ascii="Georgia" w:hAnsi="Georgia"/>
        </w:rPr>
        <w:t xml:space="preserve">., at 244, n. 16. And, in </w:t>
      </w:r>
      <w:r w:rsidRPr="009658F4">
        <w:rPr>
          <w:rFonts w:ascii="Georgia" w:hAnsi="Georgia"/>
          <w:i/>
        </w:rPr>
        <w:t>Brunetti</w:t>
      </w:r>
      <w:r w:rsidRPr="009658F4">
        <w:rPr>
          <w:rFonts w:ascii="Georgia" w:hAnsi="Georgia"/>
        </w:rPr>
        <w:t xml:space="preserve">, we declined to “say anything about how to evaluate viewpoint-neutral restrictions on trademark registration.” </w:t>
      </w:r>
      <w:bookmarkStart w:id="65" w:name="Bookmark_I6C86HBX2HM6JB0030000400"/>
      <w:bookmarkEnd w:id="65"/>
      <w:r w:rsidRPr="009658F4">
        <w:rPr>
          <w:rFonts w:ascii="Georgia" w:hAnsi="Georgia"/>
        </w:rPr>
        <w:t>588 U. S., at 398, n.</w:t>
      </w:r>
    </w:p>
    <w:p w14:paraId="609B1F14" w14:textId="77777777" w:rsidR="00003CD4" w:rsidRPr="009658F4" w:rsidRDefault="00003CD4" w:rsidP="00003CD4">
      <w:pPr>
        <w:pStyle w:val="CntrdNoItal"/>
        <w:rPr>
          <w:rFonts w:ascii="Georgia" w:hAnsi="Georgia"/>
        </w:rPr>
      </w:pPr>
      <w:r w:rsidRPr="009658F4">
        <w:rPr>
          <w:rFonts w:ascii="Georgia" w:hAnsi="Georgia"/>
        </w:rPr>
        <w:t>B</w:t>
      </w:r>
    </w:p>
    <w:p w14:paraId="3A042FD0" w14:textId="340F1FD1" w:rsidR="00003CD4" w:rsidRPr="009658F4" w:rsidRDefault="00003CD4" w:rsidP="00003CD4">
      <w:pPr>
        <w:rPr>
          <w:rFonts w:ascii="Georgia" w:hAnsi="Georgia"/>
        </w:rPr>
      </w:pPr>
      <w:r w:rsidRPr="009658F4">
        <w:rPr>
          <w:rFonts w:ascii="Georgia" w:hAnsi="Georgia"/>
        </w:rPr>
        <w:t xml:space="preserve">Because we must now consider for the first time the constitutionality of a content-based—but viewpoint-neutral—trademark restriction, we begin by addressing how the nature of trademark law informs the applicable constitutional scrutiny. Although a content-based regulation of speech is presumptively unconstitutional as a general matter, we have not decided whether heightened scrutiny extends to a viewpoint-neutral trademark restriction. Several features of trademark counsel against a </w:t>
      </w:r>
      <w:r w:rsidRPr="009658F4">
        <w:rPr>
          <w:rFonts w:ascii="Georgia" w:hAnsi="Georgia"/>
          <w:i/>
        </w:rPr>
        <w:t>per se</w:t>
      </w:r>
      <w:r w:rsidRPr="009658F4">
        <w:rPr>
          <w:rFonts w:ascii="Georgia" w:hAnsi="Georgia"/>
        </w:rPr>
        <w:t xml:space="preserve"> rule of applying heightened scrutiny to viewpoint-neutral, but content-based trademark regulations.</w:t>
      </w:r>
    </w:p>
    <w:p w14:paraId="4DAB0778" w14:textId="43447343" w:rsidR="00003CD4" w:rsidRPr="009658F4" w:rsidRDefault="00003CD4" w:rsidP="00003CD4">
      <w:pPr>
        <w:rPr>
          <w:rFonts w:ascii="Georgia" w:hAnsi="Georgia"/>
        </w:rPr>
      </w:pPr>
      <w:bookmarkStart w:id="66" w:name="Bookmark_I6C86HBX2SF7YV0010000400"/>
      <w:bookmarkStart w:id="67" w:name="Bookmark_I6C86HBX2SF7YV0050000400"/>
      <w:bookmarkEnd w:id="66"/>
      <w:bookmarkEnd w:id="67"/>
      <w:r w:rsidRPr="009658F4">
        <w:rPr>
          <w:rFonts w:ascii="Georgia" w:hAnsi="Georgia"/>
        </w:rPr>
        <w:t xml:space="preserve">See generally </w:t>
      </w:r>
      <w:bookmarkStart w:id="68" w:name="Bookmark_I6C86HBX2HM6JB0050000400"/>
      <w:bookmarkEnd w:id="68"/>
      <w:r w:rsidRPr="009658F4">
        <w:rPr>
          <w:rFonts w:ascii="Georgia" w:hAnsi="Georgia"/>
          <w:i/>
        </w:rPr>
        <w:t>Tam</w:t>
      </w:r>
      <w:r w:rsidRPr="009658F4">
        <w:rPr>
          <w:rFonts w:ascii="Georgia" w:hAnsi="Georgia"/>
        </w:rPr>
        <w:t xml:space="preserve">, 582 U. S., at 223-224; </w:t>
      </w:r>
      <w:bookmarkStart w:id="69" w:name="Bookmark_I6C86HBX2SF7YV0020000400"/>
      <w:bookmarkEnd w:id="69"/>
      <w:r w:rsidRPr="009658F4">
        <w:rPr>
          <w:rFonts w:ascii="Georgia" w:hAnsi="Georgia"/>
          <w:i/>
        </w:rPr>
        <w:t>Trade-Mark Cases</w:t>
      </w:r>
      <w:r w:rsidRPr="009658F4">
        <w:rPr>
          <w:rFonts w:ascii="Georgia" w:hAnsi="Georgia"/>
        </w:rPr>
        <w:t xml:space="preserve">, 100 U. S., at 92. </w:t>
      </w:r>
      <w:bookmarkStart w:id="70" w:name="Bookmark_I6C86HBX2N1R6V0020000400"/>
      <w:bookmarkEnd w:id="70"/>
      <w:r w:rsidRPr="009658F4">
        <w:rPr>
          <w:rFonts w:ascii="Georgia" w:hAnsi="Georgia"/>
        </w:rPr>
        <w:t>Trademark rights “ha[</w:t>
      </w:r>
      <w:proofErr w:type="spellStart"/>
      <w:r w:rsidRPr="009658F4">
        <w:rPr>
          <w:rFonts w:ascii="Georgia" w:hAnsi="Georgia"/>
        </w:rPr>
        <w:t>ve</w:t>
      </w:r>
      <w:proofErr w:type="spellEnd"/>
      <w:r w:rsidRPr="009658F4">
        <w:rPr>
          <w:rFonts w:ascii="Georgia" w:hAnsi="Georgia"/>
        </w:rPr>
        <w:t xml:space="preserve">] been long recognized by the common law and the chancery courts of England and of this country, and by the statutes of some of the States,” and that protection continues today. </w:t>
      </w:r>
      <w:bookmarkStart w:id="71" w:name="Bookmark_I6C86HBX2N1R6V0020000400_2"/>
      <w:bookmarkStart w:id="72" w:name="Bookmark_I6C86HBX2SF7YV0050000400_2"/>
      <w:bookmarkStart w:id="73" w:name="Bookmark_I6C86HBX2SF7YV0040000400"/>
      <w:bookmarkEnd w:id="71"/>
      <w:bookmarkEnd w:id="72"/>
      <w:bookmarkEnd w:id="73"/>
      <w:r w:rsidRPr="009658F4">
        <w:rPr>
          <w:rFonts w:ascii="Georgia" w:hAnsi="Georgia"/>
          <w:i/>
        </w:rPr>
        <w:t>Id.,</w:t>
      </w:r>
      <w:r w:rsidRPr="009658F4">
        <w:rPr>
          <w:rFonts w:ascii="Georgia" w:hAnsi="Georgia"/>
        </w:rPr>
        <w:t xml:space="preserve"> at 92. As we all agree, this “[h]</w:t>
      </w:r>
      <w:proofErr w:type="spellStart"/>
      <w:r w:rsidRPr="009658F4">
        <w:rPr>
          <w:rFonts w:ascii="Georgia" w:hAnsi="Georgia"/>
        </w:rPr>
        <w:t>istory</w:t>
      </w:r>
      <w:proofErr w:type="spellEnd"/>
      <w:r w:rsidRPr="009658F4">
        <w:rPr>
          <w:rFonts w:ascii="Georgia" w:hAnsi="Georgia"/>
        </w:rPr>
        <w:t xml:space="preserve"> informs the understanding that content-based distinctions are an intrinsic feature of trademarks.” </w:t>
      </w:r>
      <w:bookmarkStart w:id="74" w:name="Bookmark_I6C86HBX2N1R6V0010000400"/>
      <w:bookmarkEnd w:id="74"/>
      <w:r w:rsidRPr="009658F4">
        <w:rPr>
          <w:rFonts w:ascii="Georgia" w:hAnsi="Georgia"/>
          <w:i/>
        </w:rPr>
        <w:t>Post</w:t>
      </w:r>
      <w:r w:rsidRPr="009658F4">
        <w:rPr>
          <w:rFonts w:ascii="Georgia" w:hAnsi="Georgia"/>
        </w:rPr>
        <w:t xml:space="preserve">, at 6 (Sotomayor, J., concurring in judgment); accord, </w:t>
      </w:r>
      <w:bookmarkStart w:id="75" w:name="Bookmark_I6C86HBX2N1R6V0030000400"/>
      <w:bookmarkEnd w:id="75"/>
      <w:r w:rsidRPr="009658F4">
        <w:rPr>
          <w:rFonts w:ascii="Georgia" w:hAnsi="Georgia"/>
          <w:i/>
        </w:rPr>
        <w:t>post</w:t>
      </w:r>
      <w:r w:rsidRPr="009658F4">
        <w:rPr>
          <w:rFonts w:ascii="Georgia" w:hAnsi="Georgia"/>
        </w:rPr>
        <w:t xml:space="preserve">, at 2-6 (Barrett, J., concurring in part). And, for the </w:t>
      </w:r>
      <w:r w:rsidRPr="009658F4">
        <w:rPr>
          <w:rFonts w:ascii="Georgia" w:hAnsi="Georgia"/>
        </w:rPr>
        <w:lastRenderedPageBreak/>
        <w:t>duration of that history, the inherently content-based nature of trademark law has never been a cause for constitutional concern.</w:t>
      </w:r>
    </w:p>
    <w:p w14:paraId="354A5652" w14:textId="34069F1E" w:rsidR="00003CD4" w:rsidRPr="009658F4" w:rsidRDefault="00003CD4" w:rsidP="00003CD4">
      <w:pPr>
        <w:rPr>
          <w:rFonts w:ascii="Georgia" w:hAnsi="Georgia"/>
        </w:rPr>
      </w:pPr>
      <w:r w:rsidRPr="009658F4">
        <w:rPr>
          <w:rFonts w:ascii="Georgia" w:hAnsi="Georgia"/>
        </w:rPr>
        <w:t xml:space="preserve">Our country has recognized trademark rights since the founding. See B. Pattishall, The Constitutional Foundations of American Trademark Law, 78 Trademark Rep. 456, 457-459 (1988). At the outset, there were few recorded decisions, and the law developed slowly. Much of early American trademark law “was lifted essentially from that of England.” </w:t>
      </w:r>
      <w:r w:rsidRPr="009658F4">
        <w:rPr>
          <w:rFonts w:ascii="Georgia" w:hAnsi="Georgia"/>
          <w:i/>
        </w:rPr>
        <w:t>Id</w:t>
      </w:r>
      <w:r w:rsidRPr="009658F4">
        <w:rPr>
          <w:rFonts w:ascii="Georgia" w:hAnsi="Georgia"/>
        </w:rPr>
        <w:t xml:space="preserve">., at 457. </w:t>
      </w:r>
      <w:bookmarkStart w:id="76" w:name="Bookmark_I6C86HBX2HM6JC0010000400"/>
      <w:bookmarkEnd w:id="76"/>
      <w:r w:rsidRPr="009658F4">
        <w:rPr>
          <w:rFonts w:ascii="Georgia" w:hAnsi="Georgia"/>
        </w:rPr>
        <w:t xml:space="preserve">The protection of trademarks under English law was an inherently content-based endeavor. For example, an early English law made it “lawful to and for every Trader, Dealer and Weaver of Linen Manufacture, to weave his Name, or fix some known Mark in any Piece of Linen Manufacture by him made.” 13 Geo. I, c. 26, p. 458 (1726). </w:t>
      </w:r>
      <w:proofErr w:type="gramStart"/>
      <w:r w:rsidRPr="009658F4">
        <w:rPr>
          <w:rFonts w:ascii="Georgia" w:hAnsi="Georgia"/>
        </w:rPr>
        <w:t>And,</w:t>
      </w:r>
      <w:proofErr w:type="gramEnd"/>
      <w:r w:rsidRPr="009658F4">
        <w:rPr>
          <w:rFonts w:ascii="Georgia" w:hAnsi="Georgia"/>
        </w:rPr>
        <w:t xml:space="preserve"> a person could be liable for fraud if he sold a product under another person’s mark. See, </w:t>
      </w:r>
      <w:r w:rsidRPr="009658F4">
        <w:rPr>
          <w:rFonts w:ascii="Georgia" w:hAnsi="Georgia"/>
          <w:i/>
        </w:rPr>
        <w:t>e.g.</w:t>
      </w:r>
      <w:r w:rsidRPr="009658F4">
        <w:rPr>
          <w:rFonts w:ascii="Georgia" w:hAnsi="Georgia"/>
        </w:rPr>
        <w:t xml:space="preserve">, </w:t>
      </w:r>
      <w:r w:rsidRPr="009658F4">
        <w:rPr>
          <w:rFonts w:ascii="Georgia" w:hAnsi="Georgia"/>
          <w:i/>
        </w:rPr>
        <w:t>id</w:t>
      </w:r>
      <w:r w:rsidRPr="009658F4">
        <w:rPr>
          <w:rFonts w:ascii="Georgia" w:hAnsi="Georgia"/>
        </w:rPr>
        <w:t xml:space="preserve">., at 459; </w:t>
      </w:r>
      <w:bookmarkStart w:id="77" w:name="Bookmark_I6C86HBX2N1R6V0050000400"/>
      <w:bookmarkEnd w:id="77"/>
      <w:r w:rsidRPr="009658F4">
        <w:rPr>
          <w:rFonts w:ascii="Georgia" w:hAnsi="Georgia"/>
          <w:i/>
        </w:rPr>
        <w:t>Singleton</w:t>
      </w:r>
      <w:r w:rsidRPr="009658F4">
        <w:rPr>
          <w:rFonts w:ascii="Georgia" w:hAnsi="Georgia"/>
        </w:rPr>
        <w:t xml:space="preserve"> v. </w:t>
      </w:r>
      <w:r w:rsidRPr="009658F4">
        <w:rPr>
          <w:rFonts w:ascii="Georgia" w:hAnsi="Georgia"/>
          <w:i/>
        </w:rPr>
        <w:t>Bolton</w:t>
      </w:r>
      <w:r w:rsidRPr="009658F4">
        <w:rPr>
          <w:rFonts w:ascii="Georgia" w:hAnsi="Georgia"/>
        </w:rPr>
        <w:t xml:space="preserve">, 3 Dougl. 293, 99 Eng. Rep. 661 (K. B. 1783); </w:t>
      </w:r>
      <w:bookmarkStart w:id="78" w:name="Bookmark_I6C86HBX2HM6JC0020000400"/>
      <w:bookmarkEnd w:id="78"/>
      <w:r w:rsidRPr="009658F4">
        <w:rPr>
          <w:rFonts w:ascii="Georgia" w:hAnsi="Georgia"/>
          <w:i/>
        </w:rPr>
        <w:t>Southern</w:t>
      </w:r>
      <w:r w:rsidRPr="009658F4">
        <w:rPr>
          <w:rFonts w:ascii="Georgia" w:hAnsi="Georgia"/>
        </w:rPr>
        <w:t xml:space="preserve"> v. </w:t>
      </w:r>
      <w:r w:rsidRPr="009658F4">
        <w:rPr>
          <w:rFonts w:ascii="Georgia" w:hAnsi="Georgia"/>
          <w:i/>
        </w:rPr>
        <w:t>How</w:t>
      </w:r>
      <w:r w:rsidRPr="009658F4">
        <w:rPr>
          <w:rFonts w:ascii="Georgia" w:hAnsi="Georgia"/>
        </w:rPr>
        <w:t xml:space="preserve">, Pop. 143, 144, 79 Eng. Rep. 1243, 1244 (K. B. 1618) (mentioning that an “action did well lie” if a clothier “used the same mark” as another); J. Baker, Sources of English Legal History: Private Law to 1750, p. 675 (2d ed. 2010) (discussing </w:t>
      </w:r>
      <w:r w:rsidRPr="009658F4">
        <w:rPr>
          <w:rFonts w:ascii="Georgia" w:hAnsi="Georgia"/>
          <w:i/>
        </w:rPr>
        <w:t>J. G.</w:t>
      </w:r>
      <w:r w:rsidRPr="009658F4">
        <w:rPr>
          <w:rFonts w:ascii="Georgia" w:hAnsi="Georgia"/>
        </w:rPr>
        <w:t xml:space="preserve"> v. </w:t>
      </w:r>
      <w:r w:rsidRPr="009658F4">
        <w:rPr>
          <w:rFonts w:ascii="Georgia" w:hAnsi="Georgia"/>
          <w:i/>
        </w:rPr>
        <w:t>Samford</w:t>
      </w:r>
      <w:r w:rsidRPr="009658F4">
        <w:rPr>
          <w:rFonts w:ascii="Georgia" w:hAnsi="Georgia"/>
        </w:rPr>
        <w:t xml:space="preserve">, also known as </w:t>
      </w:r>
      <w:proofErr w:type="spellStart"/>
      <w:r w:rsidRPr="009658F4">
        <w:rPr>
          <w:rFonts w:ascii="Georgia" w:hAnsi="Georgia"/>
          <w:i/>
        </w:rPr>
        <w:t>Sandforth’s</w:t>
      </w:r>
      <w:proofErr w:type="spellEnd"/>
      <w:r w:rsidRPr="009658F4">
        <w:rPr>
          <w:rFonts w:ascii="Georgia" w:hAnsi="Georgia"/>
          <w:i/>
        </w:rPr>
        <w:t xml:space="preserve"> Case</w:t>
      </w:r>
      <w:r w:rsidRPr="009658F4">
        <w:rPr>
          <w:rFonts w:ascii="Georgia" w:hAnsi="Georgia"/>
        </w:rPr>
        <w:t xml:space="preserve">, which held in 1584 that an action could lie when a clothier “used another [clothier’s] mark”); see also G. Jacob, A New-Law Dictionary (1729) (defining “Mark to Goods” as “what ascertains the Property or Goodness thereof . . . And if one Man shall use the </w:t>
      </w:r>
      <w:r w:rsidRPr="009658F4">
        <w:rPr>
          <w:rFonts w:ascii="Georgia" w:hAnsi="Georgia"/>
          <w:i/>
        </w:rPr>
        <w:t>Mark</w:t>
      </w:r>
      <w:r w:rsidRPr="009658F4">
        <w:rPr>
          <w:rFonts w:ascii="Georgia" w:hAnsi="Georgia"/>
        </w:rPr>
        <w:t xml:space="preserve"> of another, to the Intent to do him Damage, Action upon the Case lieth”). So, the content of the mark (whether it was the same as another person’s) triggered the restriction.</w:t>
      </w:r>
    </w:p>
    <w:p w14:paraId="7FDE4574" w14:textId="147B9136" w:rsidR="00003CD4" w:rsidRPr="009658F4" w:rsidRDefault="00003CD4" w:rsidP="00003CD4">
      <w:pPr>
        <w:rPr>
          <w:rFonts w:ascii="Georgia" w:hAnsi="Georgia"/>
        </w:rPr>
      </w:pPr>
      <w:r w:rsidRPr="009658F4">
        <w:rPr>
          <w:rFonts w:ascii="Georgia" w:hAnsi="Georgia"/>
        </w:rPr>
        <w:t xml:space="preserve">Although there was an early push for federal legislation to protect trademarks, no such law was enacted during our country’s infancy. </w:t>
      </w:r>
      <w:bookmarkStart w:id="79" w:name="Bookmark_I6C86HBX2HM6JC0050000400"/>
      <w:bookmarkEnd w:id="79"/>
      <w:r w:rsidRPr="009658F4">
        <w:rPr>
          <w:rFonts w:ascii="Georgia" w:hAnsi="Georgia"/>
        </w:rPr>
        <w:t xml:space="preserve">See B. Paster, Trademarks—Their Early History, 59 Trademark Rep. 551, 565-566 (1969); see also F. Schechter, Historical Foundations of the Law Relating to </w:t>
      </w:r>
      <w:proofErr w:type="gramStart"/>
      <w:r w:rsidRPr="009658F4">
        <w:rPr>
          <w:rFonts w:ascii="Georgia" w:hAnsi="Georgia"/>
        </w:rPr>
        <w:t>Trade-Marks</w:t>
      </w:r>
      <w:proofErr w:type="gramEnd"/>
      <w:r w:rsidRPr="009658F4">
        <w:rPr>
          <w:rFonts w:ascii="Georgia" w:hAnsi="Georgia"/>
        </w:rPr>
        <w:t xml:space="preserve"> 131 (1925) (Schechter). Instead, trademark law fell largely within “the province of the States” for the 18th and most of the 19th century. </w:t>
      </w:r>
      <w:bookmarkStart w:id="80" w:name="Bookmark_I6C86HBX2HM6JC0040000400"/>
      <w:bookmarkEnd w:id="80"/>
      <w:r w:rsidRPr="009658F4">
        <w:rPr>
          <w:rFonts w:ascii="Georgia" w:hAnsi="Georgia"/>
          <w:i/>
        </w:rPr>
        <w:t>Tam</w:t>
      </w:r>
      <w:r w:rsidRPr="009658F4">
        <w:rPr>
          <w:rFonts w:ascii="Georgia" w:hAnsi="Georgia"/>
        </w:rPr>
        <w:t xml:space="preserve">, 582 U. S., at 224. For example, Massachusetts passed a private bill incorporating a cotton corporation on the condition that it affix a label to its goods “with the seal of the said </w:t>
      </w:r>
      <w:proofErr w:type="gramStart"/>
      <w:r w:rsidRPr="009658F4">
        <w:rPr>
          <w:rFonts w:ascii="Georgia" w:hAnsi="Georgia"/>
        </w:rPr>
        <w:t>Corporation</w:t>
      </w:r>
      <w:proofErr w:type="gramEnd"/>
      <w:r w:rsidRPr="009658F4">
        <w:rPr>
          <w:rFonts w:ascii="Georgia" w:hAnsi="Georgia"/>
        </w:rPr>
        <w:t xml:space="preserve">.” 1 Mass. Private and Special Laws, 1789, </w:t>
      </w:r>
      <w:proofErr w:type="spellStart"/>
      <w:r w:rsidRPr="009658F4">
        <w:rPr>
          <w:rFonts w:ascii="Georgia" w:hAnsi="Georgia"/>
        </w:rPr>
        <w:t>ch.</w:t>
      </w:r>
      <w:proofErr w:type="spellEnd"/>
      <w:r w:rsidRPr="009658F4">
        <w:rPr>
          <w:rFonts w:ascii="Georgia" w:hAnsi="Georgia"/>
        </w:rPr>
        <w:t xml:space="preserve"> 43, §5, p. 226 (1805). The law also prevented others from “us[</w:t>
      </w:r>
      <w:proofErr w:type="spellStart"/>
      <w:r w:rsidRPr="009658F4">
        <w:rPr>
          <w:rFonts w:ascii="Georgia" w:hAnsi="Georgia"/>
        </w:rPr>
        <w:t>ing</w:t>
      </w:r>
      <w:proofErr w:type="spellEnd"/>
      <w:r w:rsidRPr="009658F4">
        <w:rPr>
          <w:rFonts w:ascii="Georgia" w:hAnsi="Georgia"/>
        </w:rPr>
        <w:t xml:space="preserve">] a like seal or label” by subjecting them to treble damages. </w:t>
      </w:r>
      <w:r w:rsidRPr="009658F4">
        <w:rPr>
          <w:rFonts w:ascii="Georgia" w:hAnsi="Georgia"/>
          <w:i/>
        </w:rPr>
        <w:t>Ibid</w:t>
      </w:r>
      <w:r w:rsidRPr="009658F4">
        <w:rPr>
          <w:rFonts w:ascii="Georgia" w:hAnsi="Georgia"/>
        </w:rPr>
        <w:t xml:space="preserve">. To be sure, for most of our first century, most commerce was </w:t>
      </w:r>
      <w:proofErr w:type="gramStart"/>
      <w:r w:rsidRPr="009658F4">
        <w:rPr>
          <w:rFonts w:ascii="Georgia" w:hAnsi="Georgia"/>
        </w:rPr>
        <w:t>local</w:t>
      </w:r>
      <w:proofErr w:type="gramEnd"/>
      <w:r w:rsidRPr="009658F4">
        <w:rPr>
          <w:rFonts w:ascii="Georgia" w:hAnsi="Georgia"/>
        </w:rPr>
        <w:t xml:space="preserve"> and most consumers therefore knew the source of the goods they purchased. See R. Bone, Hunting Goodwill: A History of the Concept of Goodwill in Trademark Law, 86 B. U. L. Rev. 547, 575 (2006). “[E]</w:t>
      </w:r>
      <w:proofErr w:type="spellStart"/>
      <w:r w:rsidRPr="009658F4">
        <w:rPr>
          <w:rFonts w:ascii="Georgia" w:hAnsi="Georgia"/>
        </w:rPr>
        <w:t>ven</w:t>
      </w:r>
      <w:proofErr w:type="spellEnd"/>
      <w:r w:rsidRPr="009658F4">
        <w:rPr>
          <w:rFonts w:ascii="Georgia" w:hAnsi="Georgia"/>
        </w:rPr>
        <w:t xml:space="preserve"> as late as 1860 the term ‘trademark’ really denoted only the name of the manufacturer.” B. Pattishall, Two Hundred Years of American Trademark Law, 68 Trademark Rep. 121, 128 (1978). There was nonetheless “a certain amount of litigation in the state courts in the early nineteenth century,” though it went unrecorded. Schechter 133.</w:t>
      </w:r>
    </w:p>
    <w:p w14:paraId="0D1B5FCA" w14:textId="456A82F3" w:rsidR="00003CD4" w:rsidRPr="009658F4" w:rsidRDefault="00003CD4" w:rsidP="00003CD4">
      <w:pPr>
        <w:rPr>
          <w:rFonts w:ascii="Georgia" w:hAnsi="Georgia"/>
        </w:rPr>
      </w:pPr>
      <w:bookmarkStart w:id="81" w:name="Bookmark_I6C86HBX2D6N9H0020000400"/>
      <w:bookmarkEnd w:id="81"/>
      <w:r w:rsidRPr="009658F4">
        <w:rPr>
          <w:rFonts w:ascii="Georgia" w:hAnsi="Georgia"/>
        </w:rPr>
        <w:lastRenderedPageBreak/>
        <w:t xml:space="preserve">The “first reported American decision that may be described as a trademark case” involved a dispute over the content of a mark—and </w:t>
      </w:r>
      <w:proofErr w:type="gramStart"/>
      <w:r w:rsidRPr="009658F4">
        <w:rPr>
          <w:rFonts w:ascii="Georgia" w:hAnsi="Georgia"/>
        </w:rPr>
        <w:t>in particular</w:t>
      </w:r>
      <w:proofErr w:type="gramEnd"/>
      <w:r w:rsidRPr="009658F4">
        <w:rPr>
          <w:rFonts w:ascii="Georgia" w:hAnsi="Georgia"/>
        </w:rPr>
        <w:t xml:space="preserve">, the use of a person’s name. Pattishall, Constitutional Foundations, at 460. In </w:t>
      </w:r>
      <w:bookmarkStart w:id="82" w:name="Bookmark_I6C86HBX2D6N9H0010000400"/>
      <w:bookmarkEnd w:id="82"/>
      <w:r w:rsidRPr="009658F4">
        <w:rPr>
          <w:rFonts w:ascii="Georgia" w:hAnsi="Georgia"/>
          <w:i/>
        </w:rPr>
        <w:t>Thomson</w:t>
      </w:r>
      <w:r w:rsidRPr="009658F4">
        <w:rPr>
          <w:rFonts w:ascii="Georgia" w:hAnsi="Georgia"/>
        </w:rPr>
        <w:t xml:space="preserve"> v. </w:t>
      </w:r>
      <w:r w:rsidRPr="009658F4">
        <w:rPr>
          <w:rFonts w:ascii="Georgia" w:hAnsi="Georgia"/>
          <w:i/>
        </w:rPr>
        <w:t>Winchester</w:t>
      </w:r>
      <w:r w:rsidRPr="009658F4">
        <w:rPr>
          <w:rFonts w:ascii="Georgia" w:hAnsi="Georgia"/>
        </w:rPr>
        <w:t>, 36 Mass. 214, 216, 19 Pick. 214 (1837), Samuel Thomson—who sold a medicine under the name “</w:t>
      </w:r>
      <w:proofErr w:type="spellStart"/>
      <w:r w:rsidRPr="009658F4">
        <w:rPr>
          <w:rFonts w:ascii="Georgia" w:hAnsi="Georgia"/>
        </w:rPr>
        <w:t>Thomsonian</w:t>
      </w:r>
      <w:proofErr w:type="spellEnd"/>
      <w:r w:rsidRPr="009658F4">
        <w:rPr>
          <w:rFonts w:ascii="Georgia" w:hAnsi="Georgia"/>
        </w:rPr>
        <w:t xml:space="preserve"> Medicines”—</w:t>
      </w:r>
      <w:proofErr w:type="gramStart"/>
      <w:r w:rsidRPr="009658F4">
        <w:rPr>
          <w:rFonts w:ascii="Georgia" w:hAnsi="Georgia"/>
        </w:rPr>
        <w:t>brought suit against</w:t>
      </w:r>
      <w:proofErr w:type="gramEnd"/>
      <w:r w:rsidRPr="009658F4">
        <w:rPr>
          <w:rFonts w:ascii="Georgia" w:hAnsi="Georgia"/>
        </w:rPr>
        <w:t xml:space="preserve"> another Massachusetts druggist who sold an allegedly inferior product under the same name. The court held that the druggist could be liable for fraud if he passed the medicine off as that of Thomson. </w:t>
      </w:r>
      <w:r w:rsidRPr="009658F4">
        <w:rPr>
          <w:rFonts w:ascii="Georgia" w:hAnsi="Georgia"/>
          <w:i/>
        </w:rPr>
        <w:t>Ibid.</w:t>
      </w:r>
    </w:p>
    <w:p w14:paraId="6E368A8B" w14:textId="599D238B" w:rsidR="00003CD4" w:rsidRPr="009658F4" w:rsidRDefault="00003CD4" w:rsidP="00003CD4">
      <w:pPr>
        <w:rPr>
          <w:rFonts w:ascii="Georgia" w:hAnsi="Georgia"/>
        </w:rPr>
      </w:pPr>
      <w:bookmarkStart w:id="83" w:name="Bookmark_I6C86HBX2D6N9H0040000400"/>
      <w:bookmarkStart w:id="84" w:name="Bookmark_I6C86HBX2D6N9J0010000400"/>
      <w:bookmarkEnd w:id="83"/>
      <w:bookmarkEnd w:id="84"/>
      <w:r w:rsidRPr="009658F4">
        <w:rPr>
          <w:rFonts w:ascii="Georgia" w:hAnsi="Georgia"/>
        </w:rPr>
        <w:t xml:space="preserve">In a similar vein, the first reported trademark case in federal court revolved around a trademark’s content. Justice Story, sitting as Circuit Justice, granted an injunction to prohibit a seller of spools from infringing on the plaintiff ’s trademark of “Taylor’s Persian Thread.” </w:t>
      </w:r>
      <w:bookmarkStart w:id="85" w:name="Bookmark_I6C86HBX2D6N9H0030000400"/>
      <w:bookmarkEnd w:id="85"/>
      <w:r w:rsidRPr="009658F4">
        <w:rPr>
          <w:rFonts w:ascii="Georgia" w:hAnsi="Georgia"/>
          <w:i/>
        </w:rPr>
        <w:t>Taylor</w:t>
      </w:r>
      <w:r w:rsidRPr="009658F4">
        <w:rPr>
          <w:rFonts w:ascii="Georgia" w:hAnsi="Georgia"/>
        </w:rPr>
        <w:t xml:space="preserve"> v. </w:t>
      </w:r>
      <w:r w:rsidRPr="009658F4">
        <w:rPr>
          <w:rFonts w:ascii="Georgia" w:hAnsi="Georgia"/>
          <w:i/>
        </w:rPr>
        <w:t>Carpenter</w:t>
      </w:r>
      <w:r w:rsidRPr="009658F4">
        <w:rPr>
          <w:rFonts w:ascii="Georgia" w:hAnsi="Georgia"/>
        </w:rPr>
        <w:t xml:space="preserve">, 23 F. Cas. 742 (D. Mass. 1844). Justice Story explained that, by using the trademark, the seller “imitated . . . both descriptions of spools and labels, red and black, of the plaintiffs,” and that the principles prohibiting such infringement were at that time “very familiar to the profession” and not “susceptible of any judicial doubt.” </w:t>
      </w:r>
      <w:bookmarkStart w:id="86" w:name="Bookmark_I6C86HBX2D6N9H0050000400"/>
      <w:bookmarkEnd w:id="86"/>
      <w:r w:rsidRPr="009658F4">
        <w:rPr>
          <w:rFonts w:ascii="Georgia" w:hAnsi="Georgia"/>
          <w:i/>
        </w:rPr>
        <w:t>Id</w:t>
      </w:r>
      <w:r w:rsidRPr="009658F4">
        <w:rPr>
          <w:rFonts w:ascii="Georgia" w:hAnsi="Georgia"/>
        </w:rPr>
        <w:t>., at 464.</w:t>
      </w:r>
    </w:p>
    <w:p w14:paraId="3D6DDF3F" w14:textId="7C696FE6" w:rsidR="00003CD4" w:rsidRPr="009658F4" w:rsidRDefault="00003CD4" w:rsidP="00003CD4">
      <w:pPr>
        <w:rPr>
          <w:rFonts w:ascii="Georgia" w:hAnsi="Georgia"/>
        </w:rPr>
      </w:pPr>
      <w:r w:rsidRPr="009658F4">
        <w:rPr>
          <w:rFonts w:ascii="Georgia" w:hAnsi="Georgia"/>
        </w:rPr>
        <w:t xml:space="preserve">Recorded trademark law began to take off in the last decades of the 19th century—after the ratification of the Fourteenth Amendment in 1868—and its established content-based nature continued. See Schechter 134; Pattishall, Two Hundred Years, at 133. </w:t>
      </w:r>
      <w:bookmarkStart w:id="87" w:name="Bookmark_I6C86HBX2D6N9J0030000400"/>
      <w:bookmarkEnd w:id="87"/>
      <w:r w:rsidRPr="009658F4">
        <w:rPr>
          <w:rFonts w:ascii="Georgia" w:hAnsi="Georgia"/>
        </w:rPr>
        <w:t xml:space="preserve">American commerce became more national in character, and, perhaps because of this shift, Congress enacted the first federal trademark law in 1870. Although States retained their important role, “Congress stepped in to provide a degree of national uniformity” for trademark protection. </w:t>
      </w:r>
      <w:bookmarkStart w:id="88" w:name="Bookmark_I6C86HBX2D6N9J0020000400"/>
      <w:bookmarkEnd w:id="88"/>
      <w:r w:rsidRPr="009658F4">
        <w:rPr>
          <w:rFonts w:ascii="Georgia" w:hAnsi="Georgia"/>
          <w:i/>
        </w:rPr>
        <w:t>Tam</w:t>
      </w:r>
      <w:r w:rsidRPr="009658F4">
        <w:rPr>
          <w:rFonts w:ascii="Georgia" w:hAnsi="Georgia"/>
        </w:rPr>
        <w:t>, 582 U. S., at 224 (citing Act of July 8, 1870, §§77-84).</w:t>
      </w:r>
      <w:r w:rsidRPr="009658F4">
        <w:rPr>
          <w:rFonts w:ascii="Georgia" w:hAnsi="Georgia"/>
          <w:vertAlign w:val="superscript"/>
        </w:rPr>
        <w:footnoteReference w:customMarkFollows="1" w:id="4"/>
        <w:t>3</w:t>
      </w:r>
    </w:p>
    <w:p w14:paraId="3B1A4B54" w14:textId="5A57EE0E" w:rsidR="00003CD4" w:rsidRPr="009658F4" w:rsidRDefault="00003CD4" w:rsidP="00003CD4">
      <w:pPr>
        <w:rPr>
          <w:rFonts w:ascii="Georgia" w:hAnsi="Georgia"/>
        </w:rPr>
      </w:pPr>
      <w:bookmarkStart w:id="92" w:name="Bookmark_I6C86HBY28T4YR0020000400"/>
      <w:bookmarkEnd w:id="92"/>
      <w:r w:rsidRPr="009658F4">
        <w:rPr>
          <w:rFonts w:ascii="Georgia" w:hAnsi="Georgia"/>
        </w:rPr>
        <w:t xml:space="preserve">This first law contained prohibitions on what could be protected as a trademark. For example, the law would not protect a trademark that contained “merely the name of a person . . . only, unaccompanied by a mark sufficient to distinguish it from the same name when used by other persons.” </w:t>
      </w:r>
      <w:bookmarkStart w:id="93" w:name="Bookmark_I6C86HBY28T4YR0010000400"/>
      <w:bookmarkEnd w:id="93"/>
      <w:r w:rsidRPr="009658F4">
        <w:rPr>
          <w:rFonts w:ascii="Georgia" w:hAnsi="Georgia"/>
          <w:i/>
        </w:rPr>
        <w:t>Id</w:t>
      </w:r>
      <w:r w:rsidRPr="009658F4">
        <w:rPr>
          <w:rFonts w:ascii="Georgia" w:hAnsi="Georgia"/>
        </w:rPr>
        <w:t xml:space="preserve">., at 211. </w:t>
      </w:r>
      <w:bookmarkStart w:id="94" w:name="Bookmark_I6C86HBY28T4YR0040000400"/>
      <w:bookmarkEnd w:id="94"/>
      <w:r w:rsidRPr="009658F4">
        <w:rPr>
          <w:rFonts w:ascii="Georgia" w:hAnsi="Georgia"/>
        </w:rPr>
        <w:t>It thus restricted a trademark based upon its content (</w:t>
      </w:r>
      <w:r w:rsidRPr="009658F4">
        <w:rPr>
          <w:rFonts w:ascii="Georgia" w:hAnsi="Georgia"/>
          <w:i/>
        </w:rPr>
        <w:t>i.e.</w:t>
      </w:r>
      <w:r w:rsidRPr="009658F4">
        <w:rPr>
          <w:rFonts w:ascii="Georgia" w:hAnsi="Georgia"/>
        </w:rPr>
        <w:t xml:space="preserve">, whether it contained more than a name). </w:t>
      </w:r>
      <w:bookmarkStart w:id="95" w:name="Bookmark_I6C86HBY28T4YR0040000400_2"/>
      <w:bookmarkEnd w:id="95"/>
      <w:r w:rsidRPr="009658F4">
        <w:rPr>
          <w:rFonts w:ascii="Georgia" w:hAnsi="Georgia"/>
        </w:rPr>
        <w:t xml:space="preserve">As trademark disputes increased, courts continued to assess trademarks based on their content. For example, this Court’s first trademark decision explained that a trademark cannot consist of a purely geographical name, rejecting an attempt by one of several coal producers in Pennsylvania’s Lackawanna Valley to trademark “Lackawanna coal.” </w:t>
      </w:r>
      <w:bookmarkStart w:id="96" w:name="Bookmark_I6C86HBY28T4YR0030000400"/>
      <w:bookmarkEnd w:id="96"/>
      <w:r w:rsidRPr="009658F4">
        <w:rPr>
          <w:rFonts w:ascii="Georgia" w:hAnsi="Georgia"/>
          <w:i/>
        </w:rPr>
        <w:t>Canal Co.</w:t>
      </w:r>
      <w:r w:rsidRPr="009658F4">
        <w:rPr>
          <w:rFonts w:ascii="Georgia" w:hAnsi="Georgia"/>
        </w:rPr>
        <w:t xml:space="preserve"> v. </w:t>
      </w:r>
      <w:r w:rsidRPr="009658F4">
        <w:rPr>
          <w:rFonts w:ascii="Georgia" w:hAnsi="Georgia"/>
          <w:i/>
        </w:rPr>
        <w:t>Clark</w:t>
      </w:r>
      <w:r w:rsidRPr="009658F4">
        <w:rPr>
          <w:rFonts w:ascii="Georgia" w:hAnsi="Georgia"/>
        </w:rPr>
        <w:t xml:space="preserve">, 80 U.S. 311 (1872). </w:t>
      </w:r>
      <w:r w:rsidRPr="009658F4">
        <w:rPr>
          <w:rFonts w:ascii="Georgia" w:hAnsi="Georgia"/>
        </w:rPr>
        <w:lastRenderedPageBreak/>
        <w:t>Throughout its development, trademark law has required content-based distinctions.</w:t>
      </w:r>
    </w:p>
    <w:p w14:paraId="7AC8AE61" w14:textId="7A5472D0" w:rsidR="00003CD4" w:rsidRPr="009658F4" w:rsidRDefault="00003CD4" w:rsidP="00003CD4">
      <w:pPr>
        <w:rPr>
          <w:rFonts w:ascii="Georgia" w:hAnsi="Georgia"/>
        </w:rPr>
      </w:pPr>
      <w:r w:rsidRPr="009658F4">
        <w:rPr>
          <w:rFonts w:ascii="Georgia" w:hAnsi="Georgia"/>
        </w:rPr>
        <w:t xml:space="preserve">That did not change when Congress enacted the Lanham Act in 1946. The Act’s comprehensive system for federal registration of trademarks continues to distinguish based on a mark’s content. See Restatement (Third) of Unfair Competition §9, Comment </w:t>
      </w:r>
      <w:r w:rsidRPr="009658F4">
        <w:rPr>
          <w:rFonts w:ascii="Georgia" w:hAnsi="Georgia"/>
          <w:i/>
        </w:rPr>
        <w:t>e</w:t>
      </w:r>
      <w:r w:rsidRPr="009658F4">
        <w:rPr>
          <w:rFonts w:ascii="Georgia" w:hAnsi="Georgia"/>
        </w:rPr>
        <w:t xml:space="preserve"> (1993) (Restatement) (“The Lanham Act is generally declarative of existing law, incorporating the principal features of common law trademark protection”). The Act defines a trademark to include “any word, name, symbol, or device, or any combination </w:t>
      </w:r>
      <w:proofErr w:type="gramStart"/>
      <w:r w:rsidRPr="009658F4">
        <w:rPr>
          <w:rFonts w:ascii="Georgia" w:hAnsi="Georgia"/>
        </w:rPr>
        <w:t>thereof ”</w:t>
      </w:r>
      <w:proofErr w:type="gramEnd"/>
      <w:r w:rsidRPr="009658F4">
        <w:rPr>
          <w:rFonts w:ascii="Georgia" w:hAnsi="Georgia"/>
        </w:rPr>
        <w:t xml:space="preserve"> that a person uses “to identify and distinguish his or her goods . . . from those manufactured or sold by others and to indicate the source of the goods.” §1127. When the Government defines what may be registered as a trademark, it necessarily decides that some words or images cannot be used in a mark. To take one example, the Lanham Act bars the registration of “a mark which so resembles [another’s] mark . . . as to be likely . . . to cause confusion, or to cause mistake, or to deceive.” §1052(d). It is impossible to determine whether one trademark is the same as (or confusingly </w:t>
      </w:r>
      <w:proofErr w:type="gramStart"/>
      <w:r w:rsidRPr="009658F4">
        <w:rPr>
          <w:rFonts w:ascii="Georgia" w:hAnsi="Georgia"/>
        </w:rPr>
        <w:t>similar to</w:t>
      </w:r>
      <w:proofErr w:type="gramEnd"/>
      <w:r w:rsidRPr="009658F4">
        <w:rPr>
          <w:rFonts w:ascii="Georgia" w:hAnsi="Georgia"/>
        </w:rPr>
        <w:t>) another without looking at the content of the two marks.</w:t>
      </w:r>
    </w:p>
    <w:p w14:paraId="7FD6A968" w14:textId="14C58CB4" w:rsidR="00003CD4" w:rsidRPr="009658F4" w:rsidRDefault="00003CD4" w:rsidP="00003CD4">
      <w:pPr>
        <w:rPr>
          <w:rFonts w:ascii="Georgia" w:hAnsi="Georgia"/>
        </w:rPr>
      </w:pPr>
      <w:r w:rsidRPr="009658F4">
        <w:rPr>
          <w:rFonts w:ascii="Georgia" w:hAnsi="Georgia"/>
        </w:rPr>
        <w:t>This history, reflected in the Lanham Act still today, demonstrates that restrictions on trademarks have always turned on a mark’s content. But, despite its content-based nature, trademark law has existed alongside the First Amendment from the beginning. That longstanding, harmonious relationship suggests that heightened scrutiny need not always apply in this unique context.</w:t>
      </w:r>
    </w:p>
    <w:p w14:paraId="692E09D1" w14:textId="79B381AC" w:rsidR="00003CD4" w:rsidRPr="009658F4" w:rsidRDefault="00003CD4" w:rsidP="00003CD4">
      <w:pPr>
        <w:rPr>
          <w:rFonts w:ascii="Georgia" w:hAnsi="Georgia"/>
        </w:rPr>
      </w:pPr>
      <w:bookmarkStart w:id="97" w:name="Bookmark_I6C86HBY28T4YT0010000400"/>
      <w:bookmarkEnd w:id="97"/>
      <w:r w:rsidRPr="009658F4">
        <w:rPr>
          <w:rFonts w:ascii="Georgia" w:hAnsi="Georgia"/>
        </w:rPr>
        <w:t xml:space="preserve">The content-based nature of trademark protection is compelled by the historical rationales of trademark law. A trademark has generally served two functions: “indicating ownership of the goods to which it [is] affixed” and “indicating the source or origin of manufacture.” Schechter 122. Indicating ownership of a good was needed in part to “fi[x] responsibility for defective merchandise.” Restatement §9, Comment </w:t>
      </w:r>
      <w:r w:rsidRPr="009658F4">
        <w:rPr>
          <w:rFonts w:ascii="Georgia" w:hAnsi="Georgia"/>
          <w:i/>
        </w:rPr>
        <w:t>b</w:t>
      </w:r>
      <w:r w:rsidRPr="009658F4">
        <w:rPr>
          <w:rFonts w:ascii="Georgia" w:hAnsi="Georgia"/>
        </w:rPr>
        <w:t xml:space="preserve">. And, indicating the source of the good helped “prospective purchasers . . . make their selections based upon the reputation, not merely of the immediate vendor, but also of the manufacturer.” </w:t>
      </w:r>
      <w:r w:rsidRPr="009658F4">
        <w:rPr>
          <w:rFonts w:ascii="Georgia" w:hAnsi="Georgia"/>
          <w:i/>
        </w:rPr>
        <w:t>Ibid</w:t>
      </w:r>
      <w:r w:rsidRPr="009658F4">
        <w:rPr>
          <w:rFonts w:ascii="Georgia" w:hAnsi="Georgia"/>
        </w:rPr>
        <w:t xml:space="preserve">. Both goals thus reflect that trademarks developed historically to identify for consumers who sold the goods (the vendor) and who made the goods (the manufacturer). </w:t>
      </w:r>
      <w:bookmarkStart w:id="98" w:name="Bookmark_I6C86HBY28T4YT0030000400"/>
      <w:bookmarkEnd w:id="98"/>
      <w:r w:rsidRPr="009658F4">
        <w:rPr>
          <w:rFonts w:ascii="Georgia" w:hAnsi="Georgia"/>
        </w:rPr>
        <w:t xml:space="preserve">See </w:t>
      </w:r>
      <w:r w:rsidRPr="009658F4">
        <w:rPr>
          <w:rFonts w:ascii="Georgia" w:hAnsi="Georgia"/>
          <w:i/>
        </w:rPr>
        <w:t>ibid</w:t>
      </w:r>
      <w:r w:rsidRPr="009658F4">
        <w:rPr>
          <w:rFonts w:ascii="Georgia" w:hAnsi="Georgia"/>
        </w:rPr>
        <w:t>. In that vein, a basic function of trademark law has always been to “</w:t>
      </w:r>
      <w:proofErr w:type="spellStart"/>
      <w:r w:rsidRPr="009658F4">
        <w:rPr>
          <w:rFonts w:ascii="Georgia" w:hAnsi="Georgia"/>
        </w:rPr>
        <w:t>prohibi</w:t>
      </w:r>
      <w:proofErr w:type="spellEnd"/>
      <w:r w:rsidRPr="009658F4">
        <w:rPr>
          <w:rFonts w:ascii="Georgia" w:hAnsi="Georgia"/>
        </w:rPr>
        <w:t xml:space="preserve">[t] confusion as to the source of good or services.” Pattishall, Constitutional Foundations, at 458; see also </w:t>
      </w:r>
      <w:bookmarkStart w:id="99" w:name="Bookmark_I6C86HBY28T4YR0050000400"/>
      <w:bookmarkEnd w:id="99"/>
      <w:r w:rsidRPr="009658F4">
        <w:rPr>
          <w:rFonts w:ascii="Georgia" w:hAnsi="Georgia"/>
          <w:i/>
        </w:rPr>
        <w:t xml:space="preserve">Jack Daniel’s Properties, Inc. </w:t>
      </w:r>
      <w:r w:rsidRPr="009658F4">
        <w:rPr>
          <w:rFonts w:ascii="Georgia" w:hAnsi="Georgia"/>
        </w:rPr>
        <w:t xml:space="preserve">v. </w:t>
      </w:r>
      <w:r w:rsidRPr="009658F4">
        <w:rPr>
          <w:rFonts w:ascii="Georgia" w:hAnsi="Georgia"/>
          <w:i/>
        </w:rPr>
        <w:t>VIP Products LLC</w:t>
      </w:r>
      <w:r w:rsidRPr="009658F4">
        <w:rPr>
          <w:rFonts w:ascii="Georgia" w:hAnsi="Georgia"/>
        </w:rPr>
        <w:t xml:space="preserve">, 599 U. S. 140, 147 (2023) (“Confusion as to source is the bête noire of trademark law”). </w:t>
      </w:r>
      <w:bookmarkStart w:id="100" w:name="Bookmark_I6C86HBY28T4YT0030000400_2"/>
      <w:bookmarkEnd w:id="100"/>
      <w:r w:rsidRPr="009658F4">
        <w:rPr>
          <w:rFonts w:ascii="Georgia" w:hAnsi="Georgia"/>
        </w:rPr>
        <w:t>Indicating ownership and the manufacturing source touch on the content of the mark—</w:t>
      </w:r>
      <w:r w:rsidRPr="009658F4">
        <w:rPr>
          <w:rFonts w:ascii="Georgia" w:hAnsi="Georgia"/>
          <w:i/>
        </w:rPr>
        <w:t>i.e.</w:t>
      </w:r>
      <w:r w:rsidRPr="009658F4">
        <w:rPr>
          <w:rFonts w:ascii="Georgia" w:hAnsi="Georgia"/>
        </w:rPr>
        <w:t xml:space="preserve">, from whom the product came. And, as we have explained, policing trademarks </w:t>
      </w:r>
      <w:proofErr w:type="gramStart"/>
      <w:r w:rsidRPr="009658F4">
        <w:rPr>
          <w:rFonts w:ascii="Georgia" w:hAnsi="Georgia"/>
        </w:rPr>
        <w:t>so as to</w:t>
      </w:r>
      <w:proofErr w:type="gramEnd"/>
      <w:r w:rsidRPr="009658F4">
        <w:rPr>
          <w:rFonts w:ascii="Georgia" w:hAnsi="Georgia"/>
        </w:rPr>
        <w:t xml:space="preserve"> prevent confusion over the source of goods requires looking to the mark’s content. </w:t>
      </w:r>
      <w:bookmarkStart w:id="101" w:name="Bookmark_I6C86HBY28T4YT0020000400"/>
      <w:bookmarkEnd w:id="101"/>
      <w:r w:rsidRPr="009658F4">
        <w:rPr>
          <w:rFonts w:ascii="Georgia" w:hAnsi="Georgia"/>
          <w:i/>
        </w:rPr>
        <w:t>Supra</w:t>
      </w:r>
      <w:r w:rsidRPr="009658F4">
        <w:rPr>
          <w:rFonts w:ascii="Georgia" w:hAnsi="Georgia"/>
        </w:rPr>
        <w:t>, at 10.</w:t>
      </w:r>
    </w:p>
    <w:p w14:paraId="263B8DB0" w14:textId="76828ABC" w:rsidR="00003CD4" w:rsidRPr="009658F4" w:rsidRDefault="00003CD4" w:rsidP="00003CD4">
      <w:pPr>
        <w:rPr>
          <w:rFonts w:ascii="Georgia" w:hAnsi="Georgia"/>
        </w:rPr>
      </w:pPr>
      <w:bookmarkStart w:id="102" w:name="Bookmark_I6C86HBY28T4YT0050000400"/>
      <w:bookmarkEnd w:id="102"/>
      <w:r w:rsidRPr="009658F4">
        <w:rPr>
          <w:rFonts w:ascii="Georgia" w:hAnsi="Georgia"/>
        </w:rPr>
        <w:lastRenderedPageBreak/>
        <w:t xml:space="preserve">Because of the uniquely content-based nature of trademark regulation and the longstanding coexistence of trademark regulation with the First Amendment, we need not evaluate a solely content-based restriction on trademark registration under heightened scrutiny. See </w:t>
      </w:r>
      <w:bookmarkStart w:id="103" w:name="Bookmark_I6C86HBY28T4YT0040000400"/>
      <w:bookmarkEnd w:id="103"/>
      <w:r w:rsidRPr="009658F4">
        <w:rPr>
          <w:rFonts w:ascii="Georgia" w:hAnsi="Georgia"/>
          <w:i/>
        </w:rPr>
        <w:t>R. A. V.</w:t>
      </w:r>
      <w:r w:rsidRPr="009658F4">
        <w:rPr>
          <w:rFonts w:ascii="Georgia" w:hAnsi="Georgia"/>
        </w:rPr>
        <w:t xml:space="preserve">, 505 U. S., at 387 (“Even the prohibition against content discrimination that we assert the First Amendment requires is not absolute”); </w:t>
      </w:r>
      <w:bookmarkStart w:id="104" w:name="Bookmark_I6C86HBY2HM6JJ0010000400"/>
      <w:bookmarkEnd w:id="104"/>
      <w:r w:rsidRPr="009658F4">
        <w:rPr>
          <w:rFonts w:ascii="Georgia" w:hAnsi="Georgia"/>
          <w:i/>
        </w:rPr>
        <w:t>Jack Daniel’s</w:t>
      </w:r>
      <w:r w:rsidRPr="009658F4">
        <w:rPr>
          <w:rFonts w:ascii="Georgia" w:hAnsi="Georgia"/>
        </w:rPr>
        <w:t xml:space="preserve">, 599 U. S., at 159 (explaining that, in some circumstances, “trademark law [can] </w:t>
      </w:r>
      <w:proofErr w:type="spellStart"/>
      <w:r w:rsidRPr="009658F4">
        <w:rPr>
          <w:rFonts w:ascii="Georgia" w:hAnsi="Georgia"/>
        </w:rPr>
        <w:t>prevai</w:t>
      </w:r>
      <w:proofErr w:type="spellEnd"/>
      <w:r w:rsidRPr="009658F4">
        <w:rPr>
          <w:rFonts w:ascii="Georgia" w:hAnsi="Georgia"/>
        </w:rPr>
        <w:t xml:space="preserve">[l] over the First Amendment” (internal quotation marks omitted)); </w:t>
      </w:r>
      <w:bookmarkStart w:id="105" w:name="Bookmark_I6C86HBY2HM6JJ0030000400"/>
      <w:bookmarkEnd w:id="105"/>
      <w:r w:rsidRPr="009658F4">
        <w:rPr>
          <w:rFonts w:ascii="Georgia" w:hAnsi="Georgia"/>
          <w:i/>
        </w:rPr>
        <w:t>post</w:t>
      </w:r>
      <w:r w:rsidRPr="009658F4">
        <w:rPr>
          <w:rFonts w:ascii="Georgia" w:hAnsi="Georgia"/>
        </w:rPr>
        <w:t xml:space="preserve">, at 6 (opinion of Sotomayor, J.); </w:t>
      </w:r>
      <w:bookmarkStart w:id="106" w:name="Bookmark_I6C86HBY2HM6JJ0050000400"/>
      <w:bookmarkEnd w:id="106"/>
      <w:r w:rsidRPr="009658F4">
        <w:rPr>
          <w:rFonts w:ascii="Georgia" w:hAnsi="Georgia"/>
          <w:i/>
        </w:rPr>
        <w:t>post</w:t>
      </w:r>
      <w:r w:rsidRPr="009658F4">
        <w:rPr>
          <w:rFonts w:ascii="Georgia" w:hAnsi="Georgia"/>
        </w:rPr>
        <w:t>, at 6-7 (opinion of Barrett, J.).</w:t>
      </w:r>
    </w:p>
    <w:p w14:paraId="55B76EF4" w14:textId="77777777" w:rsidR="00003CD4" w:rsidRPr="009658F4" w:rsidRDefault="00003CD4" w:rsidP="00003CD4">
      <w:pPr>
        <w:pStyle w:val="CntrdNoItal"/>
        <w:rPr>
          <w:rFonts w:ascii="Georgia" w:hAnsi="Georgia"/>
        </w:rPr>
      </w:pPr>
      <w:r w:rsidRPr="009658F4">
        <w:rPr>
          <w:rFonts w:ascii="Georgia" w:hAnsi="Georgia"/>
        </w:rPr>
        <w:t>C</w:t>
      </w:r>
    </w:p>
    <w:p w14:paraId="7928748F" w14:textId="091133D4" w:rsidR="00003CD4" w:rsidRPr="009658F4" w:rsidRDefault="00003CD4" w:rsidP="00003CD4">
      <w:pPr>
        <w:rPr>
          <w:rFonts w:ascii="Georgia" w:hAnsi="Georgia"/>
        </w:rPr>
      </w:pPr>
      <w:bookmarkStart w:id="107" w:name="Bookmark_I6C86HBY28T4YW0030000400"/>
      <w:bookmarkEnd w:id="107"/>
      <w:r w:rsidRPr="009658F4">
        <w:rPr>
          <w:rFonts w:ascii="Georgia" w:hAnsi="Georgia"/>
        </w:rPr>
        <w:t xml:space="preserve">We have acknowledged that trademark rights and restrictions can “play well with the First Amendment.” </w:t>
      </w:r>
      <w:bookmarkStart w:id="108" w:name="Bookmark_I6C86HBY28T4YW0020000400"/>
      <w:bookmarkEnd w:id="108"/>
      <w:r w:rsidRPr="009658F4">
        <w:rPr>
          <w:rFonts w:ascii="Georgia" w:hAnsi="Georgia"/>
          <w:i/>
        </w:rPr>
        <w:t>Jack Daniel’s</w:t>
      </w:r>
      <w:r w:rsidRPr="009658F4">
        <w:rPr>
          <w:rFonts w:ascii="Georgia" w:hAnsi="Georgia"/>
        </w:rPr>
        <w:t xml:space="preserve">, 599 U. S., at </w:t>
      </w:r>
      <w:proofErr w:type="gramStart"/>
      <w:r w:rsidRPr="009658F4">
        <w:rPr>
          <w:rFonts w:ascii="Georgia" w:hAnsi="Georgia"/>
        </w:rPr>
        <w:t>159  (</w:t>
      </w:r>
      <w:proofErr w:type="gramEnd"/>
      <w:r w:rsidRPr="009658F4">
        <w:rPr>
          <w:rFonts w:ascii="Georgia" w:hAnsi="Georgia"/>
        </w:rPr>
        <w:t xml:space="preserve">internal quotation marks omitted). </w:t>
      </w:r>
      <w:bookmarkStart w:id="109" w:name="Bookmark_I6C86HBY28T4YW0050000400"/>
      <w:bookmarkEnd w:id="109"/>
      <w:r w:rsidRPr="009658F4">
        <w:rPr>
          <w:rFonts w:ascii="Georgia" w:hAnsi="Georgia"/>
        </w:rPr>
        <w:t xml:space="preserve">In this case, we do not delineate an exhaustive framework for when a content-based trademark restriction passes muster under the First Amendment. But, in evaluating a solely content-based trademark restriction, we can consider its history and tradition, as we have done before when considering the scope of the First Amendment. </w:t>
      </w:r>
      <w:bookmarkStart w:id="110" w:name="Bookmark_I6C86HBY28T4YW0050000400_2"/>
      <w:bookmarkEnd w:id="110"/>
      <w:r w:rsidRPr="009658F4">
        <w:rPr>
          <w:rFonts w:ascii="Georgia" w:hAnsi="Georgia"/>
        </w:rPr>
        <w:t xml:space="preserve">See </w:t>
      </w:r>
      <w:bookmarkStart w:id="111" w:name="Bookmark_I6C86HBY28T4YW0040000400"/>
      <w:bookmarkEnd w:id="111"/>
      <w:r w:rsidRPr="009658F4">
        <w:rPr>
          <w:rFonts w:ascii="Georgia" w:hAnsi="Georgia"/>
          <w:i/>
        </w:rPr>
        <w:t xml:space="preserve">City of Austin </w:t>
      </w:r>
      <w:r w:rsidRPr="009658F4">
        <w:rPr>
          <w:rFonts w:ascii="Georgia" w:hAnsi="Georgia"/>
        </w:rPr>
        <w:t>v.</w:t>
      </w:r>
      <w:r w:rsidRPr="009658F4">
        <w:rPr>
          <w:rFonts w:ascii="Georgia" w:hAnsi="Georgia"/>
          <w:i/>
        </w:rPr>
        <w:t xml:space="preserve"> Reagan Nat. Advertising of Austin, LLC</w:t>
      </w:r>
      <w:r w:rsidRPr="009658F4">
        <w:rPr>
          <w:rFonts w:ascii="Georgia" w:hAnsi="Georgia"/>
        </w:rPr>
        <w:t xml:space="preserve">, 596 U. S. 61, 75 (2022); </w:t>
      </w:r>
      <w:bookmarkStart w:id="112" w:name="Bookmark_I6C86HBY2SF8020010000400"/>
      <w:bookmarkEnd w:id="112"/>
      <w:r w:rsidRPr="009658F4">
        <w:rPr>
          <w:rFonts w:ascii="Georgia" w:hAnsi="Georgia"/>
          <w:i/>
        </w:rPr>
        <w:t>id.</w:t>
      </w:r>
      <w:r w:rsidRPr="009658F4">
        <w:rPr>
          <w:rFonts w:ascii="Georgia" w:hAnsi="Georgia"/>
        </w:rPr>
        <w:t xml:space="preserve">, at 101 (Thomas, J., dissenting); </w:t>
      </w:r>
      <w:bookmarkStart w:id="113" w:name="Bookmark_I6C86HBY2SF8020030000400"/>
      <w:bookmarkEnd w:id="113"/>
      <w:r w:rsidRPr="009658F4">
        <w:rPr>
          <w:rFonts w:ascii="Georgia" w:hAnsi="Georgia"/>
          <w:i/>
        </w:rPr>
        <w:t>R. A. V.</w:t>
      </w:r>
      <w:r w:rsidRPr="009658F4">
        <w:rPr>
          <w:rFonts w:ascii="Georgia" w:hAnsi="Georgia"/>
        </w:rPr>
        <w:t xml:space="preserve">, 505 U. S., at 382-383; </w:t>
      </w:r>
      <w:bookmarkStart w:id="114" w:name="Bookmark_I6C86HBY2SF8020050000400"/>
      <w:bookmarkEnd w:id="114"/>
      <w:r w:rsidRPr="009658F4">
        <w:rPr>
          <w:rFonts w:ascii="Georgia" w:hAnsi="Georgia"/>
          <w:i/>
        </w:rPr>
        <w:t>Roth</w:t>
      </w:r>
      <w:r w:rsidRPr="009658F4">
        <w:rPr>
          <w:rFonts w:ascii="Georgia" w:hAnsi="Georgia"/>
        </w:rPr>
        <w:t xml:space="preserve"> v. </w:t>
      </w:r>
      <w:r w:rsidRPr="009658F4">
        <w:rPr>
          <w:rFonts w:ascii="Georgia" w:hAnsi="Georgia"/>
          <w:i/>
        </w:rPr>
        <w:t>United States</w:t>
      </w:r>
      <w:r w:rsidRPr="009658F4">
        <w:rPr>
          <w:rFonts w:ascii="Georgia" w:hAnsi="Georgia"/>
        </w:rPr>
        <w:t>, 354 U. S. 476, 482-483 (1957).</w:t>
      </w:r>
    </w:p>
    <w:p w14:paraId="200C7DB3" w14:textId="73FE0449" w:rsidR="00003CD4" w:rsidRPr="009658F4" w:rsidRDefault="00003CD4" w:rsidP="00003CD4">
      <w:pPr>
        <w:rPr>
          <w:rFonts w:ascii="Georgia" w:hAnsi="Georgia"/>
        </w:rPr>
      </w:pPr>
      <w:r w:rsidRPr="009658F4">
        <w:rPr>
          <w:rFonts w:ascii="Georgia" w:hAnsi="Georgia"/>
        </w:rPr>
        <w:t xml:space="preserve">The Lanham Act’s names clause has deep roots in our legal tradition. Our courts have long recognized that trademarks containing names may be restricted. </w:t>
      </w:r>
      <w:proofErr w:type="gramStart"/>
      <w:r w:rsidRPr="009658F4">
        <w:rPr>
          <w:rFonts w:ascii="Georgia" w:hAnsi="Georgia"/>
        </w:rPr>
        <w:t>And,</w:t>
      </w:r>
      <w:proofErr w:type="gramEnd"/>
      <w:r w:rsidRPr="009658F4">
        <w:rPr>
          <w:rFonts w:ascii="Georgia" w:hAnsi="Georgia"/>
        </w:rPr>
        <w:t xml:space="preserve"> these name restrictions served established principles. This history and </w:t>
      </w:r>
      <w:proofErr w:type="gramStart"/>
      <w:r w:rsidRPr="009658F4">
        <w:rPr>
          <w:rFonts w:ascii="Georgia" w:hAnsi="Georgia"/>
        </w:rPr>
        <w:t>tradition  is</w:t>
      </w:r>
      <w:proofErr w:type="gramEnd"/>
      <w:r w:rsidRPr="009658F4">
        <w:rPr>
          <w:rFonts w:ascii="Georgia" w:hAnsi="Georgia"/>
        </w:rPr>
        <w:t xml:space="preserve"> sufficient to conclude that the names clause—a content-based, but viewpoint-neutral, trademark restriction—is compatible with the First Amendment. We need look no further in this case.</w:t>
      </w:r>
    </w:p>
    <w:p w14:paraId="1A3EF74C" w14:textId="77777777" w:rsidR="00003CD4" w:rsidRPr="009658F4" w:rsidRDefault="00003CD4" w:rsidP="00003CD4">
      <w:pPr>
        <w:pStyle w:val="CntrdNoItal"/>
        <w:rPr>
          <w:rFonts w:ascii="Georgia" w:hAnsi="Georgia"/>
        </w:rPr>
      </w:pPr>
      <w:r w:rsidRPr="009658F4">
        <w:rPr>
          <w:rFonts w:ascii="Georgia" w:hAnsi="Georgia"/>
        </w:rPr>
        <w:t>1</w:t>
      </w:r>
    </w:p>
    <w:p w14:paraId="7CA1EC15" w14:textId="72F74E2A" w:rsidR="00003CD4" w:rsidRPr="009658F4" w:rsidRDefault="00003CD4" w:rsidP="00003CD4">
      <w:pPr>
        <w:rPr>
          <w:rFonts w:ascii="Georgia" w:hAnsi="Georgia"/>
        </w:rPr>
      </w:pPr>
      <w:r w:rsidRPr="009658F4">
        <w:rPr>
          <w:rFonts w:ascii="Georgia" w:hAnsi="Georgia"/>
        </w:rPr>
        <w:t xml:space="preserve">Restrictions on trademarking names have a long history. </w:t>
      </w:r>
      <w:bookmarkStart w:id="115" w:name="Bookmark_I6C86HBY2N1R720030000400"/>
      <w:bookmarkEnd w:id="115"/>
      <w:r w:rsidRPr="009658F4">
        <w:rPr>
          <w:rFonts w:ascii="Georgia" w:hAnsi="Georgia"/>
        </w:rPr>
        <w:t xml:space="preserve">See generally 2 McCarthy §13:5. Such restrictions have historically been grounded in the notion that a person has ownership over his own name, and that he may not be excluded from using that name by another’s trademark. As the Court has explained, “[a] man’s name is his own property, and he has the same right to its use and enjoyment as he has to that of any other species of property.” </w:t>
      </w:r>
      <w:bookmarkStart w:id="116" w:name="Bookmark_I6C86HBY2N1R720020000400"/>
      <w:bookmarkEnd w:id="116"/>
      <w:r w:rsidRPr="009658F4">
        <w:rPr>
          <w:rFonts w:ascii="Georgia" w:hAnsi="Georgia"/>
          <w:i/>
        </w:rPr>
        <w:t>Brown Chemical Co.</w:t>
      </w:r>
      <w:r w:rsidRPr="009658F4">
        <w:rPr>
          <w:rFonts w:ascii="Georgia" w:hAnsi="Georgia"/>
        </w:rPr>
        <w:t xml:space="preserve"> v. </w:t>
      </w:r>
      <w:r w:rsidRPr="009658F4">
        <w:rPr>
          <w:rFonts w:ascii="Georgia" w:hAnsi="Georgia"/>
          <w:i/>
        </w:rPr>
        <w:t>Meyer</w:t>
      </w:r>
      <w:r w:rsidRPr="009658F4">
        <w:rPr>
          <w:rFonts w:ascii="Georgia" w:hAnsi="Georgia"/>
        </w:rPr>
        <w:t xml:space="preserve">, 139 U. S. 540, 544 (1891). It is therefore “an elementary principle that every man is entitled to the use of his own name in his own business.” F. Treadway, Personal </w:t>
      </w:r>
      <w:proofErr w:type="gramStart"/>
      <w:r w:rsidRPr="009658F4">
        <w:rPr>
          <w:rFonts w:ascii="Georgia" w:hAnsi="Georgia"/>
        </w:rPr>
        <w:t>Trade-Names</w:t>
      </w:r>
      <w:proofErr w:type="gramEnd"/>
      <w:r w:rsidRPr="009658F4">
        <w:rPr>
          <w:rFonts w:ascii="Georgia" w:hAnsi="Georgia"/>
        </w:rPr>
        <w:t xml:space="preserve">, 6 Yale L. J. 141, 143-144 (1897) (Treadway); see also A. Greeley, Foreign Patent and Trademark Laws §138, p. 135 (1899) (“The right of any one to place his own name on goods sold by him is recognized as a natural right and cannot be interfered with”). “The notion that people should be able to use their own name to identify their goods or business is deeply rooted in American mores.” </w:t>
      </w:r>
      <w:r w:rsidRPr="009658F4">
        <w:rPr>
          <w:rFonts w:ascii="Georgia" w:hAnsi="Georgia"/>
        </w:rPr>
        <w:lastRenderedPageBreak/>
        <w:t>B. Pattishall, D. Hilliard, &amp; J. Welch, Trademarks and Unfair Competition §2.06 (2001).</w:t>
      </w:r>
    </w:p>
    <w:p w14:paraId="6AEADAC9" w14:textId="147EA5F5" w:rsidR="00003CD4" w:rsidRPr="009658F4" w:rsidRDefault="00003CD4" w:rsidP="00003CD4">
      <w:pPr>
        <w:rPr>
          <w:rFonts w:ascii="Georgia" w:hAnsi="Georgia"/>
        </w:rPr>
      </w:pPr>
      <w:bookmarkStart w:id="117" w:name="Bookmark_I6C86HBY2N1R720050000400"/>
      <w:bookmarkEnd w:id="117"/>
      <w:r w:rsidRPr="009658F4">
        <w:rPr>
          <w:rFonts w:ascii="Georgia" w:hAnsi="Georgia"/>
        </w:rPr>
        <w:t xml:space="preserve">Recognizing a person’s ownership over his name, the common law restricted the trademarking of names. It prevented a person from trademarking any name—even his own—by itself. In “the early years of trademark law,” courts recognized that “ there can be no trade-mark in the name of a person, because . . . every person has the right to use his own name for the purposes of trade.” 2 McCarthy §13:5 (internal quotation marks omitted); see also Restatement §14, Comment </w:t>
      </w:r>
      <w:r w:rsidRPr="009658F4">
        <w:rPr>
          <w:rFonts w:ascii="Georgia" w:hAnsi="Georgia"/>
          <w:i/>
        </w:rPr>
        <w:t>e</w:t>
      </w:r>
      <w:r w:rsidRPr="009658F4">
        <w:rPr>
          <w:rFonts w:ascii="Georgia" w:hAnsi="Georgia"/>
        </w:rPr>
        <w:t xml:space="preserve"> (“[A]t early common law, the recognition of an unencumbered right to use one’s name in trade effectively precluded the existence of trademark or trade name rights in personal names”); W. Browne, Law of Trade-Marks §206, p. 219 (2d ed. 1885) (“The rule is, that a man cannot turn his mere name into a trade-mark”); </w:t>
      </w:r>
      <w:bookmarkStart w:id="118" w:name="Bookmark_I6C86HBY2N1R720040000400"/>
      <w:bookmarkEnd w:id="118"/>
      <w:r w:rsidRPr="009658F4">
        <w:rPr>
          <w:rFonts w:ascii="Georgia" w:hAnsi="Georgia"/>
          <w:i/>
        </w:rPr>
        <w:t>McLean</w:t>
      </w:r>
      <w:r w:rsidRPr="009658F4">
        <w:rPr>
          <w:rFonts w:ascii="Georgia" w:hAnsi="Georgia"/>
        </w:rPr>
        <w:t xml:space="preserve"> v. </w:t>
      </w:r>
      <w:r w:rsidRPr="009658F4">
        <w:rPr>
          <w:rFonts w:ascii="Georgia" w:hAnsi="Georgia"/>
          <w:i/>
        </w:rPr>
        <w:t>Fleming</w:t>
      </w:r>
      <w:r w:rsidRPr="009658F4">
        <w:rPr>
          <w:rFonts w:ascii="Georgia" w:hAnsi="Georgia"/>
        </w:rPr>
        <w:t>, 96 U. S. 245, 252, 24 L. Ed. 828, 1878 Dec. Comm'r Pat. 262 (1878) (explaining that a person cannot obtain “the exclusive use of a name, merely as such, without more”).</w:t>
      </w:r>
    </w:p>
    <w:p w14:paraId="4ED84648" w14:textId="59B175DA" w:rsidR="00003CD4" w:rsidRPr="009658F4" w:rsidRDefault="00003CD4" w:rsidP="00003CD4">
      <w:pPr>
        <w:rPr>
          <w:rFonts w:ascii="Georgia" w:hAnsi="Georgia"/>
        </w:rPr>
      </w:pPr>
      <w:bookmarkStart w:id="119" w:name="Bookmark_I6C86HC02SF8030020000400"/>
      <w:bookmarkEnd w:id="119"/>
      <w:r w:rsidRPr="009658F4">
        <w:rPr>
          <w:rFonts w:ascii="Georgia" w:hAnsi="Georgia"/>
        </w:rPr>
        <w:t xml:space="preserve">The common law did, however, allow a person to obtain a trademark </w:t>
      </w:r>
      <w:r w:rsidRPr="009658F4">
        <w:rPr>
          <w:rFonts w:ascii="Georgia" w:hAnsi="Georgia"/>
          <w:i/>
        </w:rPr>
        <w:t>containing</w:t>
      </w:r>
      <w:r w:rsidRPr="009658F4">
        <w:rPr>
          <w:rFonts w:ascii="Georgia" w:hAnsi="Georgia"/>
        </w:rPr>
        <w:t xml:space="preserve"> his own name—with a caveat: A person could not use a mark containing his name to the exclusion of a person with the </w:t>
      </w:r>
      <w:r w:rsidRPr="009658F4">
        <w:rPr>
          <w:rFonts w:ascii="Georgia" w:hAnsi="Georgia"/>
          <w:i/>
        </w:rPr>
        <w:t>same</w:t>
      </w:r>
      <w:r w:rsidRPr="009658F4">
        <w:rPr>
          <w:rFonts w:ascii="Georgia" w:hAnsi="Georgia"/>
        </w:rPr>
        <w:t xml:space="preserve"> name. “A corollary of the right to use one’s own name and identity in trade is the right to stop others from doing so—at least those who don’t share the same name.” J. Rothman, Navigating the Identity Thicket, 135 Harv. L. Rev. 1271, 1306 (2022); see also Treadway 143-144. In other words, a person’s right to his name cannot be exclusive as to other people bearing the same name: John Smith cannot acquire a trademark that prohibits other John Smiths from using their own names. See </w:t>
      </w:r>
      <w:bookmarkStart w:id="120" w:name="Bookmark_I6C86HC02SF8030010000400"/>
      <w:bookmarkEnd w:id="120"/>
      <w:r w:rsidRPr="009658F4">
        <w:rPr>
          <w:rFonts w:ascii="Georgia" w:hAnsi="Georgia"/>
          <w:i/>
        </w:rPr>
        <w:t>McLean</w:t>
      </w:r>
      <w:r w:rsidRPr="009658F4">
        <w:rPr>
          <w:rFonts w:ascii="Georgia" w:hAnsi="Georgia"/>
        </w:rPr>
        <w:t xml:space="preserve">, 96 U. S., at 252 (“[H]e cannot have such a right, even in his own name, as against another person of the same name, unless such other person uses a form of stamp or label so like that used by the complaining party as to represent that the goods of the former are of the latter’s manufacture”); accord, </w:t>
      </w:r>
      <w:bookmarkStart w:id="121" w:name="Bookmark_I6C86HC02SF8030030000400"/>
      <w:bookmarkEnd w:id="121"/>
      <w:r w:rsidRPr="009658F4">
        <w:rPr>
          <w:rFonts w:ascii="Georgia" w:hAnsi="Georgia"/>
          <w:i/>
        </w:rPr>
        <w:t>Brown Chemical</w:t>
      </w:r>
      <w:r w:rsidRPr="009658F4">
        <w:rPr>
          <w:rFonts w:ascii="Georgia" w:hAnsi="Georgia"/>
        </w:rPr>
        <w:t xml:space="preserve">, 139 U. S., at 542; </w:t>
      </w:r>
      <w:bookmarkStart w:id="122" w:name="Bookmark_I6C86HC02SF8030050000400"/>
      <w:bookmarkEnd w:id="122"/>
      <w:r w:rsidRPr="009658F4">
        <w:rPr>
          <w:rFonts w:ascii="Georgia" w:hAnsi="Georgia"/>
          <w:i/>
        </w:rPr>
        <w:t>MeNeely</w:t>
      </w:r>
      <w:r w:rsidRPr="009658F4">
        <w:rPr>
          <w:rFonts w:ascii="Georgia" w:hAnsi="Georgia"/>
        </w:rPr>
        <w:t xml:space="preserve"> v.</w:t>
      </w:r>
      <w:r w:rsidRPr="009658F4">
        <w:rPr>
          <w:rFonts w:ascii="Georgia" w:hAnsi="Georgia"/>
          <w:i/>
        </w:rPr>
        <w:t xml:space="preserve"> MeNeely</w:t>
      </w:r>
      <w:r w:rsidRPr="009658F4">
        <w:rPr>
          <w:rFonts w:ascii="Georgia" w:hAnsi="Georgia"/>
        </w:rPr>
        <w:t xml:space="preserve">, 62 N. Y. 427, 432 (Ct. App. 1875); see also Treadway 143; accord, </w:t>
      </w:r>
      <w:bookmarkStart w:id="123" w:name="Bookmark_I6C86HC02N1R730020000400"/>
      <w:bookmarkEnd w:id="123"/>
      <w:r w:rsidRPr="009658F4">
        <w:rPr>
          <w:rFonts w:ascii="Georgia" w:hAnsi="Georgia"/>
          <w:i/>
        </w:rPr>
        <w:t>post,</w:t>
      </w:r>
      <w:r w:rsidRPr="009658F4">
        <w:rPr>
          <w:rFonts w:ascii="Georgia" w:hAnsi="Georgia"/>
        </w:rPr>
        <w:t xml:space="preserve"> at 10 (opinion of Barrett, J.). </w:t>
      </w:r>
      <w:bookmarkStart w:id="124" w:name="Bookmark_I6C86HC02N1R730050000400"/>
      <w:bookmarkEnd w:id="124"/>
      <w:r w:rsidRPr="009658F4">
        <w:rPr>
          <w:rFonts w:ascii="Georgia" w:hAnsi="Georgia"/>
        </w:rPr>
        <w:t xml:space="preserve">Consider the case of John L. Faber and John H. Faber, two men who independently manufactured lead pencils near Nuremberg, Germany. Both men stamped the pencils they manufactured with their shared surname. After recognizing that each man “had the right to put his own name on his own pencils,” the New York Supreme Court declined to allow one man to effectively trademark the other man’s name. </w:t>
      </w:r>
      <w:bookmarkStart w:id="125" w:name="Bookmark_I6C86HC02N1R730040000400"/>
      <w:bookmarkEnd w:id="125"/>
      <w:r w:rsidRPr="009658F4">
        <w:rPr>
          <w:rFonts w:ascii="Georgia" w:hAnsi="Georgia"/>
          <w:i/>
        </w:rPr>
        <w:t>Faber</w:t>
      </w:r>
      <w:r w:rsidRPr="009658F4">
        <w:rPr>
          <w:rFonts w:ascii="Georgia" w:hAnsi="Georgia"/>
        </w:rPr>
        <w:t xml:space="preserve"> v. </w:t>
      </w:r>
      <w:r w:rsidRPr="009658F4">
        <w:rPr>
          <w:rFonts w:ascii="Georgia" w:hAnsi="Georgia"/>
          <w:i/>
        </w:rPr>
        <w:t>Faber</w:t>
      </w:r>
      <w:r w:rsidRPr="009658F4">
        <w:rPr>
          <w:rFonts w:ascii="Georgia" w:hAnsi="Georgia"/>
        </w:rPr>
        <w:t>, 3 Abb. Pr. (N. S.) 115, 116 (1867).</w:t>
      </w:r>
    </w:p>
    <w:p w14:paraId="5A0D1C56" w14:textId="080321D6" w:rsidR="00003CD4" w:rsidRPr="009658F4" w:rsidRDefault="00003CD4" w:rsidP="00003CD4">
      <w:pPr>
        <w:rPr>
          <w:rFonts w:ascii="Georgia" w:hAnsi="Georgia"/>
        </w:rPr>
      </w:pPr>
      <w:bookmarkStart w:id="126" w:name="Bookmark_I6C86HC02HM6JN0020000400"/>
      <w:bookmarkEnd w:id="126"/>
      <w:r w:rsidRPr="009658F4">
        <w:rPr>
          <w:rFonts w:ascii="Georgia" w:hAnsi="Georgia"/>
        </w:rPr>
        <w:t xml:space="preserve">We see no evidence that the common law afforded protection to a person seeking a trademark of another living person’s name. To the contrary, English courts recognized that selling a product under another person’s name could be actionable fraud. </w:t>
      </w:r>
      <w:bookmarkStart w:id="127" w:name="Bookmark_I6C86HC02HM6JP0010000400"/>
      <w:bookmarkEnd w:id="127"/>
      <w:r w:rsidRPr="009658F4">
        <w:rPr>
          <w:rFonts w:ascii="Georgia" w:hAnsi="Georgia"/>
        </w:rPr>
        <w:t xml:space="preserve">See, </w:t>
      </w:r>
      <w:r w:rsidRPr="009658F4">
        <w:rPr>
          <w:rFonts w:ascii="Georgia" w:hAnsi="Georgia"/>
          <w:i/>
        </w:rPr>
        <w:t>e.g.</w:t>
      </w:r>
      <w:r w:rsidRPr="009658F4">
        <w:rPr>
          <w:rFonts w:ascii="Georgia" w:hAnsi="Georgia"/>
        </w:rPr>
        <w:t xml:space="preserve">, </w:t>
      </w:r>
      <w:bookmarkStart w:id="128" w:name="Bookmark_I6C86HC02HM6JN0010000400"/>
      <w:bookmarkEnd w:id="128"/>
      <w:r w:rsidRPr="009658F4">
        <w:rPr>
          <w:rFonts w:ascii="Georgia" w:hAnsi="Georgia"/>
          <w:i/>
        </w:rPr>
        <w:t>Singleton</w:t>
      </w:r>
      <w:r w:rsidRPr="009658F4">
        <w:rPr>
          <w:rFonts w:ascii="Georgia" w:hAnsi="Georgia"/>
        </w:rPr>
        <w:t xml:space="preserve">, 3 Dougl. 293, 99 Eng. Rep. 661; </w:t>
      </w:r>
      <w:bookmarkStart w:id="129" w:name="Bookmark_I6C86HC02HM6JN0030000400"/>
      <w:bookmarkEnd w:id="129"/>
      <w:r w:rsidRPr="009658F4">
        <w:rPr>
          <w:rFonts w:ascii="Georgia" w:hAnsi="Georgia"/>
          <w:i/>
        </w:rPr>
        <w:t xml:space="preserve">Croft </w:t>
      </w:r>
      <w:r w:rsidRPr="009658F4">
        <w:rPr>
          <w:rFonts w:ascii="Georgia" w:hAnsi="Georgia"/>
        </w:rPr>
        <w:t xml:space="preserve">v. </w:t>
      </w:r>
      <w:r w:rsidRPr="009658F4">
        <w:rPr>
          <w:rFonts w:ascii="Georgia" w:hAnsi="Georgia"/>
          <w:i/>
        </w:rPr>
        <w:t>Day</w:t>
      </w:r>
      <w:r w:rsidRPr="009658F4">
        <w:rPr>
          <w:rFonts w:ascii="Georgia" w:hAnsi="Georgia"/>
        </w:rPr>
        <w:t xml:space="preserve">, 7 </w:t>
      </w:r>
      <w:proofErr w:type="spellStart"/>
      <w:r w:rsidRPr="009658F4">
        <w:rPr>
          <w:rFonts w:ascii="Georgia" w:hAnsi="Georgia"/>
        </w:rPr>
        <w:t>Beav</w:t>
      </w:r>
      <w:proofErr w:type="spellEnd"/>
      <w:r w:rsidRPr="009658F4">
        <w:rPr>
          <w:rFonts w:ascii="Georgia" w:hAnsi="Georgia"/>
        </w:rPr>
        <w:t xml:space="preserve">. 84, 88, 49 Eng. Rep. 994, 996 (1843) (“[N]o man has a right to sell his </w:t>
      </w:r>
      <w:r w:rsidRPr="009658F4">
        <w:rPr>
          <w:rFonts w:ascii="Georgia" w:hAnsi="Georgia"/>
        </w:rPr>
        <w:lastRenderedPageBreak/>
        <w:t xml:space="preserve">goods as the goods of another”). </w:t>
      </w:r>
      <w:bookmarkStart w:id="130" w:name="Bookmark_I6C86HC02HM6JP0050000400"/>
      <w:bookmarkEnd w:id="130"/>
      <w:r w:rsidRPr="009658F4">
        <w:rPr>
          <w:rFonts w:ascii="Georgia" w:hAnsi="Georgia"/>
        </w:rPr>
        <w:t xml:space="preserve">This recognition carried over to our country. </w:t>
      </w:r>
      <w:bookmarkStart w:id="131" w:name="Bookmark_I6C86HC02HM6JP0050000400_2"/>
      <w:bookmarkStart w:id="132" w:name="Bookmark_I6C86HC02HM6JP0010000400_2"/>
      <w:bookmarkEnd w:id="131"/>
      <w:bookmarkEnd w:id="132"/>
      <w:r w:rsidRPr="009658F4">
        <w:rPr>
          <w:rFonts w:ascii="Georgia" w:hAnsi="Georgia"/>
        </w:rPr>
        <w:t xml:space="preserve">See </w:t>
      </w:r>
      <w:bookmarkStart w:id="133" w:name="Bookmark_I6C86HC02HM6JN0050000400"/>
      <w:bookmarkEnd w:id="133"/>
      <w:r w:rsidRPr="009658F4">
        <w:rPr>
          <w:rFonts w:ascii="Georgia" w:hAnsi="Georgia"/>
          <w:i/>
        </w:rPr>
        <w:t>McLean</w:t>
      </w:r>
      <w:r w:rsidRPr="009658F4">
        <w:rPr>
          <w:rFonts w:ascii="Georgia" w:hAnsi="Georgia"/>
        </w:rPr>
        <w:t xml:space="preserve">, 96 U. S., at 252 (“[I]t is doubtless correct to say that a person may have a right in his own name as a </w:t>
      </w:r>
      <w:proofErr w:type="gramStart"/>
      <w:r w:rsidRPr="009658F4">
        <w:rPr>
          <w:rFonts w:ascii="Georgia" w:hAnsi="Georgia"/>
        </w:rPr>
        <w:t>trade-mark</w:t>
      </w:r>
      <w:proofErr w:type="gramEnd"/>
      <w:r w:rsidRPr="009658F4">
        <w:rPr>
          <w:rFonts w:ascii="Georgia" w:hAnsi="Georgia"/>
        </w:rPr>
        <w:t xml:space="preserve"> as against a trader or dealer of a different name”); see also </w:t>
      </w:r>
      <w:bookmarkStart w:id="134" w:name="Bookmark_I6C86HC02HM6JP0020000400"/>
      <w:bookmarkEnd w:id="134"/>
      <w:r w:rsidRPr="009658F4">
        <w:rPr>
          <w:rFonts w:ascii="Georgia" w:hAnsi="Georgia"/>
          <w:i/>
        </w:rPr>
        <w:t>Faber</w:t>
      </w:r>
      <w:r w:rsidRPr="009658F4">
        <w:rPr>
          <w:rFonts w:ascii="Georgia" w:hAnsi="Georgia"/>
        </w:rPr>
        <w:t xml:space="preserve">, 3 Abb. Pr. (N. S.), at 116. </w:t>
      </w:r>
      <w:bookmarkStart w:id="135" w:name="Bookmark_I6C86HC02N1R750010000400"/>
      <w:bookmarkEnd w:id="135"/>
      <w:r w:rsidRPr="009658F4">
        <w:rPr>
          <w:rFonts w:ascii="Georgia" w:hAnsi="Georgia"/>
        </w:rPr>
        <w:t xml:space="preserve">Even in the absence of fraud, it would be difficult, if not impossible, to square such a right to trademark another person’s name with our established understanding that “[a] person may have a right in his own name as a </w:t>
      </w:r>
      <w:proofErr w:type="gramStart"/>
      <w:r w:rsidRPr="009658F4">
        <w:rPr>
          <w:rFonts w:ascii="Georgia" w:hAnsi="Georgia"/>
        </w:rPr>
        <w:t>trade-mark</w:t>
      </w:r>
      <w:proofErr w:type="gramEnd"/>
      <w:r w:rsidRPr="009658F4">
        <w:rPr>
          <w:rFonts w:ascii="Georgia" w:hAnsi="Georgia"/>
        </w:rPr>
        <w:t xml:space="preserve">, as against a person of a different name.” </w:t>
      </w:r>
      <w:bookmarkStart w:id="136" w:name="Bookmark_I6C86HC02HM6JP0040000400"/>
      <w:bookmarkEnd w:id="136"/>
      <w:r w:rsidRPr="009658F4">
        <w:rPr>
          <w:rFonts w:ascii="Georgia" w:hAnsi="Georgia"/>
          <w:i/>
        </w:rPr>
        <w:t>Gilman</w:t>
      </w:r>
      <w:r w:rsidRPr="009658F4">
        <w:rPr>
          <w:rFonts w:ascii="Georgia" w:hAnsi="Georgia"/>
        </w:rPr>
        <w:t xml:space="preserve"> v. </w:t>
      </w:r>
      <w:r w:rsidRPr="009658F4">
        <w:rPr>
          <w:rFonts w:ascii="Georgia" w:hAnsi="Georgia"/>
          <w:i/>
        </w:rPr>
        <w:t>Hunnewell</w:t>
      </w:r>
      <w:r w:rsidRPr="009658F4">
        <w:rPr>
          <w:rFonts w:ascii="Georgia" w:hAnsi="Georgia"/>
        </w:rPr>
        <w:t xml:space="preserve">, 122 Mass. 139, 148 (1877); see also </w:t>
      </w:r>
      <w:bookmarkStart w:id="137" w:name="Bookmark_I6C86HC02SF8050010000400"/>
      <w:bookmarkEnd w:id="137"/>
      <w:r w:rsidRPr="009658F4">
        <w:rPr>
          <w:rFonts w:ascii="Georgia" w:hAnsi="Georgia"/>
          <w:i/>
        </w:rPr>
        <w:t>Thaddeus Davids Co.</w:t>
      </w:r>
      <w:r w:rsidRPr="009658F4">
        <w:rPr>
          <w:rFonts w:ascii="Georgia" w:hAnsi="Georgia"/>
        </w:rPr>
        <w:t xml:space="preserve"> v. </w:t>
      </w:r>
      <w:r w:rsidRPr="009658F4">
        <w:rPr>
          <w:rFonts w:ascii="Georgia" w:hAnsi="Georgia"/>
          <w:i/>
        </w:rPr>
        <w:t>Davids Mfg. Co.</w:t>
      </w:r>
      <w:r w:rsidRPr="009658F4">
        <w:rPr>
          <w:rFonts w:ascii="Georgia" w:hAnsi="Georgia"/>
        </w:rPr>
        <w:t xml:space="preserve">, 233 U. S. 461, 472 (1914) (highlighting persons’ “right to use their own name in trade”); </w:t>
      </w:r>
      <w:bookmarkStart w:id="138" w:name="Bookmark_I6C86HC02SF8050030000400"/>
      <w:bookmarkEnd w:id="138"/>
      <w:r w:rsidRPr="009658F4">
        <w:rPr>
          <w:rFonts w:ascii="Georgia" w:hAnsi="Georgia"/>
          <w:i/>
        </w:rPr>
        <w:t>Faber</w:t>
      </w:r>
      <w:r w:rsidRPr="009658F4">
        <w:rPr>
          <w:rFonts w:ascii="Georgia" w:hAnsi="Georgia"/>
        </w:rPr>
        <w:t xml:space="preserve">, 3 Abb. Pr. (N. S.), at 116 (“[T]he maker had the right to put his own name on his own pencils”). </w:t>
      </w:r>
      <w:bookmarkStart w:id="139" w:name="Bookmark_I6C86HC02N1R750010000400_2"/>
      <w:bookmarkEnd w:id="139"/>
      <w:r w:rsidRPr="009658F4">
        <w:rPr>
          <w:rFonts w:ascii="Georgia" w:hAnsi="Georgia"/>
        </w:rPr>
        <w:t xml:space="preserve">Relatedly, one could contract for the use of another person’s name in his business. See, </w:t>
      </w:r>
      <w:r w:rsidRPr="009658F4">
        <w:rPr>
          <w:rFonts w:ascii="Georgia" w:hAnsi="Georgia"/>
          <w:i/>
        </w:rPr>
        <w:t>e.g.</w:t>
      </w:r>
      <w:r w:rsidRPr="009658F4">
        <w:rPr>
          <w:rFonts w:ascii="Georgia" w:hAnsi="Georgia"/>
        </w:rPr>
        <w:t xml:space="preserve">, </w:t>
      </w:r>
      <w:bookmarkStart w:id="140" w:name="Bookmark_I6C86HC02SF8050050000400"/>
      <w:bookmarkEnd w:id="140"/>
      <w:r w:rsidRPr="009658F4">
        <w:rPr>
          <w:rFonts w:ascii="Georgia" w:hAnsi="Georgia"/>
          <w:i/>
        </w:rPr>
        <w:t>McLean</w:t>
      </w:r>
      <w:r w:rsidRPr="009658F4">
        <w:rPr>
          <w:rFonts w:ascii="Georgia" w:hAnsi="Georgia"/>
        </w:rPr>
        <w:t xml:space="preserve">, 96 U. S., at 249 (explaining that a “physician whose name the pills bear . . . sold the right to use the same” to another); see also </w:t>
      </w:r>
      <w:bookmarkStart w:id="141" w:name="Bookmark_I6C86HC02N1R750020000400"/>
      <w:bookmarkEnd w:id="141"/>
      <w:r w:rsidRPr="009658F4">
        <w:rPr>
          <w:rFonts w:ascii="Georgia" w:hAnsi="Georgia"/>
          <w:i/>
        </w:rPr>
        <w:t>L. E. Waterman Co.</w:t>
      </w:r>
      <w:r w:rsidRPr="009658F4">
        <w:rPr>
          <w:rFonts w:ascii="Georgia" w:hAnsi="Georgia"/>
        </w:rPr>
        <w:t xml:space="preserve"> v. </w:t>
      </w:r>
      <w:r w:rsidRPr="009658F4">
        <w:rPr>
          <w:rFonts w:ascii="Georgia" w:hAnsi="Georgia"/>
          <w:i/>
        </w:rPr>
        <w:t>Modern Pen Co.</w:t>
      </w:r>
      <w:r w:rsidRPr="009658F4">
        <w:rPr>
          <w:rFonts w:ascii="Georgia" w:hAnsi="Georgia"/>
        </w:rPr>
        <w:t xml:space="preserve">, 235 U. S. 88, 96 (1914); </w:t>
      </w:r>
      <w:bookmarkStart w:id="142" w:name="Bookmark_I6C86HC02N1R750040000400"/>
      <w:bookmarkEnd w:id="142"/>
      <w:r w:rsidRPr="009658F4">
        <w:rPr>
          <w:rFonts w:ascii="Georgia" w:hAnsi="Georgia"/>
          <w:i/>
        </w:rPr>
        <w:t>Meriden Britannia Co.</w:t>
      </w:r>
      <w:r w:rsidRPr="009658F4">
        <w:rPr>
          <w:rFonts w:ascii="Georgia" w:hAnsi="Georgia"/>
        </w:rPr>
        <w:t xml:space="preserve"> v. </w:t>
      </w:r>
      <w:r w:rsidRPr="009658F4">
        <w:rPr>
          <w:rFonts w:ascii="Georgia" w:hAnsi="Georgia"/>
          <w:i/>
        </w:rPr>
        <w:t>Parker</w:t>
      </w:r>
      <w:r w:rsidRPr="009658F4">
        <w:rPr>
          <w:rFonts w:ascii="Georgia" w:hAnsi="Georgia"/>
        </w:rPr>
        <w:t xml:space="preserve">, 39 Conn. 450, 453 (1872) (“[T]hey made a contract with the petitioners, by which, and by subsequent contracts, the petitioners acquired the right . . . to manufacture and sell plated spoons and forks with the name ‘Rogers’ stamped thereon as a component part of a trade mark”). Such contracts would make little sense if one could use another living person’s name in business at will. The common-law approach to trademarking names thus protected only a person’s right to use his </w:t>
      </w:r>
      <w:r w:rsidRPr="009658F4">
        <w:rPr>
          <w:rFonts w:ascii="Georgia" w:hAnsi="Georgia"/>
          <w:i/>
        </w:rPr>
        <w:t>own</w:t>
      </w:r>
      <w:r w:rsidRPr="009658F4">
        <w:rPr>
          <w:rFonts w:ascii="Georgia" w:hAnsi="Georgia"/>
        </w:rPr>
        <w:t xml:space="preserve"> name.</w:t>
      </w:r>
    </w:p>
    <w:p w14:paraId="4404E376" w14:textId="7B35C8F5" w:rsidR="00003CD4" w:rsidRPr="009658F4" w:rsidRDefault="00003CD4" w:rsidP="00003CD4">
      <w:pPr>
        <w:rPr>
          <w:rFonts w:ascii="Georgia" w:hAnsi="Georgia"/>
        </w:rPr>
      </w:pPr>
      <w:r w:rsidRPr="009658F4">
        <w:rPr>
          <w:rFonts w:ascii="Georgia" w:hAnsi="Georgia"/>
        </w:rPr>
        <w:t xml:space="preserve">This common-law understanding carried over into federal statutory law. The first federal trademark law contained a requirement that a trademark contain more than merely a name. See Act of July 8, 1870, §79, 16 Stat. 211. That requirement remains largely intact. See §1052(e)(4) (prohibiting registration of a trademark if it “is primarily merely a surname”). A few decades later, federal trademark law emphasized “‘[t]hat nothing herein shall prevent the registration of a </w:t>
      </w:r>
      <w:proofErr w:type="gramStart"/>
      <w:r w:rsidRPr="009658F4">
        <w:rPr>
          <w:rFonts w:ascii="Georgia" w:hAnsi="Georgia"/>
        </w:rPr>
        <w:t>trade-mark</w:t>
      </w:r>
      <w:proofErr w:type="gramEnd"/>
      <w:r w:rsidRPr="009658F4">
        <w:rPr>
          <w:rFonts w:ascii="Georgia" w:hAnsi="Georgia"/>
        </w:rPr>
        <w:t xml:space="preserve"> otherwise registerable because of its being the name </w:t>
      </w:r>
      <w:r w:rsidRPr="009658F4">
        <w:rPr>
          <w:rFonts w:ascii="Georgia" w:hAnsi="Georgia"/>
          <w:i/>
        </w:rPr>
        <w:t>of the applicant</w:t>
      </w:r>
      <w:r w:rsidRPr="009658F4">
        <w:rPr>
          <w:rFonts w:ascii="Georgia" w:hAnsi="Georgia"/>
        </w:rPr>
        <w:t xml:space="preserve">.’” Act of Feb. 18, 1911, </w:t>
      </w:r>
      <w:proofErr w:type="spellStart"/>
      <w:r w:rsidRPr="009658F4">
        <w:rPr>
          <w:rFonts w:ascii="Georgia" w:hAnsi="Georgia"/>
        </w:rPr>
        <w:t>ch.</w:t>
      </w:r>
      <w:proofErr w:type="spellEnd"/>
      <w:r w:rsidRPr="009658F4">
        <w:rPr>
          <w:rFonts w:ascii="Georgia" w:hAnsi="Georgia"/>
        </w:rPr>
        <w:t xml:space="preserve"> 113, 36 Stat. 918 (emphasis added). </w:t>
      </w:r>
      <w:proofErr w:type="gramStart"/>
      <w:r w:rsidRPr="009658F4">
        <w:rPr>
          <w:rFonts w:ascii="Georgia" w:hAnsi="Georgia"/>
        </w:rPr>
        <w:t>And,</w:t>
      </w:r>
      <w:proofErr w:type="gramEnd"/>
      <w:r w:rsidRPr="009658F4">
        <w:rPr>
          <w:rFonts w:ascii="Georgia" w:hAnsi="Georgia"/>
        </w:rPr>
        <w:t xml:space="preserve"> the Lanham Act later “</w:t>
      </w:r>
      <w:proofErr w:type="spellStart"/>
      <w:r w:rsidRPr="009658F4">
        <w:rPr>
          <w:rFonts w:ascii="Georgia" w:hAnsi="Georgia"/>
        </w:rPr>
        <w:t>incorporat</w:t>
      </w:r>
      <w:proofErr w:type="spellEnd"/>
      <w:r w:rsidRPr="009658F4">
        <w:rPr>
          <w:rFonts w:ascii="Georgia" w:hAnsi="Georgia"/>
        </w:rPr>
        <w:t>[ed] the principal features of common law trademark protection,” thereby “</w:t>
      </w:r>
      <w:proofErr w:type="spellStart"/>
      <w:r w:rsidRPr="009658F4">
        <w:rPr>
          <w:rFonts w:ascii="Georgia" w:hAnsi="Georgia"/>
        </w:rPr>
        <w:t>declar</w:t>
      </w:r>
      <w:proofErr w:type="spellEnd"/>
      <w:r w:rsidRPr="009658F4">
        <w:rPr>
          <w:rFonts w:ascii="Georgia" w:hAnsi="Georgia"/>
        </w:rPr>
        <w:t>[</w:t>
      </w:r>
      <w:proofErr w:type="spellStart"/>
      <w:r w:rsidRPr="009658F4">
        <w:rPr>
          <w:rFonts w:ascii="Georgia" w:hAnsi="Georgia"/>
        </w:rPr>
        <w:t>ing</w:t>
      </w:r>
      <w:proofErr w:type="spellEnd"/>
      <w:r w:rsidRPr="009658F4">
        <w:rPr>
          <w:rFonts w:ascii="Georgia" w:hAnsi="Georgia"/>
        </w:rPr>
        <w:t xml:space="preserve">] . . . existing law” rather than writing trademark law from scratch. Restatement §9, Comment </w:t>
      </w:r>
      <w:r w:rsidRPr="009658F4">
        <w:rPr>
          <w:rFonts w:ascii="Georgia" w:hAnsi="Georgia"/>
          <w:i/>
        </w:rPr>
        <w:t>e</w:t>
      </w:r>
      <w:r w:rsidRPr="009658F4">
        <w:rPr>
          <w:rFonts w:ascii="Georgia" w:hAnsi="Georgia"/>
        </w:rPr>
        <w:t xml:space="preserve">; see also W. </w:t>
      </w:r>
      <w:proofErr w:type="spellStart"/>
      <w:r w:rsidRPr="009658F4">
        <w:rPr>
          <w:rFonts w:ascii="Georgia" w:hAnsi="Georgia"/>
        </w:rPr>
        <w:t>Derenberg</w:t>
      </w:r>
      <w:proofErr w:type="spellEnd"/>
      <w:r w:rsidRPr="009658F4">
        <w:rPr>
          <w:rFonts w:ascii="Georgia" w:hAnsi="Georgia"/>
        </w:rPr>
        <w:t xml:space="preserve">, Trade-Mark Protection and Unfair Trade 22 (1936) (explaining that the “function [of federal trademark law] is essentially an evidential one, reflecting the underlying common law </w:t>
      </w:r>
      <w:proofErr w:type="gramStart"/>
      <w:r w:rsidRPr="009658F4">
        <w:rPr>
          <w:rFonts w:ascii="Georgia" w:hAnsi="Georgia"/>
        </w:rPr>
        <w:t>trade-mark</w:t>
      </w:r>
      <w:proofErr w:type="gramEnd"/>
      <w:r w:rsidRPr="009658F4">
        <w:rPr>
          <w:rFonts w:ascii="Georgia" w:hAnsi="Georgia"/>
        </w:rPr>
        <w:t xml:space="preserve"> right with the existence of which it rises and falls”). It is thus unsurprising that the Lanham Act included the names clause, prohibiting the registration of a mark containing “a name . . . identifying a particular living individual except by his written consent.” §1052(c). The names clause reflects the common law’s careful treatment of names when it comes to trademarks.</w:t>
      </w:r>
    </w:p>
    <w:p w14:paraId="0A970601" w14:textId="596B6460" w:rsidR="00003CD4" w:rsidRPr="009658F4" w:rsidRDefault="00003CD4" w:rsidP="00003CD4">
      <w:pPr>
        <w:rPr>
          <w:rFonts w:ascii="Georgia" w:hAnsi="Georgia"/>
        </w:rPr>
      </w:pPr>
      <w:bookmarkStart w:id="143" w:name="Bookmark_I6C86HC12N1R760020000400"/>
      <w:bookmarkEnd w:id="143"/>
      <w:r w:rsidRPr="009658F4">
        <w:rPr>
          <w:rFonts w:ascii="Georgia" w:hAnsi="Georgia"/>
        </w:rPr>
        <w:t xml:space="preserve">The restriction on trademarking names also reflects trademark law’s historical rationale of identifying the source of goods. </w:t>
      </w:r>
      <w:bookmarkStart w:id="144" w:name="Bookmark_I6C86HC128T5020010000400"/>
      <w:bookmarkEnd w:id="144"/>
      <w:r w:rsidRPr="009658F4">
        <w:rPr>
          <w:rFonts w:ascii="Georgia" w:hAnsi="Georgia"/>
        </w:rPr>
        <w:t xml:space="preserve">See </w:t>
      </w:r>
      <w:bookmarkStart w:id="145" w:name="Bookmark_I6C86HC12N1R760010000400"/>
      <w:bookmarkEnd w:id="145"/>
      <w:r w:rsidRPr="009658F4">
        <w:rPr>
          <w:rFonts w:ascii="Georgia" w:hAnsi="Georgia"/>
          <w:i/>
        </w:rPr>
        <w:t>Hanover Star Milling Co.</w:t>
      </w:r>
      <w:r w:rsidRPr="009658F4">
        <w:rPr>
          <w:rFonts w:ascii="Georgia" w:hAnsi="Georgia"/>
        </w:rPr>
        <w:t xml:space="preserve"> v. </w:t>
      </w:r>
      <w:r w:rsidRPr="009658F4">
        <w:rPr>
          <w:rFonts w:ascii="Georgia" w:hAnsi="Georgia"/>
          <w:i/>
        </w:rPr>
        <w:lastRenderedPageBreak/>
        <w:t>Metcalf</w:t>
      </w:r>
      <w:r w:rsidRPr="009658F4">
        <w:rPr>
          <w:rFonts w:ascii="Georgia" w:hAnsi="Georgia"/>
        </w:rPr>
        <w:t xml:space="preserve">, 240 U. S. 403, 412 (1916) (“The primary and proper function of a </w:t>
      </w:r>
      <w:proofErr w:type="gramStart"/>
      <w:r w:rsidRPr="009658F4">
        <w:rPr>
          <w:rFonts w:ascii="Georgia" w:hAnsi="Georgia"/>
        </w:rPr>
        <w:t>trade-mark</w:t>
      </w:r>
      <w:proofErr w:type="gramEnd"/>
      <w:r w:rsidRPr="009658F4">
        <w:rPr>
          <w:rFonts w:ascii="Georgia" w:hAnsi="Georgia"/>
        </w:rPr>
        <w:t xml:space="preserve"> is to identify the origin or ownership of the article to which it is affixed”); accord, </w:t>
      </w:r>
      <w:bookmarkStart w:id="146" w:name="Bookmark_I6C86HC12N1R760030000400"/>
      <w:bookmarkEnd w:id="146"/>
      <w:r w:rsidRPr="009658F4">
        <w:rPr>
          <w:rFonts w:ascii="Georgia" w:hAnsi="Georgia"/>
          <w:i/>
        </w:rPr>
        <w:t>post</w:t>
      </w:r>
      <w:r w:rsidRPr="009658F4">
        <w:rPr>
          <w:rFonts w:ascii="Georgia" w:hAnsi="Georgia"/>
        </w:rPr>
        <w:t xml:space="preserve">, at 8 (opinion of Barrett, J.). Trademark protection ensures that consumers know the source of a product and can thus evaluate it based upon the manufacturer’s reputation and goodwill. </w:t>
      </w:r>
      <w:bookmarkStart w:id="147" w:name="Bookmark_I6C86HC128T5020010000400_2"/>
      <w:bookmarkEnd w:id="147"/>
      <w:r w:rsidRPr="009658F4">
        <w:rPr>
          <w:rFonts w:ascii="Georgia" w:hAnsi="Georgia"/>
        </w:rPr>
        <w:t xml:space="preserve">See Restatement §9, Comment </w:t>
      </w:r>
      <w:r w:rsidRPr="009658F4">
        <w:rPr>
          <w:rFonts w:ascii="Georgia" w:hAnsi="Georgia"/>
          <w:i/>
        </w:rPr>
        <w:t>b</w:t>
      </w:r>
      <w:r w:rsidRPr="009658F4">
        <w:rPr>
          <w:rFonts w:ascii="Georgia" w:hAnsi="Georgia"/>
        </w:rPr>
        <w:t xml:space="preserve">; see also </w:t>
      </w:r>
      <w:bookmarkStart w:id="148" w:name="Bookmark_I6C86HC12N1R760050000400"/>
      <w:bookmarkEnd w:id="148"/>
      <w:r w:rsidRPr="009658F4">
        <w:rPr>
          <w:rFonts w:ascii="Georgia" w:hAnsi="Georgia"/>
          <w:i/>
        </w:rPr>
        <w:t xml:space="preserve">Powell </w:t>
      </w:r>
      <w:r w:rsidRPr="009658F4">
        <w:rPr>
          <w:rFonts w:ascii="Georgia" w:hAnsi="Georgia"/>
        </w:rPr>
        <w:t xml:space="preserve">v. </w:t>
      </w:r>
      <w:r w:rsidRPr="009658F4">
        <w:rPr>
          <w:rFonts w:ascii="Georgia" w:hAnsi="Georgia"/>
          <w:i/>
        </w:rPr>
        <w:t>Birmingham Vinegar Brewery Co</w:t>
      </w:r>
      <w:r w:rsidRPr="009658F4">
        <w:rPr>
          <w:rFonts w:ascii="Georgia" w:hAnsi="Georgia"/>
        </w:rPr>
        <w:t xml:space="preserve">., 13 Rep. Pat. Cas. 235, 250 (Ct. App. 1896) (Lindley, L. J.) (“His mark, as used by him, has given a reputation to his goods. His trade depends greatly on such reputation. </w:t>
      </w:r>
      <w:bookmarkStart w:id="149" w:name="Bookmark_I6C86HC128T5020030000400"/>
      <w:bookmarkEnd w:id="149"/>
      <w:r w:rsidRPr="009658F4">
        <w:rPr>
          <w:rFonts w:ascii="Georgia" w:hAnsi="Georgia"/>
        </w:rPr>
        <w:t xml:space="preserve">His mark sells his goods”). By barring a person from using another’s name, the names clause reflects the traditional rationale of ensuring that consumers make no mistake about who is responsible for a product. See also </w:t>
      </w:r>
      <w:bookmarkStart w:id="150" w:name="Bookmark_I6C86HC128T5020020000400"/>
      <w:bookmarkEnd w:id="150"/>
      <w:r w:rsidRPr="009658F4">
        <w:rPr>
          <w:rFonts w:ascii="Georgia" w:hAnsi="Georgia"/>
          <w:i/>
        </w:rPr>
        <w:t>Hanover Star Milling Co.</w:t>
      </w:r>
      <w:r w:rsidRPr="009658F4">
        <w:rPr>
          <w:rFonts w:ascii="Georgia" w:hAnsi="Georgia"/>
        </w:rPr>
        <w:t>, 240 U. S., at 412-413 (“The essence of the wrong [for trademark infringement] consists in the sale of the goods of one manufacturer or vendor for those of another”).</w:t>
      </w:r>
    </w:p>
    <w:p w14:paraId="5ECE0990" w14:textId="07F69D02" w:rsidR="00003CD4" w:rsidRPr="009658F4" w:rsidRDefault="00003CD4" w:rsidP="00003CD4">
      <w:pPr>
        <w:rPr>
          <w:rFonts w:ascii="Georgia" w:hAnsi="Georgia"/>
        </w:rPr>
      </w:pPr>
      <w:bookmarkStart w:id="151" w:name="Bookmark_I6C86HC128T5020050000400"/>
      <w:bookmarkStart w:id="152" w:name="Bookmark_LNHNREFclscc18"/>
      <w:bookmarkEnd w:id="151"/>
      <w:bookmarkEnd w:id="152"/>
      <w:r w:rsidRPr="009658F4">
        <w:rPr>
          <w:rFonts w:ascii="Georgia" w:hAnsi="Georgia"/>
        </w:rPr>
        <w:t xml:space="preserve">Moreover, the names clause respects the established connection between a trademark and its protection of the </w:t>
      </w:r>
      <w:proofErr w:type="spellStart"/>
      <w:r w:rsidRPr="009658F4">
        <w:rPr>
          <w:rFonts w:ascii="Georgia" w:hAnsi="Georgia"/>
        </w:rPr>
        <w:t>markholder’s</w:t>
      </w:r>
      <w:proofErr w:type="spellEnd"/>
      <w:r w:rsidRPr="009658F4">
        <w:rPr>
          <w:rFonts w:ascii="Georgia" w:hAnsi="Georgia"/>
        </w:rPr>
        <w:t xml:space="preserve"> reputation. </w:t>
      </w:r>
      <w:bookmarkStart w:id="153" w:name="Bookmark_I6C86HC128T5030010000400"/>
      <w:bookmarkEnd w:id="153"/>
      <w:r w:rsidRPr="009658F4">
        <w:rPr>
          <w:rFonts w:ascii="Georgia" w:hAnsi="Georgia"/>
        </w:rPr>
        <w:t xml:space="preserve">We have long recognized that a trademark protects the </w:t>
      </w:r>
      <w:proofErr w:type="spellStart"/>
      <w:r w:rsidRPr="009658F4">
        <w:rPr>
          <w:rFonts w:ascii="Georgia" w:hAnsi="Georgia"/>
        </w:rPr>
        <w:t>markholder’s</w:t>
      </w:r>
      <w:proofErr w:type="spellEnd"/>
      <w:r w:rsidRPr="009658F4">
        <w:rPr>
          <w:rFonts w:ascii="Georgia" w:hAnsi="Georgia"/>
        </w:rPr>
        <w:t xml:space="preserve"> reputation. </w:t>
      </w:r>
      <w:bookmarkStart w:id="154" w:name="Bookmark_I6C86HC128T5030050000400"/>
      <w:bookmarkEnd w:id="154"/>
      <w:r w:rsidRPr="009658F4">
        <w:rPr>
          <w:rFonts w:ascii="Georgia" w:hAnsi="Georgia"/>
        </w:rPr>
        <w:t xml:space="preserve">See </w:t>
      </w:r>
      <w:bookmarkStart w:id="155" w:name="Bookmark_I6C86HC128T5020040000400"/>
      <w:bookmarkEnd w:id="155"/>
      <w:r w:rsidRPr="009658F4">
        <w:rPr>
          <w:rFonts w:ascii="Georgia" w:hAnsi="Georgia"/>
          <w:i/>
        </w:rPr>
        <w:t>McLean</w:t>
      </w:r>
      <w:r w:rsidRPr="009658F4">
        <w:rPr>
          <w:rFonts w:ascii="Georgia" w:hAnsi="Georgia"/>
        </w:rPr>
        <w:t>, 96 U. S., at 254 (explaining that a trademark “</w:t>
      </w:r>
      <w:proofErr w:type="gramStart"/>
      <w:r w:rsidRPr="009658F4">
        <w:rPr>
          <w:rFonts w:ascii="Georgia" w:hAnsi="Georgia"/>
        </w:rPr>
        <w:t>enable[</w:t>
      </w:r>
      <w:proofErr w:type="gramEnd"/>
      <w:r w:rsidRPr="009658F4">
        <w:rPr>
          <w:rFonts w:ascii="Georgia" w:hAnsi="Georgia"/>
        </w:rPr>
        <w:t xml:space="preserve">s a mark-holder] to secure such profits as result from his reputation for skill, industry, and fidelity”); see also </w:t>
      </w:r>
      <w:bookmarkStart w:id="156" w:name="Bookmark_I6C86HC12N1R770010000400"/>
      <w:bookmarkEnd w:id="156"/>
      <w:r w:rsidRPr="009658F4">
        <w:rPr>
          <w:rFonts w:ascii="Georgia" w:hAnsi="Georgia"/>
          <w:i/>
        </w:rPr>
        <w:t>Hanover Star Milling Co.</w:t>
      </w:r>
      <w:r w:rsidRPr="009658F4">
        <w:rPr>
          <w:rFonts w:ascii="Georgia" w:hAnsi="Georgia"/>
        </w:rPr>
        <w:t xml:space="preserve">, 240 U. S., at 412-413, 414; </w:t>
      </w:r>
      <w:bookmarkStart w:id="157" w:name="Bookmark_I6C86HC12N1R770030000400"/>
      <w:bookmarkEnd w:id="157"/>
      <w:r w:rsidRPr="009658F4">
        <w:rPr>
          <w:rFonts w:ascii="Georgia" w:hAnsi="Georgia"/>
          <w:i/>
        </w:rPr>
        <w:t xml:space="preserve">Celluloid Mfg. Co. </w:t>
      </w:r>
      <w:r w:rsidRPr="009658F4">
        <w:rPr>
          <w:rFonts w:ascii="Georgia" w:hAnsi="Georgia"/>
        </w:rPr>
        <w:t xml:space="preserve">v. </w:t>
      </w:r>
      <w:proofErr w:type="spellStart"/>
      <w:r w:rsidRPr="009658F4">
        <w:rPr>
          <w:rFonts w:ascii="Georgia" w:hAnsi="Georgia"/>
          <w:i/>
        </w:rPr>
        <w:t>Cellonite</w:t>
      </w:r>
      <w:proofErr w:type="spellEnd"/>
      <w:r w:rsidRPr="009658F4">
        <w:rPr>
          <w:rFonts w:ascii="Georgia" w:hAnsi="Georgia"/>
          <w:i/>
        </w:rPr>
        <w:t xml:space="preserve"> Mfg. Co.</w:t>
      </w:r>
      <w:r w:rsidRPr="009658F4">
        <w:rPr>
          <w:rFonts w:ascii="Georgia" w:hAnsi="Georgia"/>
        </w:rPr>
        <w:t xml:space="preserve">, 32 F. 94, 97 (CC NJ 1887) (Bradley, J.). </w:t>
      </w:r>
      <w:bookmarkStart w:id="158" w:name="Bookmark_I6C86HC128T5030050000400_2"/>
      <w:bookmarkStart w:id="159" w:name="Bookmark_I6C86HC128T5030010000400_2"/>
      <w:bookmarkStart w:id="160" w:name="Bookmark_I6C86HC12HM6JV0020000400"/>
      <w:bookmarkEnd w:id="158"/>
      <w:bookmarkEnd w:id="159"/>
      <w:bookmarkEnd w:id="160"/>
      <w:r w:rsidRPr="009658F4">
        <w:rPr>
          <w:rFonts w:ascii="Georgia" w:hAnsi="Georgia"/>
        </w:rPr>
        <w:t>This protection reflects that a mark may “</w:t>
      </w:r>
      <w:proofErr w:type="spellStart"/>
      <w:r w:rsidRPr="009658F4">
        <w:rPr>
          <w:rFonts w:ascii="Georgia" w:hAnsi="Georgia"/>
        </w:rPr>
        <w:t>acquir</w:t>
      </w:r>
      <w:proofErr w:type="spellEnd"/>
      <w:r w:rsidRPr="009658F4">
        <w:rPr>
          <w:rFonts w:ascii="Georgia" w:hAnsi="Georgia"/>
        </w:rPr>
        <w:t xml:space="preserve">[e] value” from a person’s “expenditure of labor, skill, and money.” </w:t>
      </w:r>
      <w:bookmarkStart w:id="161" w:name="Bookmark_I6C86HC12N1R770050000400"/>
      <w:bookmarkEnd w:id="161"/>
      <w:r w:rsidRPr="009658F4">
        <w:rPr>
          <w:rFonts w:ascii="Georgia" w:hAnsi="Georgia"/>
          <w:i/>
        </w:rPr>
        <w:t>San Francisco Arts &amp; Athletics, Inc.</w:t>
      </w:r>
      <w:r w:rsidRPr="009658F4">
        <w:rPr>
          <w:rFonts w:ascii="Georgia" w:hAnsi="Georgia"/>
        </w:rPr>
        <w:t xml:space="preserve"> v. </w:t>
      </w:r>
      <w:r w:rsidRPr="009658F4">
        <w:rPr>
          <w:rFonts w:ascii="Georgia" w:hAnsi="Georgia"/>
          <w:i/>
        </w:rPr>
        <w:t>United States Olympic Comm.</w:t>
      </w:r>
      <w:r w:rsidRPr="009658F4">
        <w:rPr>
          <w:rFonts w:ascii="Georgia" w:hAnsi="Georgia"/>
        </w:rPr>
        <w:t xml:space="preserve">, 483 U. S. 522, 532 (1987) (internal quotation marks omitted); accord, </w:t>
      </w:r>
      <w:bookmarkStart w:id="162" w:name="Bookmark_I6C86HC128T5030020000400"/>
      <w:bookmarkEnd w:id="162"/>
      <w:r w:rsidRPr="009658F4">
        <w:rPr>
          <w:rFonts w:ascii="Georgia" w:hAnsi="Georgia"/>
          <w:i/>
        </w:rPr>
        <w:t>McLean</w:t>
      </w:r>
      <w:r w:rsidRPr="009658F4">
        <w:rPr>
          <w:rFonts w:ascii="Georgia" w:hAnsi="Georgia"/>
        </w:rPr>
        <w:t xml:space="preserve">, 96 U. S., at 251. </w:t>
      </w:r>
      <w:bookmarkStart w:id="163" w:name="Bookmark_I6C86HC12HM6JV0020000400_2"/>
      <w:bookmarkEnd w:id="163"/>
      <w:r w:rsidRPr="009658F4">
        <w:rPr>
          <w:rFonts w:ascii="Georgia" w:hAnsi="Georgia"/>
        </w:rPr>
        <w:t xml:space="preserve">Accordingly, when a person uses another’s mark, “the owner is robbed of the fruits of the reputation that he had successfully labored to earn.” </w:t>
      </w:r>
      <w:bookmarkStart w:id="164" w:name="Bookmark_I6C86HC128T5030040000400"/>
      <w:bookmarkEnd w:id="164"/>
      <w:proofErr w:type="spellStart"/>
      <w:r w:rsidRPr="009658F4">
        <w:rPr>
          <w:rFonts w:ascii="Georgia" w:hAnsi="Georgia"/>
          <w:i/>
        </w:rPr>
        <w:t>Amoskeag</w:t>
      </w:r>
      <w:proofErr w:type="spellEnd"/>
      <w:r w:rsidRPr="009658F4">
        <w:rPr>
          <w:rFonts w:ascii="Georgia" w:hAnsi="Georgia"/>
          <w:i/>
        </w:rPr>
        <w:t xml:space="preserve"> Mfg. Co. </w:t>
      </w:r>
      <w:r w:rsidRPr="009658F4">
        <w:rPr>
          <w:rFonts w:ascii="Georgia" w:hAnsi="Georgia"/>
        </w:rPr>
        <w:t>v.</w:t>
      </w:r>
      <w:r w:rsidRPr="009658F4">
        <w:rPr>
          <w:rFonts w:ascii="Georgia" w:hAnsi="Georgia"/>
          <w:i/>
        </w:rPr>
        <w:t xml:space="preserve"> Spear &amp; Ripley</w:t>
      </w:r>
      <w:r w:rsidRPr="009658F4">
        <w:rPr>
          <w:rFonts w:ascii="Georgia" w:hAnsi="Georgia"/>
        </w:rPr>
        <w:t xml:space="preserve">, 2 Sandf. 599, 606 (NY Super. Ct. 1849). </w:t>
      </w:r>
      <w:bookmarkStart w:id="165" w:name="Bookmark_I6C86HC12HM6JV0020000400_3"/>
      <w:bookmarkEnd w:id="165"/>
      <w:r w:rsidRPr="009658F4">
        <w:rPr>
          <w:rFonts w:ascii="Georgia" w:hAnsi="Georgia"/>
        </w:rPr>
        <w:t xml:space="preserve">A person’s trademark is “his authentic seal,” and “[i]f another uses it, he borrows the owner’s reputation, whose quality no longer lies within his own control.” </w:t>
      </w:r>
      <w:bookmarkStart w:id="166" w:name="Bookmark_I6C86HC12HM6JV0010000400"/>
      <w:bookmarkEnd w:id="166"/>
      <w:r w:rsidRPr="009658F4">
        <w:rPr>
          <w:rFonts w:ascii="Georgia" w:hAnsi="Georgia"/>
          <w:i/>
        </w:rPr>
        <w:t xml:space="preserve">Yale Elec. Corp. </w:t>
      </w:r>
      <w:r w:rsidRPr="009658F4">
        <w:rPr>
          <w:rFonts w:ascii="Georgia" w:hAnsi="Georgia"/>
        </w:rPr>
        <w:t>v.</w:t>
      </w:r>
      <w:r w:rsidRPr="009658F4">
        <w:rPr>
          <w:rFonts w:ascii="Georgia" w:hAnsi="Georgia"/>
          <w:i/>
        </w:rPr>
        <w:t xml:space="preserve"> Robertson</w:t>
      </w:r>
      <w:r w:rsidRPr="009658F4">
        <w:rPr>
          <w:rFonts w:ascii="Georgia" w:hAnsi="Georgia"/>
        </w:rPr>
        <w:t xml:space="preserve">, 26 F. 2d 972, 974 (CA2 1928) (Hand, J.). “This is an injury, even though the borrower does not tarnish it, or divert any sales by its use; for a reputation, like a face, is the symbol of its possessor and creator, and another can use it only as a mask.” </w:t>
      </w:r>
      <w:r w:rsidRPr="009658F4">
        <w:rPr>
          <w:rFonts w:ascii="Georgia" w:hAnsi="Georgia"/>
          <w:i/>
        </w:rPr>
        <w:t>Ibid.</w:t>
      </w:r>
    </w:p>
    <w:p w14:paraId="2151B1CE" w14:textId="1AF1F8F2" w:rsidR="00003CD4" w:rsidRPr="009658F4" w:rsidRDefault="00003CD4" w:rsidP="00003CD4">
      <w:pPr>
        <w:rPr>
          <w:rFonts w:ascii="Georgia" w:hAnsi="Georgia"/>
        </w:rPr>
      </w:pPr>
      <w:r w:rsidRPr="009658F4">
        <w:rPr>
          <w:rFonts w:ascii="Georgia" w:hAnsi="Georgia"/>
        </w:rPr>
        <w:t xml:space="preserve">This connection between a trademark and reputation is even stronger when the mark contains a person’s name. “[I]s not a man’s name as strong an instance of </w:t>
      </w:r>
      <w:proofErr w:type="gramStart"/>
      <w:r w:rsidRPr="009658F4">
        <w:rPr>
          <w:rFonts w:ascii="Georgia" w:hAnsi="Georgia"/>
        </w:rPr>
        <w:t>trade-mark</w:t>
      </w:r>
      <w:proofErr w:type="gramEnd"/>
      <w:r w:rsidRPr="009658F4">
        <w:rPr>
          <w:rFonts w:ascii="Georgia" w:hAnsi="Georgia"/>
        </w:rPr>
        <w:t xml:space="preserve"> as can be suggested?” </w:t>
      </w:r>
      <w:r w:rsidRPr="009658F4">
        <w:rPr>
          <w:rFonts w:ascii="Georgia" w:hAnsi="Georgia"/>
          <w:i/>
        </w:rPr>
        <w:t>Ainsworth</w:t>
      </w:r>
      <w:r w:rsidRPr="009658F4">
        <w:rPr>
          <w:rFonts w:ascii="Georgia" w:hAnsi="Georgia"/>
        </w:rPr>
        <w:t xml:space="preserve"> v. </w:t>
      </w:r>
      <w:r w:rsidRPr="009658F4">
        <w:rPr>
          <w:rFonts w:ascii="Georgia" w:hAnsi="Georgia"/>
          <w:i/>
        </w:rPr>
        <w:t>Walmsley</w:t>
      </w:r>
      <w:r w:rsidRPr="009658F4">
        <w:rPr>
          <w:rFonts w:ascii="Georgia" w:hAnsi="Georgia"/>
        </w:rPr>
        <w:t xml:space="preserve">, 1 L. R., Eq. 518, 525 (1866). </w:t>
      </w:r>
      <w:bookmarkStart w:id="167" w:name="Bookmark_I6C86HC12HM6JV0040000400"/>
      <w:bookmarkEnd w:id="167"/>
      <w:r w:rsidRPr="009658F4">
        <w:rPr>
          <w:rFonts w:ascii="Georgia" w:hAnsi="Georgia"/>
        </w:rPr>
        <w:t xml:space="preserve">In fact, the English common law of trademarks arose from the fact that “those who sold goods . . . that were the fruit of their own labor or craftsmanship [began to] </w:t>
      </w:r>
      <w:proofErr w:type="spellStart"/>
      <w:r w:rsidRPr="009658F4">
        <w:rPr>
          <w:rFonts w:ascii="Georgia" w:hAnsi="Georgia"/>
        </w:rPr>
        <w:t>identif</w:t>
      </w:r>
      <w:proofErr w:type="spellEnd"/>
      <w:r w:rsidRPr="009658F4">
        <w:rPr>
          <w:rFonts w:ascii="Georgia" w:hAnsi="Georgia"/>
        </w:rPr>
        <w:t xml:space="preserve">[y] those products . . . with their own names.” Pattishall, Constitutional Foundations, at 457. </w:t>
      </w:r>
      <w:bookmarkStart w:id="168" w:name="Bookmark_I6C86HC22D6N9Y0030000400"/>
      <w:bookmarkEnd w:id="168"/>
      <w:r w:rsidRPr="009658F4">
        <w:rPr>
          <w:rFonts w:ascii="Georgia" w:hAnsi="Georgia"/>
        </w:rPr>
        <w:t xml:space="preserve">As we have explained, virtually up until the Fourteenth Amendment’s adoption, a trademark “really denoted only the name of the manufacturer.” Pattishall, Two Hundred Years, at 128. And, </w:t>
      </w:r>
      <w:bookmarkStart w:id="169" w:name="Bookmark_LNHNREFclscc19"/>
      <w:bookmarkEnd w:id="169"/>
      <w:r w:rsidRPr="009658F4">
        <w:rPr>
          <w:rFonts w:ascii="Georgia" w:hAnsi="Georgia"/>
        </w:rPr>
        <w:t xml:space="preserve">this Court has long </w:t>
      </w:r>
      <w:r w:rsidRPr="009658F4">
        <w:rPr>
          <w:rFonts w:ascii="Georgia" w:hAnsi="Georgia"/>
        </w:rPr>
        <w:lastRenderedPageBreak/>
        <w:t xml:space="preserve">associated names with the good </w:t>
      </w:r>
      <w:proofErr w:type="gramStart"/>
      <w:r w:rsidRPr="009658F4">
        <w:rPr>
          <w:rFonts w:ascii="Georgia" w:hAnsi="Georgia"/>
        </w:rPr>
        <w:t>will they may</w:t>
      </w:r>
      <w:proofErr w:type="gramEnd"/>
      <w:r w:rsidRPr="009658F4">
        <w:rPr>
          <w:rFonts w:ascii="Georgia" w:hAnsi="Georgia"/>
        </w:rPr>
        <w:t xml:space="preserve"> bear. See </w:t>
      </w:r>
      <w:bookmarkStart w:id="170" w:name="Bookmark_I6C86HC12HM6JV0030000400"/>
      <w:bookmarkEnd w:id="170"/>
      <w:r w:rsidRPr="009658F4">
        <w:rPr>
          <w:rFonts w:ascii="Georgia" w:hAnsi="Georgia"/>
          <w:i/>
        </w:rPr>
        <w:t>McLean</w:t>
      </w:r>
      <w:r w:rsidRPr="009658F4">
        <w:rPr>
          <w:rFonts w:ascii="Georgia" w:hAnsi="Georgia"/>
        </w:rPr>
        <w:t xml:space="preserve">, 96 U. S., at 252; </w:t>
      </w:r>
      <w:bookmarkStart w:id="171" w:name="Bookmark_I6C86HC12HM6JV0050000400"/>
      <w:bookmarkEnd w:id="171"/>
      <w:r w:rsidRPr="009658F4">
        <w:rPr>
          <w:rFonts w:ascii="Georgia" w:hAnsi="Georgia"/>
          <w:i/>
        </w:rPr>
        <w:t>L. E. Waterman Co.</w:t>
      </w:r>
      <w:r w:rsidRPr="009658F4">
        <w:rPr>
          <w:rFonts w:ascii="Georgia" w:hAnsi="Georgia"/>
        </w:rPr>
        <w:t xml:space="preserve">, 235 U. S., at 96 (“He purported to transfer to the partnership the good will attaching to his name”). </w:t>
      </w:r>
      <w:bookmarkStart w:id="172" w:name="Bookmark_I6C86HC22D6N9Y0030000400_2"/>
      <w:bookmarkEnd w:id="172"/>
      <w:r w:rsidRPr="009658F4">
        <w:rPr>
          <w:rFonts w:ascii="Georgia" w:hAnsi="Georgia"/>
        </w:rPr>
        <w:t xml:space="preserve">The names clause thus protects “the reputation of the named individual” by preventing another person from using his name. </w:t>
      </w:r>
      <w:bookmarkStart w:id="173" w:name="Bookmark_I6C86HC22D6N9Y0020000400"/>
      <w:bookmarkEnd w:id="173"/>
      <w:r w:rsidRPr="009658F4">
        <w:rPr>
          <w:rFonts w:ascii="Georgia" w:hAnsi="Georgia"/>
          <w:i/>
        </w:rPr>
        <w:t>Post</w:t>
      </w:r>
      <w:r w:rsidRPr="009658F4">
        <w:rPr>
          <w:rFonts w:ascii="Georgia" w:hAnsi="Georgia"/>
        </w:rPr>
        <w:t>, at 9 (opinion of Barrett, J.).</w:t>
      </w:r>
    </w:p>
    <w:p w14:paraId="561EF32B" w14:textId="4FE81DA0" w:rsidR="00003CD4" w:rsidRPr="009658F4" w:rsidRDefault="00003CD4" w:rsidP="00003CD4">
      <w:pPr>
        <w:rPr>
          <w:rFonts w:ascii="Georgia" w:hAnsi="Georgia"/>
        </w:rPr>
      </w:pPr>
      <w:bookmarkStart w:id="174" w:name="Bookmark_I6C86HC22D6N9Y0050000400"/>
      <w:bookmarkStart w:id="175" w:name="Bookmark_I6C86HC228T5050020000400"/>
      <w:bookmarkStart w:id="176" w:name="Bookmark_I6C86HC228T5060010000400"/>
      <w:bookmarkStart w:id="177" w:name="Bookmark_LNHNREFclscc20"/>
      <w:bookmarkEnd w:id="174"/>
      <w:bookmarkEnd w:id="175"/>
      <w:bookmarkEnd w:id="176"/>
      <w:bookmarkEnd w:id="177"/>
      <w:r w:rsidRPr="009658F4">
        <w:rPr>
          <w:rFonts w:ascii="Georgia" w:hAnsi="Georgia"/>
        </w:rPr>
        <w:t xml:space="preserve">Applying these principles, we have recognized that a party has no First Amendment right to piggyback off the goodwill another entity has built in its name. In </w:t>
      </w:r>
      <w:r w:rsidRPr="009658F4">
        <w:rPr>
          <w:rFonts w:ascii="Georgia" w:hAnsi="Georgia"/>
          <w:i/>
        </w:rPr>
        <w:t>San Francisco Arts &amp; Athletics, Inc.</w:t>
      </w:r>
      <w:r w:rsidRPr="009658F4">
        <w:rPr>
          <w:rFonts w:ascii="Georgia" w:hAnsi="Georgia"/>
        </w:rPr>
        <w:t>, the Court upheld a provision of the Amateur Sports Act of 1978 that prohibited “‘any person’” from using the word “‘Olympic’” for certain purposes “‘[w]</w:t>
      </w:r>
      <w:proofErr w:type="spellStart"/>
      <w:r w:rsidRPr="009658F4">
        <w:rPr>
          <w:rFonts w:ascii="Georgia" w:hAnsi="Georgia"/>
        </w:rPr>
        <w:t>ithout</w:t>
      </w:r>
      <w:proofErr w:type="spellEnd"/>
      <w:r w:rsidRPr="009658F4">
        <w:rPr>
          <w:rFonts w:ascii="Georgia" w:hAnsi="Georgia"/>
        </w:rPr>
        <w:t xml:space="preserve"> the consent’” of the U. S. Olympic Committee (USOC), and subjected violations to “‘the remedies provided in the Lanham Act.’” </w:t>
      </w:r>
      <w:bookmarkStart w:id="178" w:name="Bookmark_I6C86HC22D6N9Y0040000400"/>
      <w:bookmarkEnd w:id="178"/>
      <w:r w:rsidRPr="009658F4">
        <w:rPr>
          <w:rFonts w:ascii="Georgia" w:hAnsi="Georgia"/>
        </w:rPr>
        <w:t xml:space="preserve">483 U. S., at 528 (quoting 36 U. S. C. §380(a); alteration omitted). The Court rejected the argument that the consent requirement violated the First Amendment because “Congress reasonably could conclude” that the value of the word “‘Olympic’ was the product of the USOC’s ‘own talents and energy.’” </w:t>
      </w:r>
      <w:bookmarkStart w:id="179" w:name="Bookmark_I6C86HC228T5050010000400"/>
      <w:bookmarkEnd w:id="179"/>
      <w:r w:rsidRPr="009658F4">
        <w:rPr>
          <w:rFonts w:ascii="Georgia" w:hAnsi="Georgia"/>
        </w:rPr>
        <w:t xml:space="preserve">483 U. S., at 532-533 (quoting </w:t>
      </w:r>
      <w:bookmarkStart w:id="180" w:name="Bookmark_I6C86HC228T5050030000400"/>
      <w:bookmarkEnd w:id="180"/>
      <w:r w:rsidRPr="009658F4">
        <w:rPr>
          <w:rFonts w:ascii="Georgia" w:hAnsi="Georgia"/>
          <w:i/>
        </w:rPr>
        <w:t>Zacchini</w:t>
      </w:r>
      <w:r w:rsidRPr="009658F4">
        <w:rPr>
          <w:rFonts w:ascii="Georgia" w:hAnsi="Georgia"/>
        </w:rPr>
        <w:t xml:space="preserve"> v. </w:t>
      </w:r>
      <w:r w:rsidRPr="009658F4">
        <w:rPr>
          <w:rFonts w:ascii="Georgia" w:hAnsi="Georgia"/>
          <w:i/>
        </w:rPr>
        <w:t>Scripps-Howard Broadcasting Co</w:t>
      </w:r>
      <w:r w:rsidRPr="009658F4">
        <w:rPr>
          <w:rFonts w:ascii="Georgia" w:hAnsi="Georgia"/>
        </w:rPr>
        <w:t xml:space="preserve">., 433 U. S. 562, 575 (1977)). </w:t>
      </w:r>
      <w:bookmarkStart w:id="181" w:name="Bookmark_I6C86HC228T5060030000400"/>
      <w:bookmarkEnd w:id="181"/>
      <w:r w:rsidRPr="009658F4">
        <w:rPr>
          <w:rFonts w:ascii="Georgia" w:hAnsi="Georgia"/>
        </w:rPr>
        <w:t xml:space="preserve">Although the petitioner certainly had a First Amendment right to speak on political matters, it lacked the right to “exploit the commercial magnetism” of the word “Olympic” and the USOC’s hard-won efforts in giving that word value. </w:t>
      </w:r>
      <w:bookmarkStart w:id="182" w:name="Bookmark_I6C86HC228T5050050000400"/>
      <w:bookmarkEnd w:id="182"/>
      <w:r w:rsidRPr="009658F4">
        <w:rPr>
          <w:rFonts w:ascii="Georgia" w:hAnsi="Georgia"/>
        </w:rPr>
        <w:t xml:space="preserve">483 U. S., at 539 (internal quotation marks omitted). </w:t>
      </w:r>
      <w:bookmarkStart w:id="183" w:name="Bookmark_I6C86HC228T5060030000400_2"/>
      <w:bookmarkEnd w:id="183"/>
      <w:r w:rsidRPr="009658F4">
        <w:rPr>
          <w:rFonts w:ascii="Georgia" w:hAnsi="Georgia"/>
        </w:rPr>
        <w:t xml:space="preserve">The names clause guards a similar interest. </w:t>
      </w:r>
      <w:bookmarkStart w:id="184" w:name="Bookmark_LNHNREFclscc21"/>
      <w:bookmarkEnd w:id="184"/>
      <w:r w:rsidRPr="009658F4">
        <w:rPr>
          <w:rFonts w:ascii="Georgia" w:hAnsi="Georgia"/>
        </w:rPr>
        <w:t>By protecting a person’s use of his name, the names clause “</w:t>
      </w:r>
      <w:proofErr w:type="spellStart"/>
      <w:r w:rsidRPr="009658F4">
        <w:rPr>
          <w:rFonts w:ascii="Georgia" w:hAnsi="Georgia"/>
        </w:rPr>
        <w:t>secur</w:t>
      </w:r>
      <w:proofErr w:type="spellEnd"/>
      <w:r w:rsidRPr="009658F4">
        <w:rPr>
          <w:rFonts w:ascii="Georgia" w:hAnsi="Georgia"/>
        </w:rPr>
        <w:t xml:space="preserve">[es] to the producer the benefits of [his] good reputation.” </w:t>
      </w:r>
      <w:bookmarkStart w:id="185" w:name="Bookmark_I6C86HC228T5060020000400"/>
      <w:bookmarkEnd w:id="185"/>
      <w:r w:rsidRPr="009658F4">
        <w:rPr>
          <w:rFonts w:ascii="Georgia" w:hAnsi="Georgia"/>
          <w:i/>
        </w:rPr>
        <w:t>Park ’N Fly, Inc.</w:t>
      </w:r>
      <w:r w:rsidRPr="009658F4">
        <w:rPr>
          <w:rFonts w:ascii="Georgia" w:hAnsi="Georgia"/>
        </w:rPr>
        <w:t xml:space="preserve"> v. </w:t>
      </w:r>
      <w:r w:rsidRPr="009658F4">
        <w:rPr>
          <w:rFonts w:ascii="Georgia" w:hAnsi="Georgia"/>
          <w:i/>
        </w:rPr>
        <w:t>Dollar Park &amp; Fly, Inc.</w:t>
      </w:r>
      <w:r w:rsidRPr="009658F4">
        <w:rPr>
          <w:rFonts w:ascii="Georgia" w:hAnsi="Georgia"/>
        </w:rPr>
        <w:t>, 469 U. S. 189, 198 (1985); see also Pattishall, Two Hundred Years, at 121 (explaining how trademark law protects a person’s “commercial identity, thereby [allowing him] to enjoy the fruits of his own labor”).</w:t>
      </w:r>
    </w:p>
    <w:p w14:paraId="7C638F76" w14:textId="77777777" w:rsidR="00003CD4" w:rsidRPr="009658F4" w:rsidRDefault="00003CD4" w:rsidP="00003CD4">
      <w:pPr>
        <w:pStyle w:val="CntrdNoItal"/>
        <w:rPr>
          <w:rFonts w:ascii="Georgia" w:hAnsi="Georgia"/>
        </w:rPr>
      </w:pPr>
      <w:r w:rsidRPr="009658F4">
        <w:rPr>
          <w:rFonts w:ascii="Georgia" w:hAnsi="Georgia"/>
        </w:rPr>
        <w:t>2</w:t>
      </w:r>
    </w:p>
    <w:p w14:paraId="12838FB7" w14:textId="16C5686E" w:rsidR="00003CD4" w:rsidRPr="009658F4" w:rsidRDefault="00003CD4" w:rsidP="00003CD4">
      <w:pPr>
        <w:rPr>
          <w:rFonts w:ascii="Georgia" w:hAnsi="Georgia"/>
        </w:rPr>
      </w:pPr>
      <w:bookmarkStart w:id="186" w:name="Bookmark_LNHNREFclscc22"/>
      <w:bookmarkEnd w:id="186"/>
      <w:r w:rsidRPr="009658F4">
        <w:rPr>
          <w:rFonts w:ascii="Georgia" w:hAnsi="Georgia"/>
        </w:rPr>
        <w:t>We conclude that a tradition of restricting the trademarking of names has coexisted with the First Amendment, and the names clause fits within that tradition. Though the particulars of the doctrine have shifted over time, the consistent through line is that a person generally had a claim only to his own name. The names clause reflects this common-law tradition by prohibiting a person from obtaining a trademark of another living person’s name without consent, thereby protecting the other’s reputation and goodwill.</w:t>
      </w:r>
      <w:r w:rsidRPr="009658F4">
        <w:rPr>
          <w:rFonts w:ascii="Georgia" w:hAnsi="Georgia"/>
          <w:vertAlign w:val="superscript"/>
        </w:rPr>
        <w:footnoteReference w:customMarkFollows="1" w:id="5"/>
        <w:t>4</w:t>
      </w:r>
    </w:p>
    <w:p w14:paraId="5C2D1E0B" w14:textId="2E440D9E" w:rsidR="00003CD4" w:rsidRPr="009658F4" w:rsidRDefault="00003CD4" w:rsidP="00003CD4">
      <w:pPr>
        <w:rPr>
          <w:rFonts w:ascii="Georgia" w:hAnsi="Georgia"/>
        </w:rPr>
      </w:pPr>
      <w:bookmarkStart w:id="204" w:name="Bookmark_I6C86HC32N1R7M0020000400"/>
      <w:bookmarkEnd w:id="204"/>
      <w:r w:rsidRPr="009658F4">
        <w:rPr>
          <w:rFonts w:ascii="Georgia" w:hAnsi="Georgia"/>
        </w:rPr>
        <w:lastRenderedPageBreak/>
        <w:t xml:space="preserve">None of this is to say that the Government cannot innovate when it comes to trademark law. A firm grounding in traditional trademark law is sufficient to justify the content-based trademark restriction before us, but we do not opine on what may be required or sufficient in other cases. To be sure, as Justice Barrett observes, a case presenting a content-based trademark restriction without a historical analogue may require a different approach. </w:t>
      </w:r>
      <w:bookmarkStart w:id="205" w:name="Bookmark_I6C86HC32N1R7M0040000400"/>
      <w:bookmarkStart w:id="206" w:name="Bookmark_I6C86HC32N1R7M0010000400"/>
      <w:bookmarkEnd w:id="205"/>
      <w:bookmarkEnd w:id="206"/>
      <w:r w:rsidRPr="009658F4">
        <w:rPr>
          <w:rFonts w:ascii="Georgia" w:hAnsi="Georgia"/>
          <w:i/>
        </w:rPr>
        <w:t>Post</w:t>
      </w:r>
      <w:r w:rsidRPr="009658F4">
        <w:rPr>
          <w:rFonts w:ascii="Georgia" w:hAnsi="Georgia"/>
        </w:rPr>
        <w:t xml:space="preserve">, at 15. </w:t>
      </w:r>
      <w:bookmarkStart w:id="207" w:name="Bookmark_I6C86HC32N1R7M0040000400_2"/>
      <w:bookmarkEnd w:id="207"/>
      <w:proofErr w:type="gramStart"/>
      <w:r w:rsidRPr="009658F4">
        <w:rPr>
          <w:rFonts w:ascii="Georgia" w:hAnsi="Georgia"/>
        </w:rPr>
        <w:t>But,</w:t>
      </w:r>
      <w:proofErr w:type="gramEnd"/>
      <w:r w:rsidRPr="009658F4">
        <w:rPr>
          <w:rFonts w:ascii="Georgia" w:hAnsi="Georgia"/>
        </w:rPr>
        <w:t xml:space="preserve"> we need not develop such a comprehensive theory to address the relatively simple case before us today. See </w:t>
      </w:r>
      <w:bookmarkStart w:id="208" w:name="Bookmark_I6C86HC32N1R7M0030000400"/>
      <w:bookmarkEnd w:id="208"/>
      <w:r w:rsidRPr="009658F4">
        <w:rPr>
          <w:rFonts w:ascii="Georgia" w:hAnsi="Georgia"/>
          <w:i/>
        </w:rPr>
        <w:t>post</w:t>
      </w:r>
      <w:r w:rsidRPr="009658F4">
        <w:rPr>
          <w:rFonts w:ascii="Georgia" w:hAnsi="Georgia"/>
        </w:rPr>
        <w:t>, at 1 (Kavanaugh, J., concurring in part).</w:t>
      </w:r>
    </w:p>
    <w:p w14:paraId="49E67F89" w14:textId="03CB2F15" w:rsidR="00003CD4" w:rsidRPr="009658F4" w:rsidRDefault="00003CD4" w:rsidP="00003CD4">
      <w:pPr>
        <w:rPr>
          <w:rFonts w:ascii="Georgia" w:hAnsi="Georgia"/>
        </w:rPr>
      </w:pPr>
      <w:bookmarkStart w:id="209" w:name="Bookmark_LNHNREFclscc24"/>
      <w:bookmarkEnd w:id="209"/>
      <w:r w:rsidRPr="009658F4">
        <w:rPr>
          <w:rFonts w:ascii="Georgia" w:hAnsi="Georgia"/>
        </w:rPr>
        <w:t>We conclude that the names clause is of a piece with a common-law tradition regarding the trademarking of names. We see no reason to disturb this longstanding tradition, which supports the restriction of the use of another’s name in a trademark.</w:t>
      </w:r>
    </w:p>
    <w:p w14:paraId="2AB7880F" w14:textId="77777777" w:rsidR="00003CD4" w:rsidRPr="009658F4" w:rsidRDefault="00003CD4" w:rsidP="00003CD4">
      <w:pPr>
        <w:pStyle w:val="CntrdNoItal"/>
        <w:rPr>
          <w:rFonts w:ascii="Georgia" w:hAnsi="Georgia"/>
        </w:rPr>
      </w:pPr>
      <w:r w:rsidRPr="009658F4">
        <w:rPr>
          <w:rFonts w:ascii="Georgia" w:hAnsi="Georgia"/>
        </w:rPr>
        <w:t>III</w:t>
      </w:r>
    </w:p>
    <w:p w14:paraId="5DEB6065" w14:textId="24D9F373" w:rsidR="00003CD4" w:rsidRPr="009658F4" w:rsidRDefault="00003CD4" w:rsidP="00003CD4">
      <w:pPr>
        <w:rPr>
          <w:rFonts w:ascii="Georgia" w:hAnsi="Georgia"/>
        </w:rPr>
      </w:pPr>
      <w:bookmarkStart w:id="210" w:name="Bookmark_I6C86HC328T50G0010000400"/>
      <w:bookmarkEnd w:id="210"/>
      <w:r w:rsidRPr="009658F4">
        <w:rPr>
          <w:rFonts w:ascii="Georgia" w:hAnsi="Georgia"/>
        </w:rPr>
        <w:t xml:space="preserve">Our colleagues would address the names clause with two analogies. Neither is compelling in this case. Under both analogies, the test would boil down to what a judge believes is “reasonable in light of the purpose” of trademark law. </w:t>
      </w:r>
      <w:bookmarkStart w:id="211" w:name="Bookmark_I6C86HC32N1R7M0050000400"/>
      <w:bookmarkEnd w:id="211"/>
      <w:r w:rsidRPr="009658F4">
        <w:rPr>
          <w:rFonts w:ascii="Georgia" w:hAnsi="Georgia"/>
          <w:i/>
        </w:rPr>
        <w:t>Post</w:t>
      </w:r>
      <w:r w:rsidRPr="009658F4">
        <w:rPr>
          <w:rFonts w:ascii="Georgia" w:hAnsi="Georgia"/>
        </w:rPr>
        <w:t xml:space="preserve">, at 5 (opinion of Sotomayor, J.); see </w:t>
      </w:r>
      <w:bookmarkStart w:id="212" w:name="Bookmark_I6C86HC328T50G0020000400"/>
      <w:bookmarkEnd w:id="212"/>
      <w:r w:rsidRPr="009658F4">
        <w:rPr>
          <w:rFonts w:ascii="Georgia" w:hAnsi="Georgia"/>
          <w:i/>
        </w:rPr>
        <w:t>post</w:t>
      </w:r>
      <w:r w:rsidRPr="009658F4">
        <w:rPr>
          <w:rFonts w:ascii="Georgia" w:hAnsi="Georgia"/>
        </w:rPr>
        <w:t xml:space="preserve">, at 7-8 (opinion of Barrett, J.). </w:t>
      </w:r>
      <w:proofErr w:type="gramStart"/>
      <w:r w:rsidRPr="009658F4">
        <w:rPr>
          <w:rFonts w:ascii="Georgia" w:hAnsi="Georgia"/>
        </w:rPr>
        <w:t>But,</w:t>
      </w:r>
      <w:proofErr w:type="gramEnd"/>
      <w:r w:rsidRPr="009658F4">
        <w:rPr>
          <w:rFonts w:ascii="Georgia" w:hAnsi="Georgia"/>
        </w:rPr>
        <w:t xml:space="preserve"> no matter the approach taken, we all agree that the names clause does not violate the First Amendment.</w:t>
      </w:r>
    </w:p>
    <w:p w14:paraId="29DDDE55" w14:textId="585D4CCE" w:rsidR="00003CD4" w:rsidRPr="009658F4" w:rsidRDefault="00003CD4" w:rsidP="00003CD4">
      <w:pPr>
        <w:rPr>
          <w:rFonts w:ascii="Georgia" w:hAnsi="Georgia"/>
        </w:rPr>
      </w:pPr>
      <w:bookmarkStart w:id="213" w:name="Bookmark_I6C86HC328T50G0050000400"/>
      <w:bookmarkStart w:id="214" w:name="Bookmark_I6C86HC32SF80N0020000400"/>
      <w:bookmarkEnd w:id="213"/>
      <w:bookmarkEnd w:id="214"/>
      <w:r w:rsidRPr="009658F4">
        <w:rPr>
          <w:rFonts w:ascii="Georgia" w:hAnsi="Georgia"/>
        </w:rPr>
        <w:t xml:space="preserve">Justice Sotomayor would pull “strands of precedent” together to conclude that heightened scrutiny does not apply to trademark registration because it is a </w:t>
      </w:r>
      <w:proofErr w:type="gramStart"/>
      <w:r w:rsidRPr="009658F4">
        <w:rPr>
          <w:rFonts w:ascii="Georgia" w:hAnsi="Georgia"/>
        </w:rPr>
        <w:t>Government</w:t>
      </w:r>
      <w:proofErr w:type="gramEnd"/>
      <w:r w:rsidRPr="009658F4">
        <w:rPr>
          <w:rFonts w:ascii="Georgia" w:hAnsi="Georgia"/>
        </w:rPr>
        <w:t xml:space="preserve"> initiative or benefit. </w:t>
      </w:r>
      <w:bookmarkStart w:id="215" w:name="Bookmark_I6C86HC328T50G0040000400"/>
      <w:bookmarkEnd w:id="215"/>
      <w:r w:rsidRPr="009658F4">
        <w:rPr>
          <w:rFonts w:ascii="Georgia" w:hAnsi="Georgia"/>
          <w:i/>
        </w:rPr>
        <w:t>Post</w:t>
      </w:r>
      <w:r w:rsidRPr="009658F4">
        <w:rPr>
          <w:rFonts w:ascii="Georgia" w:hAnsi="Georgia"/>
        </w:rPr>
        <w:t xml:space="preserve">, at 8. </w:t>
      </w:r>
      <w:bookmarkStart w:id="216" w:name="Bookmark_I6C86HC32SF80N0040000400"/>
      <w:bookmarkEnd w:id="216"/>
      <w:r w:rsidRPr="009658F4">
        <w:rPr>
          <w:rFonts w:ascii="Georgia" w:hAnsi="Georgia"/>
        </w:rPr>
        <w:t xml:space="preserve">This conclusion rests primarily upon cases in which the Government provides a cash subsidy or conditions the use of a public payroll to collect union dues. See </w:t>
      </w:r>
      <w:r w:rsidRPr="009658F4">
        <w:rPr>
          <w:rFonts w:ascii="Georgia" w:hAnsi="Georgia"/>
          <w:i/>
        </w:rPr>
        <w:t>ibid.</w:t>
      </w:r>
      <w:r w:rsidRPr="009658F4">
        <w:rPr>
          <w:rFonts w:ascii="Georgia" w:hAnsi="Georgia"/>
        </w:rPr>
        <w:t xml:space="preserve"> </w:t>
      </w:r>
      <w:proofErr w:type="gramStart"/>
      <w:r w:rsidRPr="009658F4">
        <w:rPr>
          <w:rFonts w:ascii="Georgia" w:hAnsi="Georgia"/>
        </w:rPr>
        <w:t>But,</w:t>
      </w:r>
      <w:proofErr w:type="gramEnd"/>
      <w:r w:rsidRPr="009658F4">
        <w:rPr>
          <w:rFonts w:ascii="Georgia" w:hAnsi="Georgia"/>
        </w:rPr>
        <w:t xml:space="preserve"> those cases “occupy a special area of First Amendment case law, and they are far removed from the registration of trademarks.” </w:t>
      </w:r>
      <w:bookmarkStart w:id="217" w:name="Bookmark_I6C86HC32SF80N0010000400"/>
      <w:bookmarkEnd w:id="217"/>
      <w:r w:rsidRPr="009658F4">
        <w:rPr>
          <w:rFonts w:ascii="Georgia" w:hAnsi="Georgia"/>
          <w:i/>
        </w:rPr>
        <w:t>Tam</w:t>
      </w:r>
      <w:r w:rsidRPr="009658F4">
        <w:rPr>
          <w:rFonts w:ascii="Georgia" w:hAnsi="Georgia"/>
        </w:rPr>
        <w:t xml:space="preserve">, 582 U. S., at 241 (plurality opinion). </w:t>
      </w:r>
      <w:bookmarkStart w:id="218" w:name="Bookmark_I6C86HC32SF80N0040000400_2"/>
      <w:bookmarkEnd w:id="218"/>
      <w:r w:rsidRPr="009658F4">
        <w:rPr>
          <w:rFonts w:ascii="Georgia" w:hAnsi="Georgia"/>
        </w:rPr>
        <w:t xml:space="preserve">The Government benefit cases are an ill fit for the names clause, and we would not graft this precedent, which Justice Sotomayor acknowledges is not controlling, onto this trademark dispute. </w:t>
      </w:r>
      <w:bookmarkStart w:id="219" w:name="Bookmark_I6C86HC32SF80N0030000400"/>
      <w:bookmarkEnd w:id="219"/>
      <w:r w:rsidRPr="009658F4">
        <w:rPr>
          <w:rFonts w:ascii="Georgia" w:hAnsi="Georgia"/>
          <w:i/>
        </w:rPr>
        <w:t>Post</w:t>
      </w:r>
      <w:r w:rsidRPr="009658F4">
        <w:rPr>
          <w:rFonts w:ascii="Georgia" w:hAnsi="Georgia"/>
        </w:rPr>
        <w:t>, at 8-9.</w:t>
      </w:r>
    </w:p>
    <w:p w14:paraId="3FA71BFA" w14:textId="0E58665D" w:rsidR="00003CD4" w:rsidRPr="009658F4" w:rsidRDefault="00003CD4" w:rsidP="00003CD4">
      <w:pPr>
        <w:rPr>
          <w:rFonts w:ascii="Georgia" w:hAnsi="Georgia"/>
        </w:rPr>
      </w:pPr>
      <w:bookmarkStart w:id="220" w:name="Bookmark_I4XKV2VPB1000004CNC0001J"/>
      <w:bookmarkStart w:id="221" w:name="Bookmark_I6C86HC32N1R7N0010000400"/>
      <w:bookmarkStart w:id="222" w:name="Bookmark_I6C86HC32N1R7N0030000400"/>
      <w:bookmarkEnd w:id="220"/>
      <w:bookmarkEnd w:id="221"/>
      <w:bookmarkEnd w:id="222"/>
      <w:r w:rsidRPr="009658F4">
        <w:rPr>
          <w:rFonts w:ascii="Georgia" w:hAnsi="Georgia"/>
        </w:rPr>
        <w:t xml:space="preserve">Justice Barrett, echoed by Justice Sotomayor, would import the test that we have used for a “limited public forum.” Our precedents hold that the Government </w:t>
      </w:r>
      <w:r w:rsidRPr="009658F4">
        <w:rPr>
          <w:rFonts w:ascii="Georgia" w:hAnsi="Georgia"/>
        </w:rPr>
        <w:lastRenderedPageBreak/>
        <w:t xml:space="preserve">“may create a forum that is limited to use by certain groups or dedicated solely to the discussion of certain subjects.” </w:t>
      </w:r>
      <w:bookmarkStart w:id="223" w:name="Bookmark_I6C86HC32SF80N0050000400"/>
      <w:bookmarkEnd w:id="223"/>
      <w:r w:rsidRPr="009658F4">
        <w:rPr>
          <w:rFonts w:ascii="Georgia" w:hAnsi="Georgia"/>
          <w:i/>
        </w:rPr>
        <w:t>Pleasant Grove City</w:t>
      </w:r>
      <w:r w:rsidRPr="009658F4">
        <w:rPr>
          <w:rFonts w:ascii="Georgia" w:hAnsi="Georgia"/>
        </w:rPr>
        <w:t xml:space="preserve"> v. </w:t>
      </w:r>
      <w:r w:rsidRPr="009658F4">
        <w:rPr>
          <w:rFonts w:ascii="Georgia" w:hAnsi="Georgia"/>
          <w:i/>
        </w:rPr>
        <w:t>Summum</w:t>
      </w:r>
      <w:r w:rsidRPr="009658F4">
        <w:rPr>
          <w:rFonts w:ascii="Georgia" w:hAnsi="Georgia"/>
        </w:rPr>
        <w:t xml:space="preserve">, 555 U. S. 460, 470 (2009). Justice Barrett provides little explanation for why that approach makes sense in the trademark context—she simply declares that the limited public forum framework “is apt” due to the content-based nature of trademark law. </w:t>
      </w:r>
      <w:bookmarkStart w:id="224" w:name="Bookmark_I6C86HC32N1R7N0020000400"/>
      <w:bookmarkEnd w:id="224"/>
      <w:r w:rsidRPr="009658F4">
        <w:rPr>
          <w:rFonts w:ascii="Georgia" w:hAnsi="Georgia"/>
          <w:i/>
        </w:rPr>
        <w:t>Post</w:t>
      </w:r>
      <w:r w:rsidRPr="009658F4">
        <w:rPr>
          <w:rFonts w:ascii="Georgia" w:hAnsi="Georgia"/>
        </w:rPr>
        <w:t xml:space="preserve">, at 7. Although she attempts to cabin the analogy to the content-based nature, the limited public forum test is quite obviously about creating a </w:t>
      </w:r>
      <w:r w:rsidRPr="009658F4">
        <w:rPr>
          <w:rFonts w:ascii="Georgia" w:hAnsi="Georgia"/>
          <w:i/>
        </w:rPr>
        <w:t>forum</w:t>
      </w:r>
      <w:r w:rsidRPr="009658F4">
        <w:rPr>
          <w:rFonts w:ascii="Georgia" w:hAnsi="Georgia"/>
        </w:rPr>
        <w:t xml:space="preserve">. </w:t>
      </w:r>
      <w:proofErr w:type="gramStart"/>
      <w:r w:rsidRPr="009658F4">
        <w:rPr>
          <w:rFonts w:ascii="Georgia" w:hAnsi="Georgia"/>
        </w:rPr>
        <w:t>And,</w:t>
      </w:r>
      <w:proofErr w:type="gramEnd"/>
      <w:r w:rsidRPr="009658F4">
        <w:rPr>
          <w:rFonts w:ascii="Georgia" w:hAnsi="Georgia"/>
        </w:rPr>
        <w:t xml:space="preserve"> there is reason to doubt that the federal trademark register is analogous to a limited public forum. To start, unlike a speaker in a limited public forum, a </w:t>
      </w:r>
      <w:proofErr w:type="spellStart"/>
      <w:r w:rsidRPr="009658F4">
        <w:rPr>
          <w:rFonts w:ascii="Georgia" w:hAnsi="Georgia"/>
        </w:rPr>
        <w:t>markholder</w:t>
      </w:r>
      <w:proofErr w:type="spellEnd"/>
      <w:r w:rsidRPr="009658F4">
        <w:rPr>
          <w:rFonts w:ascii="Georgia" w:hAnsi="Georgia"/>
        </w:rPr>
        <w:t xml:space="preserve"> does not communicate with customers on the register. Rather, as the Government acknowledges, the register “is a way of warning potential infringers that they risk liability if they use the same or confusingly similar marks.” Tr. of Oral Arg. 19. The Government has also previously asserted that it did not create a forum for speech by providing for the federal registration of trademarks. See Reply Brief in </w:t>
      </w:r>
      <w:r w:rsidRPr="009658F4">
        <w:rPr>
          <w:rFonts w:ascii="Georgia" w:hAnsi="Georgia"/>
          <w:i/>
        </w:rPr>
        <w:t>Matal</w:t>
      </w:r>
      <w:r w:rsidRPr="009658F4">
        <w:rPr>
          <w:rFonts w:ascii="Georgia" w:hAnsi="Georgia"/>
        </w:rPr>
        <w:t xml:space="preserve"> v. </w:t>
      </w:r>
      <w:r w:rsidRPr="009658F4">
        <w:rPr>
          <w:rFonts w:ascii="Georgia" w:hAnsi="Georgia"/>
          <w:i/>
        </w:rPr>
        <w:t>Tam</w:t>
      </w:r>
      <w:r w:rsidRPr="009658F4">
        <w:rPr>
          <w:rFonts w:ascii="Georgia" w:hAnsi="Georgia"/>
        </w:rPr>
        <w:t xml:space="preserve">, O. T. 2016, No. 15-1293, p. 4 (“[T]he government has not created a forum here”); Tr. of Oral Arg. in </w:t>
      </w:r>
      <w:r w:rsidRPr="009658F4">
        <w:rPr>
          <w:rFonts w:ascii="Georgia" w:hAnsi="Georgia"/>
          <w:i/>
        </w:rPr>
        <w:t>Iancu</w:t>
      </w:r>
      <w:r w:rsidRPr="009658F4">
        <w:rPr>
          <w:rFonts w:ascii="Georgia" w:hAnsi="Georgia"/>
        </w:rPr>
        <w:t xml:space="preserve"> v. </w:t>
      </w:r>
      <w:r w:rsidRPr="009658F4">
        <w:rPr>
          <w:rFonts w:ascii="Georgia" w:hAnsi="Georgia"/>
          <w:i/>
        </w:rPr>
        <w:t>Brunetti</w:t>
      </w:r>
      <w:r w:rsidRPr="009658F4">
        <w:rPr>
          <w:rFonts w:ascii="Georgia" w:hAnsi="Georgia"/>
        </w:rPr>
        <w:t xml:space="preserve">, O. T. 2018, No. 18-302, p. 27 (“[W]e </w:t>
      </w:r>
      <w:proofErr w:type="gramStart"/>
      <w:r w:rsidRPr="009658F4">
        <w:rPr>
          <w:rFonts w:ascii="Georgia" w:hAnsi="Georgia"/>
        </w:rPr>
        <w:t>don’t</w:t>
      </w:r>
      <w:proofErr w:type="gramEnd"/>
      <w:r w:rsidRPr="009658F4">
        <w:rPr>
          <w:rFonts w:ascii="Georgia" w:hAnsi="Georgia"/>
        </w:rPr>
        <w:t xml:space="preserve"> regard it as a limited public forum”). Without an analogous forum, it is hard to see why the test for a limited public forum should apply. We see no need to adopt a potentially fraught analogy to resolve the names clause’s constitutionality.</w:t>
      </w:r>
    </w:p>
    <w:p w14:paraId="08E90909" w14:textId="705BA3FF" w:rsidR="00003CD4" w:rsidRPr="009658F4" w:rsidRDefault="00003CD4" w:rsidP="00003CD4">
      <w:pPr>
        <w:rPr>
          <w:rFonts w:ascii="Georgia" w:hAnsi="Georgia"/>
        </w:rPr>
      </w:pPr>
      <w:r w:rsidRPr="009658F4">
        <w:rPr>
          <w:rFonts w:ascii="Georgia" w:hAnsi="Georgia"/>
        </w:rPr>
        <w:t>Despite the differences in methodology, both Justice Sotomayor and Justice Barrett reach the same conclusion that the names clause does not violate the First Amendment. On the bottom line, there is no dispute. Rather than adopt a reasonableness test premised upon loose analogies, however, we conclude that the names clause is grounded in a historical tradition sufficient to demonstrate that it does not run afoul of the First Amendment.</w:t>
      </w:r>
    </w:p>
    <w:p w14:paraId="6F0C4F1F" w14:textId="77777777" w:rsidR="00003CD4" w:rsidRPr="009658F4" w:rsidRDefault="00003CD4" w:rsidP="00003CD4">
      <w:pPr>
        <w:pStyle w:val="CntrdNoItal"/>
        <w:rPr>
          <w:rFonts w:ascii="Georgia" w:hAnsi="Georgia"/>
        </w:rPr>
      </w:pPr>
      <w:r w:rsidRPr="009658F4">
        <w:rPr>
          <w:rFonts w:ascii="Georgia" w:hAnsi="Georgia"/>
        </w:rPr>
        <w:t>IV</w:t>
      </w:r>
    </w:p>
    <w:p w14:paraId="46444296" w14:textId="06AF5FE8" w:rsidR="00003CD4" w:rsidRPr="009658F4" w:rsidRDefault="00003CD4" w:rsidP="00003CD4">
      <w:pPr>
        <w:rPr>
          <w:rFonts w:ascii="Georgia" w:hAnsi="Georgia"/>
        </w:rPr>
      </w:pPr>
      <w:bookmarkStart w:id="225" w:name="Bookmark_para_47"/>
      <w:bookmarkEnd w:id="225"/>
      <w:r w:rsidRPr="009658F4">
        <w:rPr>
          <w:rFonts w:ascii="Georgia" w:hAnsi="Georgia"/>
        </w:rPr>
        <w:t xml:space="preserve">Our decision today is narrow. We do not set forth a comprehensive framework for judging whether all content-based but viewpoint-neutral trademark restrictions are constitutional. Nor do we suggest that an equivalent history and tradition is required to uphold every content-based trademark restriction. </w:t>
      </w:r>
      <w:bookmarkStart w:id="226" w:name="Bookmark_I6C86HC32N1R7N0050000400"/>
      <w:bookmarkEnd w:id="226"/>
      <w:r w:rsidRPr="009658F4">
        <w:rPr>
          <w:rFonts w:ascii="Georgia" w:hAnsi="Georgia"/>
        </w:rPr>
        <w:t xml:space="preserve">We hold only that history and tradition establish that the </w:t>
      </w:r>
      <w:proofErr w:type="gramStart"/>
      <w:r w:rsidRPr="009658F4">
        <w:rPr>
          <w:rFonts w:ascii="Georgia" w:hAnsi="Georgia"/>
        </w:rPr>
        <w:t>particular restriction</w:t>
      </w:r>
      <w:proofErr w:type="gramEnd"/>
      <w:r w:rsidRPr="009658F4">
        <w:rPr>
          <w:rFonts w:ascii="Georgia" w:hAnsi="Georgia"/>
        </w:rPr>
        <w:t xml:space="preserve"> before us, the names clause in §1052(c), does not violate the First Amendment. </w:t>
      </w:r>
      <w:bookmarkStart w:id="227" w:name="Bookmark_4N4X5PN9P800002N6D00001"/>
      <w:bookmarkStart w:id="228" w:name="Bookmark_I6C86HC32N1R7N0050000400_2"/>
      <w:bookmarkEnd w:id="227"/>
      <w:bookmarkEnd w:id="228"/>
      <w:r w:rsidRPr="009658F4">
        <w:rPr>
          <w:rFonts w:ascii="Georgia" w:hAnsi="Georgia"/>
        </w:rPr>
        <w:t xml:space="preserve">Although an occasion may arise when history and tradition cannot alone answer whether a trademark restriction violates the First Amendment, that occasion is not today. In a future case, we can address the “distinct question” whether “a viewpoint-neutral, content-based trademark restriction” is constitutional without “such a historical pedigree.” </w:t>
      </w:r>
      <w:bookmarkStart w:id="229" w:name="Bookmark_I6C86HC32N1R7N0040000400"/>
      <w:bookmarkEnd w:id="229"/>
      <w:r w:rsidRPr="009658F4">
        <w:rPr>
          <w:rFonts w:ascii="Georgia" w:hAnsi="Georgia"/>
          <w:i/>
        </w:rPr>
        <w:t>Post</w:t>
      </w:r>
      <w:r w:rsidRPr="009658F4">
        <w:rPr>
          <w:rFonts w:ascii="Georgia" w:hAnsi="Georgia"/>
        </w:rPr>
        <w:t>, at 1 (opinion of Kavanaugh, J.). The judgment of the Court of Appeals is</w:t>
      </w:r>
    </w:p>
    <w:p w14:paraId="43BB44BE" w14:textId="77777777" w:rsidR="00003CD4" w:rsidRPr="009658F4" w:rsidRDefault="00003CD4" w:rsidP="00003CD4">
      <w:pPr>
        <w:rPr>
          <w:rFonts w:ascii="Georgia" w:hAnsi="Georgia"/>
        </w:rPr>
      </w:pPr>
      <w:bookmarkStart w:id="230" w:name="Bookmark_para_48"/>
      <w:bookmarkEnd w:id="230"/>
      <w:r w:rsidRPr="009658F4">
        <w:rPr>
          <w:rFonts w:ascii="Georgia" w:hAnsi="Georgia"/>
          <w:i/>
        </w:rPr>
        <w:t>Reversed.</w:t>
      </w:r>
    </w:p>
    <w:p w14:paraId="0248F51C" w14:textId="77777777" w:rsidR="00003CD4" w:rsidRPr="009658F4" w:rsidRDefault="00003CD4" w:rsidP="00003CD4">
      <w:pPr>
        <w:rPr>
          <w:rFonts w:ascii="Georgia" w:hAnsi="Georgia"/>
        </w:rPr>
      </w:pPr>
      <w:bookmarkStart w:id="231" w:name="Bookmark_para_49"/>
      <w:bookmarkEnd w:id="231"/>
    </w:p>
    <w:p w14:paraId="43EFDC9B" w14:textId="77777777" w:rsidR="00003CD4" w:rsidRPr="009658F4" w:rsidRDefault="00003CD4" w:rsidP="00003CD4">
      <w:pPr>
        <w:rPr>
          <w:rFonts w:ascii="Georgia" w:hAnsi="Georgia"/>
          <w:b/>
          <w:bCs/>
        </w:rPr>
      </w:pPr>
      <w:bookmarkStart w:id="232" w:name="Bookmark_para_50"/>
      <w:bookmarkEnd w:id="232"/>
      <w:r w:rsidRPr="009658F4">
        <w:rPr>
          <w:rFonts w:ascii="Georgia" w:hAnsi="Georgia"/>
          <w:b/>
          <w:bCs/>
        </w:rPr>
        <w:lastRenderedPageBreak/>
        <w:t xml:space="preserve">Justice </w:t>
      </w:r>
      <w:r w:rsidRPr="009658F4">
        <w:rPr>
          <w:rFonts w:ascii="Georgia" w:hAnsi="Georgia"/>
          <w:b/>
          <w:bCs/>
          <w:smallCaps/>
        </w:rPr>
        <w:t>Kavanaugh</w:t>
      </w:r>
      <w:r w:rsidRPr="009658F4">
        <w:rPr>
          <w:rFonts w:ascii="Georgia" w:hAnsi="Georgia"/>
          <w:b/>
          <w:bCs/>
        </w:rPr>
        <w:t>, with whom THE CHIEF JUSTICE joins, concurring in part.</w:t>
      </w:r>
    </w:p>
    <w:p w14:paraId="63EF114F" w14:textId="10FEFAE9" w:rsidR="00003CD4" w:rsidRPr="009658F4" w:rsidRDefault="00003CD4" w:rsidP="00003CD4">
      <w:pPr>
        <w:rPr>
          <w:rFonts w:ascii="Georgia" w:hAnsi="Georgia"/>
        </w:rPr>
      </w:pPr>
      <w:bookmarkStart w:id="233" w:name="Bookmark_para_51"/>
      <w:bookmarkEnd w:id="233"/>
      <w:r w:rsidRPr="009658F4">
        <w:rPr>
          <w:rFonts w:ascii="Georgia" w:hAnsi="Georgia"/>
        </w:rPr>
        <w:t xml:space="preserve">I join all but Part III of the Court’s opinion. </w:t>
      </w:r>
      <w:bookmarkStart w:id="234" w:name="Bookmark_I4XKV2W7FKW00004CNC0004W"/>
      <w:bookmarkStart w:id="235" w:name="Bookmark_I6C86HC42D6NBD0020000400"/>
      <w:bookmarkEnd w:id="234"/>
      <w:bookmarkEnd w:id="235"/>
      <w:r w:rsidRPr="009658F4">
        <w:rPr>
          <w:rFonts w:ascii="Georgia" w:hAnsi="Georgia"/>
        </w:rPr>
        <w:t xml:space="preserve">I agree with the Court that the names clause is constitutional, particularly </w:t>
      </w:r>
      <w:proofErr w:type="gramStart"/>
      <w:r w:rsidRPr="009658F4">
        <w:rPr>
          <w:rFonts w:ascii="Georgia" w:hAnsi="Georgia"/>
        </w:rPr>
        <w:t>in light of</w:t>
      </w:r>
      <w:proofErr w:type="gramEnd"/>
      <w:r w:rsidRPr="009658F4">
        <w:rPr>
          <w:rFonts w:ascii="Georgia" w:hAnsi="Georgia"/>
        </w:rPr>
        <w:t xml:space="preserve"> the long history of restricting the use of another’s name in a trademark. In my view, a viewpoint-neutral, content-based trademark restriction might well be constitutional even absent such a historical pedigree. We can address that distinct question as appropriate in a future case. Cf., </w:t>
      </w:r>
      <w:r w:rsidRPr="009658F4">
        <w:rPr>
          <w:rFonts w:ascii="Georgia" w:hAnsi="Georgia"/>
          <w:i/>
        </w:rPr>
        <w:t>e</w:t>
      </w:r>
      <w:r w:rsidRPr="009658F4">
        <w:rPr>
          <w:rFonts w:ascii="Georgia" w:hAnsi="Georgia"/>
        </w:rPr>
        <w:t>.</w:t>
      </w:r>
      <w:r w:rsidRPr="009658F4">
        <w:rPr>
          <w:rFonts w:ascii="Georgia" w:hAnsi="Georgia"/>
          <w:i/>
        </w:rPr>
        <w:t>g</w:t>
      </w:r>
      <w:r w:rsidRPr="009658F4">
        <w:rPr>
          <w:rFonts w:ascii="Georgia" w:hAnsi="Georgia"/>
        </w:rPr>
        <w:t xml:space="preserve">., </w:t>
      </w:r>
      <w:bookmarkStart w:id="236" w:name="Bookmark_I6C86HC42D6NBD0010000400"/>
      <w:bookmarkEnd w:id="236"/>
      <w:r w:rsidRPr="009658F4">
        <w:rPr>
          <w:rFonts w:ascii="Georgia" w:hAnsi="Georgia"/>
          <w:i/>
        </w:rPr>
        <w:t>post</w:t>
      </w:r>
      <w:r w:rsidRPr="009658F4">
        <w:rPr>
          <w:rFonts w:ascii="Georgia" w:hAnsi="Georgia"/>
        </w:rPr>
        <w:t>, at 7-9 (Barrett, J., concurring in part).</w:t>
      </w:r>
    </w:p>
    <w:p w14:paraId="6577DCDD" w14:textId="77777777" w:rsidR="00003CD4" w:rsidRPr="009658F4" w:rsidRDefault="00003CD4" w:rsidP="00003CD4">
      <w:pPr>
        <w:rPr>
          <w:rFonts w:ascii="Georgia" w:hAnsi="Georgia"/>
        </w:rPr>
      </w:pPr>
    </w:p>
    <w:p w14:paraId="4260E9F8" w14:textId="77777777" w:rsidR="00003CD4" w:rsidRPr="009658F4" w:rsidRDefault="00003CD4" w:rsidP="00003CD4">
      <w:pPr>
        <w:rPr>
          <w:rFonts w:ascii="Georgia" w:hAnsi="Georgia"/>
          <w:b/>
          <w:bCs/>
        </w:rPr>
      </w:pPr>
      <w:bookmarkStart w:id="237" w:name="Bookmark_para_52"/>
      <w:bookmarkEnd w:id="237"/>
      <w:r w:rsidRPr="009658F4">
        <w:rPr>
          <w:rFonts w:ascii="Georgia" w:hAnsi="Georgia"/>
          <w:b/>
          <w:bCs/>
        </w:rPr>
        <w:t xml:space="preserve">Justice </w:t>
      </w:r>
      <w:r w:rsidRPr="009658F4">
        <w:rPr>
          <w:rFonts w:ascii="Georgia" w:hAnsi="Georgia"/>
          <w:b/>
          <w:bCs/>
          <w:smallCaps/>
        </w:rPr>
        <w:t>Barrett</w:t>
      </w:r>
      <w:r w:rsidRPr="009658F4">
        <w:rPr>
          <w:rFonts w:ascii="Georgia" w:hAnsi="Georgia"/>
          <w:b/>
          <w:bCs/>
        </w:rPr>
        <w:t xml:space="preserve">, with whom Justice </w:t>
      </w:r>
      <w:r w:rsidRPr="009658F4">
        <w:rPr>
          <w:rFonts w:ascii="Georgia" w:hAnsi="Georgia"/>
          <w:b/>
          <w:bCs/>
          <w:smallCaps/>
        </w:rPr>
        <w:t>Kagan</w:t>
      </w:r>
      <w:r w:rsidRPr="009658F4">
        <w:rPr>
          <w:rFonts w:ascii="Georgia" w:hAnsi="Georgia"/>
          <w:b/>
          <w:bCs/>
        </w:rPr>
        <w:t xml:space="preserve"> joins, with whom Justice </w:t>
      </w:r>
      <w:r w:rsidRPr="009658F4">
        <w:rPr>
          <w:rFonts w:ascii="Georgia" w:hAnsi="Georgia"/>
          <w:b/>
          <w:bCs/>
          <w:smallCaps/>
        </w:rPr>
        <w:t>Sotomayor</w:t>
      </w:r>
      <w:r w:rsidRPr="009658F4">
        <w:rPr>
          <w:rFonts w:ascii="Georgia" w:hAnsi="Georgia"/>
          <w:b/>
          <w:bCs/>
        </w:rPr>
        <w:t xml:space="preserve"> joins as to Parts I, II, and III-B, and with whom Justice Jackson joins as to Parts I and II, concurring in part.</w:t>
      </w:r>
    </w:p>
    <w:p w14:paraId="1AFCA736" w14:textId="20EC75E4" w:rsidR="00003CD4" w:rsidRPr="009658F4" w:rsidRDefault="00003CD4" w:rsidP="00003CD4">
      <w:pPr>
        <w:rPr>
          <w:rFonts w:ascii="Georgia" w:hAnsi="Georgia"/>
        </w:rPr>
      </w:pPr>
      <w:bookmarkStart w:id="238" w:name="Bookmark_para_53"/>
      <w:bookmarkEnd w:id="238"/>
      <w:r w:rsidRPr="009658F4">
        <w:rPr>
          <w:rFonts w:ascii="Georgia" w:hAnsi="Georgia"/>
        </w:rPr>
        <w:t xml:space="preserve">While I agree with the Court that the names clause does not violate the First Amendment, I disagree with some of its reasoning. The Court claims that “history and tradition” settle the constitutionality of the names clause, rendering it unnecessary to adopt a standard for gauging whether a content-based trademark registration restriction abridges the right to free speech. That is wrong twice over. First, the Court’s evidence, consisting of loosely related cases from the late-19th and early-20th centuries, does not establish a historical analogue for the names clause. Second, the Court never explains why hunting for historical forebears on a restriction-by-restriction basis is the right way to analyze the constitutional question. I would adopt a standard, grounded in both trademark law and First Amendment precedent, that reflects the relationship between content-based trademark registration restrictions and free speech. In my view, such restrictions, whether new or old, are permissible so long as they are reasonable </w:t>
      </w:r>
      <w:proofErr w:type="gramStart"/>
      <w:r w:rsidRPr="009658F4">
        <w:rPr>
          <w:rFonts w:ascii="Georgia" w:hAnsi="Georgia"/>
        </w:rPr>
        <w:t>in light of</w:t>
      </w:r>
      <w:proofErr w:type="gramEnd"/>
      <w:r w:rsidRPr="009658F4">
        <w:rPr>
          <w:rFonts w:ascii="Georgia" w:hAnsi="Georgia"/>
        </w:rPr>
        <w:t xml:space="preserve"> the trademark system’s purpose of facilitating source identification.</w:t>
      </w:r>
    </w:p>
    <w:p w14:paraId="69A78D78" w14:textId="77777777" w:rsidR="00003CD4" w:rsidRPr="009658F4" w:rsidRDefault="00003CD4" w:rsidP="00003CD4">
      <w:pPr>
        <w:rPr>
          <w:rFonts w:ascii="Georgia" w:hAnsi="Georgia"/>
        </w:rPr>
      </w:pPr>
      <w:r w:rsidRPr="009658F4">
        <w:rPr>
          <w:rFonts w:ascii="Georgia" w:hAnsi="Georgia"/>
        </w:rPr>
        <w:t>. . . .</w:t>
      </w:r>
    </w:p>
    <w:p w14:paraId="5BEB200A" w14:textId="77777777" w:rsidR="00003CD4" w:rsidRPr="009658F4" w:rsidRDefault="00003CD4" w:rsidP="00003CD4">
      <w:pPr>
        <w:pStyle w:val="CntrdNoItal"/>
        <w:rPr>
          <w:rFonts w:ascii="Georgia" w:hAnsi="Georgia"/>
        </w:rPr>
      </w:pPr>
      <w:r w:rsidRPr="009658F4">
        <w:rPr>
          <w:rFonts w:ascii="Georgia" w:hAnsi="Georgia"/>
        </w:rPr>
        <w:t>III</w:t>
      </w:r>
    </w:p>
    <w:p w14:paraId="66390B9A" w14:textId="2A737CFA" w:rsidR="00003CD4" w:rsidRPr="009658F4" w:rsidRDefault="00003CD4" w:rsidP="00003CD4">
      <w:pPr>
        <w:rPr>
          <w:rFonts w:ascii="Georgia" w:hAnsi="Georgia"/>
        </w:rPr>
      </w:pPr>
      <w:bookmarkStart w:id="239" w:name="Bookmark_para_70"/>
      <w:bookmarkEnd w:id="239"/>
      <w:r w:rsidRPr="009658F4">
        <w:rPr>
          <w:rFonts w:ascii="Georgia" w:hAnsi="Georgia"/>
        </w:rPr>
        <w:t>Rather than adopt a generally applicable principle, the Court assesses the names clause in isolation, treating the supposed history and tradition of the clause as determinative. In my view, the historical record does not alone suffice to demonstrate the clause’s constitutionality. For one thing, the record does not support the Court’s conclusion. For another, I disagree with its choice to treat tradition as dispositive of the First Amendment issue.</w:t>
      </w:r>
    </w:p>
    <w:p w14:paraId="357F0955" w14:textId="77777777" w:rsidR="00003CD4" w:rsidRPr="009658F4" w:rsidRDefault="00003CD4" w:rsidP="00003CD4">
      <w:pPr>
        <w:pStyle w:val="CntrdNoItal"/>
        <w:rPr>
          <w:rFonts w:ascii="Georgia" w:hAnsi="Georgia"/>
        </w:rPr>
      </w:pPr>
      <w:r w:rsidRPr="009658F4">
        <w:rPr>
          <w:rFonts w:ascii="Georgia" w:hAnsi="Georgia"/>
        </w:rPr>
        <w:t>A</w:t>
      </w:r>
    </w:p>
    <w:p w14:paraId="6595DB6B" w14:textId="2B8E51CC" w:rsidR="00003CD4" w:rsidRPr="009658F4" w:rsidRDefault="00003CD4" w:rsidP="00003CD4">
      <w:pPr>
        <w:rPr>
          <w:rFonts w:ascii="Georgia" w:hAnsi="Georgia"/>
        </w:rPr>
      </w:pPr>
      <w:bookmarkStart w:id="240" w:name="Bookmark_para_71"/>
      <w:bookmarkStart w:id="241" w:name="Bookmark_I4XKV2WBSR100004CNC0005N"/>
      <w:bookmarkStart w:id="242" w:name="Bookmark_I6C86HC72HM6M30020000400"/>
      <w:bookmarkEnd w:id="240"/>
      <w:bookmarkEnd w:id="241"/>
      <w:bookmarkEnd w:id="242"/>
      <w:r w:rsidRPr="009658F4">
        <w:rPr>
          <w:rFonts w:ascii="Georgia" w:hAnsi="Georgia"/>
        </w:rPr>
        <w:t xml:space="preserve">First, the Court’s history. It is true that “a tradition of restricting the trademarking of names” arose in the late 19th century. </w:t>
      </w:r>
      <w:bookmarkStart w:id="243" w:name="Bookmark_I4XKV2W06V400004CNC00035"/>
      <w:bookmarkStart w:id="244" w:name="Bookmark_I4XKV2WBY4V00004CNC0005P"/>
      <w:bookmarkStart w:id="245" w:name="Bookmark_I6C86HC72HM6M30040000400"/>
      <w:bookmarkStart w:id="246" w:name="Bookmark_I6C86HC72HM6M30010000400"/>
      <w:bookmarkEnd w:id="243"/>
      <w:bookmarkEnd w:id="244"/>
      <w:bookmarkEnd w:id="245"/>
      <w:bookmarkEnd w:id="246"/>
      <w:r w:rsidRPr="009658F4">
        <w:rPr>
          <w:rFonts w:ascii="Georgia" w:hAnsi="Georgia"/>
          <w:i/>
        </w:rPr>
        <w:t>Ante</w:t>
      </w:r>
      <w:r w:rsidRPr="009658F4">
        <w:rPr>
          <w:rFonts w:ascii="Georgia" w:hAnsi="Georgia"/>
        </w:rPr>
        <w:t xml:space="preserve">, at 19. </w:t>
      </w:r>
      <w:bookmarkStart w:id="247" w:name="Bookmark_I6C86HC72HM6M30040000400_2"/>
      <w:bookmarkStart w:id="248" w:name="Bookmark_I4XKV2VYXCF00004CNC00033"/>
      <w:bookmarkStart w:id="249" w:name="Bookmark_I4XKV2WC70R00004CNC0005S"/>
      <w:bookmarkStart w:id="250" w:name="Bookmark_I6C86HC72N1R8J0030000400"/>
      <w:bookmarkStart w:id="251" w:name="Bookmark_I4XKV2VYMHS00004CNC00031"/>
      <w:bookmarkStart w:id="252" w:name="Bookmark_I6C86HC72N1R8M0020000400"/>
      <w:bookmarkEnd w:id="247"/>
      <w:bookmarkEnd w:id="248"/>
      <w:bookmarkEnd w:id="249"/>
      <w:bookmarkEnd w:id="250"/>
      <w:bookmarkEnd w:id="251"/>
      <w:bookmarkEnd w:id="252"/>
      <w:r w:rsidRPr="009658F4">
        <w:rPr>
          <w:rFonts w:ascii="Georgia" w:hAnsi="Georgia"/>
        </w:rPr>
        <w:t xml:space="preserve">As the Court says, a personal name by itself, without any accompanying words or symbols, did not typically qualify as a trademark. See </w:t>
      </w:r>
      <w:bookmarkStart w:id="253" w:name="Bookmark_I6C86HC72HM6M30030000400"/>
      <w:bookmarkEnd w:id="253"/>
      <w:r w:rsidRPr="009658F4">
        <w:rPr>
          <w:rFonts w:ascii="Georgia" w:hAnsi="Georgia"/>
          <w:i/>
        </w:rPr>
        <w:t>McLean</w:t>
      </w:r>
      <w:r w:rsidRPr="009658F4">
        <w:rPr>
          <w:rFonts w:ascii="Georgia" w:hAnsi="Georgia"/>
        </w:rPr>
        <w:t xml:space="preserve"> v. </w:t>
      </w:r>
      <w:r w:rsidRPr="009658F4">
        <w:rPr>
          <w:rFonts w:ascii="Georgia" w:hAnsi="Georgia"/>
          <w:i/>
        </w:rPr>
        <w:t>Fleming</w:t>
      </w:r>
      <w:r w:rsidRPr="009658F4">
        <w:rPr>
          <w:rFonts w:ascii="Georgia" w:hAnsi="Georgia"/>
        </w:rPr>
        <w:t xml:space="preserve">, 96 U. S. 245, 252-253 (1878); </w:t>
      </w:r>
      <w:bookmarkStart w:id="254" w:name="Bookmark_I6C86HC72HM6M30050000400"/>
      <w:bookmarkEnd w:id="254"/>
      <w:r w:rsidRPr="009658F4">
        <w:rPr>
          <w:rFonts w:ascii="Georgia" w:hAnsi="Georgia"/>
          <w:i/>
        </w:rPr>
        <w:t>ante</w:t>
      </w:r>
      <w:r w:rsidRPr="009658F4">
        <w:rPr>
          <w:rFonts w:ascii="Georgia" w:hAnsi="Georgia"/>
        </w:rPr>
        <w:t xml:space="preserve">, at 13. </w:t>
      </w:r>
      <w:bookmarkStart w:id="255" w:name="Bookmark_I6C86HC72N1R8M0020000400_2"/>
      <w:bookmarkStart w:id="256" w:name="Bookmark_I6C86HC72N1R8J0030000400_2"/>
      <w:bookmarkEnd w:id="255"/>
      <w:bookmarkEnd w:id="256"/>
      <w:r w:rsidRPr="009658F4">
        <w:rPr>
          <w:rFonts w:ascii="Georgia" w:hAnsi="Georgia"/>
        </w:rPr>
        <w:t xml:space="preserve">And a person could not always enforce a trademark including </w:t>
      </w:r>
      <w:r w:rsidRPr="009658F4">
        <w:rPr>
          <w:rFonts w:ascii="Georgia" w:hAnsi="Georgia"/>
        </w:rPr>
        <w:lastRenderedPageBreak/>
        <w:t xml:space="preserve">her own name against another with the same name. See </w:t>
      </w:r>
      <w:bookmarkStart w:id="257" w:name="Bookmark_I6C86HC72N1R8J0020000400"/>
      <w:bookmarkEnd w:id="257"/>
      <w:r w:rsidRPr="009658F4">
        <w:rPr>
          <w:rFonts w:ascii="Georgia" w:hAnsi="Georgia"/>
          <w:i/>
        </w:rPr>
        <w:t>Brown Chemical Co.</w:t>
      </w:r>
      <w:r w:rsidRPr="009658F4">
        <w:rPr>
          <w:rFonts w:ascii="Georgia" w:hAnsi="Georgia"/>
        </w:rPr>
        <w:t xml:space="preserve"> v. </w:t>
      </w:r>
      <w:r w:rsidRPr="009658F4">
        <w:rPr>
          <w:rFonts w:ascii="Georgia" w:hAnsi="Georgia"/>
          <w:i/>
        </w:rPr>
        <w:t>Meyer</w:t>
      </w:r>
      <w:r w:rsidRPr="009658F4">
        <w:rPr>
          <w:rFonts w:ascii="Georgia" w:hAnsi="Georgia"/>
        </w:rPr>
        <w:t xml:space="preserve">, 139 U. S. 540, 542 (1891); </w:t>
      </w:r>
      <w:bookmarkStart w:id="258" w:name="Bookmark_I6C86HC72N1R8J0040000400"/>
      <w:bookmarkEnd w:id="258"/>
      <w:r w:rsidRPr="009658F4">
        <w:rPr>
          <w:rFonts w:ascii="Georgia" w:hAnsi="Georgia"/>
          <w:i/>
        </w:rPr>
        <w:t>ante</w:t>
      </w:r>
      <w:r w:rsidRPr="009658F4">
        <w:rPr>
          <w:rFonts w:ascii="Georgia" w:hAnsi="Georgia"/>
        </w:rPr>
        <w:t>, at 14.</w:t>
      </w:r>
      <w:r w:rsidRPr="009658F4">
        <w:rPr>
          <w:rFonts w:ascii="Georgia" w:hAnsi="Georgia"/>
          <w:vertAlign w:val="superscript"/>
        </w:rPr>
        <w:footnoteReference w:customMarkFollows="1" w:id="6"/>
        <w:t>3</w:t>
      </w:r>
      <w:r w:rsidRPr="009658F4">
        <w:rPr>
          <w:rFonts w:ascii="Georgia" w:hAnsi="Georgia"/>
        </w:rPr>
        <w:t xml:space="preserve"> The first federal trademark statute reflected these principles, prohibiting the registration of a mark that was “merely the name of a person, firm, or corporation only, unaccompanied by a mark sufficient to distinguish it from the same name when used by other persons.” §79, 16 Stat. 211. Today, the Lanham Act continues to bar the registration of a mark that is “primarily merely a surname.” 15 U. S. C. §1052(e)(4).</w:t>
      </w:r>
    </w:p>
    <w:p w14:paraId="410F7408" w14:textId="0DE4C3D2" w:rsidR="00003CD4" w:rsidRPr="009658F4" w:rsidRDefault="00003CD4" w:rsidP="00003CD4">
      <w:pPr>
        <w:rPr>
          <w:rFonts w:ascii="Georgia" w:hAnsi="Georgia"/>
        </w:rPr>
      </w:pPr>
      <w:bookmarkStart w:id="261" w:name="Bookmark_para_72"/>
      <w:bookmarkStart w:id="262" w:name="Bookmark_I4XKV2WCHP900004CNC0005V"/>
      <w:bookmarkStart w:id="263" w:name="Bookmark_I6C86HC72N1R8M0040000400"/>
      <w:bookmarkStart w:id="264" w:name="Bookmark_I4XKV2VY9BK00004CNC0002Y"/>
      <w:bookmarkStart w:id="265" w:name="Bookmark_I4XKV2VYG7H00004CNC00030"/>
      <w:bookmarkStart w:id="266" w:name="Bookmark_I6C86HC72HM6M60010000400"/>
      <w:bookmarkEnd w:id="261"/>
      <w:bookmarkEnd w:id="262"/>
      <w:bookmarkEnd w:id="263"/>
      <w:bookmarkEnd w:id="264"/>
      <w:bookmarkEnd w:id="265"/>
      <w:bookmarkEnd w:id="266"/>
      <w:r w:rsidRPr="009658F4">
        <w:rPr>
          <w:rFonts w:ascii="Georgia" w:hAnsi="Georgia"/>
        </w:rPr>
        <w:t xml:space="preserve">But the Court also claims that the common law did not afford protection to a person seeking a trademark including </w:t>
      </w:r>
      <w:r w:rsidRPr="009658F4">
        <w:rPr>
          <w:rFonts w:ascii="Georgia" w:hAnsi="Georgia"/>
          <w:i/>
        </w:rPr>
        <w:t>another</w:t>
      </w:r>
      <w:r w:rsidRPr="009658F4">
        <w:rPr>
          <w:rFonts w:ascii="Georgia" w:hAnsi="Georgia"/>
        </w:rPr>
        <w:t xml:space="preserve"> living person’s name (in other words, a rule akin to the names clause). </w:t>
      </w:r>
      <w:bookmarkStart w:id="267" w:name="Bookmark_I4XKV2VY1B500004CNC0002W"/>
      <w:bookmarkStart w:id="268" w:name="Bookmark_I6C86HC82SF81R0040000400"/>
      <w:bookmarkStart w:id="269" w:name="Bookmark_I6C86HC72N1R8M0030000400"/>
      <w:bookmarkEnd w:id="267"/>
      <w:bookmarkEnd w:id="268"/>
      <w:bookmarkEnd w:id="269"/>
      <w:r w:rsidRPr="009658F4">
        <w:rPr>
          <w:rFonts w:ascii="Georgia" w:hAnsi="Georgia"/>
          <w:i/>
        </w:rPr>
        <w:t>Ante</w:t>
      </w:r>
      <w:r w:rsidRPr="009658F4">
        <w:rPr>
          <w:rFonts w:ascii="Georgia" w:hAnsi="Georgia"/>
        </w:rPr>
        <w:t xml:space="preserve">, at 14. </w:t>
      </w:r>
      <w:bookmarkStart w:id="270" w:name="Bookmark_I4XKV2WCPDP00004CNC0005W"/>
      <w:bookmarkStart w:id="271" w:name="Bookmark_I6C86HC72HM6M60050000400"/>
      <w:bookmarkEnd w:id="270"/>
      <w:bookmarkEnd w:id="271"/>
      <w:r w:rsidRPr="009658F4">
        <w:rPr>
          <w:rFonts w:ascii="Georgia" w:hAnsi="Georgia"/>
        </w:rPr>
        <w:t xml:space="preserve">I am less sure. In </w:t>
      </w:r>
      <w:bookmarkStart w:id="272" w:name="Bookmark_I6C86HC72N1R8M0050000400"/>
      <w:bookmarkEnd w:id="272"/>
      <w:r w:rsidRPr="009658F4">
        <w:rPr>
          <w:rFonts w:ascii="Georgia" w:hAnsi="Georgia"/>
          <w:i/>
        </w:rPr>
        <w:t>Thaddeus Davids Co.</w:t>
      </w:r>
      <w:r w:rsidRPr="009658F4">
        <w:rPr>
          <w:rFonts w:ascii="Georgia" w:hAnsi="Georgia"/>
        </w:rPr>
        <w:t xml:space="preserve"> v. </w:t>
      </w:r>
      <w:r w:rsidRPr="009658F4">
        <w:rPr>
          <w:rFonts w:ascii="Georgia" w:hAnsi="Georgia"/>
          <w:i/>
        </w:rPr>
        <w:t>Davids Mfg. Co.</w:t>
      </w:r>
      <w:r w:rsidRPr="009658F4">
        <w:rPr>
          <w:rFonts w:ascii="Georgia" w:hAnsi="Georgia"/>
        </w:rPr>
        <w:t xml:space="preserve">, 233 U.S. 461 (1914), this Court explained that the 1905 federal trademark statute contained “a fairly complete list of the marks used by dealers in selling their goods, which are not valid trademarks at common law.” </w:t>
      </w:r>
      <w:bookmarkStart w:id="273" w:name="Bookmark_I6C86HC72HM6M60020000400"/>
      <w:bookmarkEnd w:id="273"/>
      <w:r w:rsidRPr="009658F4">
        <w:rPr>
          <w:rFonts w:ascii="Georgia" w:hAnsi="Georgia"/>
          <w:i/>
        </w:rPr>
        <w:t>Id</w:t>
      </w:r>
      <w:r w:rsidRPr="009658F4">
        <w:rPr>
          <w:rFonts w:ascii="Georgia" w:hAnsi="Georgia"/>
        </w:rPr>
        <w:t xml:space="preserve">., at 467 (internal quotation marks omitted). </w:t>
      </w:r>
      <w:bookmarkStart w:id="274" w:name="Bookmark_I6C86HC72HM6M60050000400_2"/>
      <w:bookmarkStart w:id="275" w:name="Bookmark_I4XKV2WD1GW00004CNC0005Y"/>
      <w:bookmarkStart w:id="276" w:name="Bookmark_I6C86HC82SF81R0020000400"/>
      <w:bookmarkStart w:id="277" w:name="Bookmark_I6C86HC82SF81R0040000400_2"/>
      <w:bookmarkEnd w:id="274"/>
      <w:bookmarkEnd w:id="275"/>
      <w:bookmarkEnd w:id="276"/>
      <w:bookmarkEnd w:id="277"/>
      <w:r w:rsidRPr="009658F4">
        <w:rPr>
          <w:rFonts w:ascii="Georgia" w:hAnsi="Georgia"/>
        </w:rPr>
        <w:t>Notably, this statute did not include the names clause or any rough equivalent.</w:t>
      </w:r>
      <w:r w:rsidRPr="009658F4">
        <w:rPr>
          <w:rFonts w:ascii="Georgia" w:hAnsi="Georgia"/>
          <w:vertAlign w:val="superscript"/>
        </w:rPr>
        <w:footnoteReference w:customMarkFollows="1" w:id="7"/>
        <w:t>4</w:t>
      </w:r>
      <w:r w:rsidRPr="009658F4">
        <w:rPr>
          <w:rFonts w:ascii="Georgia" w:hAnsi="Georgia"/>
        </w:rPr>
        <w:t xml:space="preserve"> And if such a common-law rule existed, the majority opinion does not identify it. Instead, the Court draws from sources suggesting that a person could not enforce a trademark with another individual’s name </w:t>
      </w:r>
      <w:r w:rsidRPr="009658F4">
        <w:rPr>
          <w:rFonts w:ascii="Georgia" w:hAnsi="Georgia"/>
          <w:i/>
        </w:rPr>
        <w:t>against that individual</w:t>
      </w:r>
      <w:r w:rsidRPr="009658F4">
        <w:rPr>
          <w:rFonts w:ascii="Georgia" w:hAnsi="Georgia"/>
        </w:rPr>
        <w:t xml:space="preserve">. See </w:t>
      </w:r>
      <w:bookmarkStart w:id="280" w:name="Bookmark_I6C86HC72HM6M60040000400"/>
      <w:bookmarkEnd w:id="280"/>
      <w:r w:rsidRPr="009658F4">
        <w:rPr>
          <w:rFonts w:ascii="Georgia" w:hAnsi="Georgia"/>
          <w:i/>
        </w:rPr>
        <w:t>ante</w:t>
      </w:r>
      <w:r w:rsidRPr="009658F4">
        <w:rPr>
          <w:rFonts w:ascii="Georgia" w:hAnsi="Georgia"/>
        </w:rPr>
        <w:t xml:space="preserve">, at 14-15. </w:t>
      </w:r>
      <w:bookmarkStart w:id="281" w:name="Bookmark_I6C86HC82SF81R0020000400_2"/>
      <w:bookmarkEnd w:id="281"/>
      <w:r w:rsidRPr="009658F4">
        <w:rPr>
          <w:rFonts w:ascii="Georgia" w:hAnsi="Georgia"/>
        </w:rPr>
        <w:t xml:space="preserve">Nor could she fraudulently attempt to pass off her goods as those of another person, using that person’s name. </w:t>
      </w:r>
      <w:bookmarkStart w:id="282" w:name="Bookmark_I6C86HC82SF81R0010000400"/>
      <w:bookmarkEnd w:id="282"/>
      <w:r w:rsidRPr="009658F4">
        <w:rPr>
          <w:rFonts w:ascii="Georgia" w:hAnsi="Georgia"/>
          <w:i/>
        </w:rPr>
        <w:t>Ante</w:t>
      </w:r>
      <w:r w:rsidRPr="009658F4">
        <w:rPr>
          <w:rFonts w:ascii="Georgia" w:hAnsi="Georgia"/>
        </w:rPr>
        <w:t>, at 14. So far, so good. Yet the names clause prevents other uses of someone else’s name that the common law may have allowed. And on that score, the Court does not fully grapple with countervailing evidence.</w:t>
      </w:r>
    </w:p>
    <w:p w14:paraId="08E340C9" w14:textId="775BF72A" w:rsidR="00003CD4" w:rsidRPr="009658F4" w:rsidRDefault="00003CD4" w:rsidP="00003CD4">
      <w:pPr>
        <w:rPr>
          <w:rFonts w:ascii="Georgia" w:hAnsi="Georgia"/>
        </w:rPr>
      </w:pPr>
      <w:bookmarkStart w:id="283" w:name="Bookmark_para_73"/>
      <w:bookmarkStart w:id="284" w:name="Bookmark_I4XKV2VXV7J00004CNC0002V"/>
      <w:bookmarkStart w:id="285" w:name="Bookmark_I6C86HC82N1R8P0010000400"/>
      <w:bookmarkEnd w:id="283"/>
      <w:bookmarkEnd w:id="284"/>
      <w:bookmarkEnd w:id="285"/>
      <w:r w:rsidRPr="009658F4">
        <w:rPr>
          <w:rFonts w:ascii="Georgia" w:hAnsi="Georgia"/>
        </w:rPr>
        <w:t xml:space="preserve">In 1860, the Supreme Court of Rhode Island concluded that the phrase “‘Roger Williams Long Cloth’” was “capable of distinguishing” the manufacturer’s goods and thus qualified as a trademark. </w:t>
      </w:r>
      <w:bookmarkStart w:id="286" w:name="Bookmark_I6C86HC82SF81R0050000400"/>
      <w:bookmarkEnd w:id="286"/>
      <w:r w:rsidRPr="009658F4">
        <w:rPr>
          <w:rFonts w:ascii="Georgia" w:hAnsi="Georgia"/>
          <w:i/>
        </w:rPr>
        <w:t>Barrows</w:t>
      </w:r>
      <w:r w:rsidRPr="009658F4">
        <w:rPr>
          <w:rFonts w:ascii="Georgia" w:hAnsi="Georgia"/>
        </w:rPr>
        <w:t xml:space="preserve"> v. </w:t>
      </w:r>
      <w:r w:rsidRPr="009658F4">
        <w:rPr>
          <w:rFonts w:ascii="Georgia" w:hAnsi="Georgia"/>
          <w:i/>
        </w:rPr>
        <w:t>Knight</w:t>
      </w:r>
      <w:r w:rsidRPr="009658F4">
        <w:rPr>
          <w:rFonts w:ascii="Georgia" w:hAnsi="Georgia"/>
        </w:rPr>
        <w:t xml:space="preserve">, 6 R. I. 434, 438. </w:t>
      </w:r>
      <w:bookmarkStart w:id="287" w:name="Bookmark_I4XKV2VXJRS00004CNC0002S"/>
      <w:bookmarkStart w:id="288" w:name="Bookmark_I6C86HC82N1R8P0030000400"/>
      <w:bookmarkEnd w:id="287"/>
      <w:bookmarkEnd w:id="288"/>
      <w:r w:rsidRPr="009658F4">
        <w:rPr>
          <w:rFonts w:ascii="Georgia" w:hAnsi="Georgia"/>
        </w:rPr>
        <w:t xml:space="preserve">“‘Roger Williams,’ though the name of a famous person,” the Court explained, was, “as applied to cotton cloth, a fancy name,” as would be the case with “any other her[o], </w:t>
      </w:r>
      <w:r w:rsidRPr="009658F4">
        <w:rPr>
          <w:rFonts w:ascii="Georgia" w:hAnsi="Georgia"/>
          <w:i/>
        </w:rPr>
        <w:t>living</w:t>
      </w:r>
      <w:r w:rsidRPr="009658F4">
        <w:rPr>
          <w:rFonts w:ascii="Georgia" w:hAnsi="Georgia"/>
        </w:rPr>
        <w:t xml:space="preserve"> or dead.” </w:t>
      </w:r>
      <w:r w:rsidRPr="009658F4">
        <w:rPr>
          <w:rFonts w:ascii="Georgia" w:hAnsi="Georgia"/>
          <w:i/>
        </w:rPr>
        <w:t>Ibid</w:t>
      </w:r>
      <w:r w:rsidRPr="009658F4">
        <w:rPr>
          <w:rFonts w:ascii="Georgia" w:hAnsi="Georgia"/>
        </w:rPr>
        <w:t xml:space="preserve">. (emphasis added). </w:t>
      </w:r>
      <w:bookmarkStart w:id="289" w:name="Bookmark_I6C86HC82N1R8P0030000400_2"/>
      <w:bookmarkEnd w:id="289"/>
      <w:r w:rsidRPr="009658F4">
        <w:rPr>
          <w:rFonts w:ascii="Georgia" w:hAnsi="Georgia"/>
        </w:rPr>
        <w:t xml:space="preserve">Likewise, a New York court upheld the plaintiffs’ exclusive right to use the name “Bismarck” to designate their paper collars, as they were the first to “appropriate” the name for that purpose. </w:t>
      </w:r>
      <w:bookmarkStart w:id="290" w:name="Bookmark_I4XKV2VX8S600004CNC0002P"/>
      <w:bookmarkStart w:id="291" w:name="Bookmark_I6C86HC82N1R8P0050000400"/>
      <w:bookmarkStart w:id="292" w:name="Bookmark_I6C86HC82N1R8P0020000400"/>
      <w:bookmarkEnd w:id="290"/>
      <w:bookmarkEnd w:id="291"/>
      <w:bookmarkEnd w:id="292"/>
      <w:proofErr w:type="spellStart"/>
      <w:r w:rsidRPr="009658F4">
        <w:rPr>
          <w:rFonts w:ascii="Georgia" w:hAnsi="Georgia"/>
          <w:i/>
        </w:rPr>
        <w:t>Messerole</w:t>
      </w:r>
      <w:proofErr w:type="spellEnd"/>
      <w:r w:rsidRPr="009658F4">
        <w:rPr>
          <w:rFonts w:ascii="Georgia" w:hAnsi="Georgia"/>
        </w:rPr>
        <w:t xml:space="preserve"> </w:t>
      </w:r>
      <w:proofErr w:type="spellStart"/>
      <w:proofErr w:type="gramStart"/>
      <w:r w:rsidRPr="009658F4">
        <w:rPr>
          <w:rFonts w:ascii="Georgia" w:hAnsi="Georgia"/>
        </w:rPr>
        <w:t>v.</w:t>
      </w:r>
      <w:r w:rsidRPr="009658F4">
        <w:rPr>
          <w:rFonts w:ascii="Georgia" w:hAnsi="Georgia"/>
          <w:i/>
        </w:rPr>
        <w:t>Tynberg</w:t>
      </w:r>
      <w:proofErr w:type="spellEnd"/>
      <w:proofErr w:type="gramEnd"/>
      <w:r w:rsidRPr="009658F4">
        <w:rPr>
          <w:rFonts w:ascii="Georgia" w:hAnsi="Georgia"/>
        </w:rPr>
        <w:t xml:space="preserve">, 4 Abb. Pr. (N. S.) 410, 414 (Ct. Com. Pl. 1868). </w:t>
      </w:r>
      <w:bookmarkStart w:id="293" w:name="Bookmark_I6C86HC82N1R8P0050000400_2"/>
      <w:bookmarkStart w:id="294" w:name="Bookmark_I4XKV2VWYPF00004CNC0002M"/>
      <w:bookmarkStart w:id="295" w:name="Bookmark_I6C86HC82HM6M80020000400"/>
      <w:bookmarkEnd w:id="293"/>
      <w:bookmarkEnd w:id="294"/>
      <w:bookmarkEnd w:id="295"/>
      <w:r w:rsidRPr="009658F4">
        <w:rPr>
          <w:rFonts w:ascii="Georgia" w:hAnsi="Georgia"/>
        </w:rPr>
        <w:t xml:space="preserve">The court thus rejected the defendant’s argument that the plaintiffs could not adopt “the name of a </w:t>
      </w:r>
      <w:r w:rsidRPr="009658F4">
        <w:rPr>
          <w:rFonts w:ascii="Georgia" w:hAnsi="Georgia"/>
        </w:rPr>
        <w:lastRenderedPageBreak/>
        <w:t xml:space="preserve">distinguished German citizen” as a trademark. </w:t>
      </w:r>
      <w:bookmarkStart w:id="296" w:name="Bookmark_I4XKV2VWNV700004CNC0002J"/>
      <w:bookmarkStart w:id="297" w:name="Bookmark_I6C86HC82HM6M80040000400"/>
      <w:bookmarkStart w:id="298" w:name="Bookmark_I6C86HC82N1R8P0040000400"/>
      <w:bookmarkEnd w:id="296"/>
      <w:bookmarkEnd w:id="297"/>
      <w:bookmarkEnd w:id="298"/>
      <w:r w:rsidRPr="009658F4">
        <w:rPr>
          <w:rFonts w:ascii="Georgia" w:hAnsi="Georgia"/>
          <w:i/>
        </w:rPr>
        <w:t>Id</w:t>
      </w:r>
      <w:r w:rsidRPr="009658F4">
        <w:rPr>
          <w:rFonts w:ascii="Georgia" w:hAnsi="Georgia"/>
        </w:rPr>
        <w:t xml:space="preserve">., at 412. </w:t>
      </w:r>
      <w:bookmarkStart w:id="299" w:name="Bookmark_I6C86HC82HM6M80040000400_2"/>
      <w:bookmarkStart w:id="300" w:name="Bookmark_I6C86HC82HM6M80020000400_2"/>
      <w:bookmarkEnd w:id="299"/>
      <w:bookmarkEnd w:id="300"/>
      <w:r w:rsidRPr="009658F4">
        <w:rPr>
          <w:rFonts w:ascii="Georgia" w:hAnsi="Georgia"/>
        </w:rPr>
        <w:t xml:space="preserve">Summarizing, the Second Circuit explained that “[t]he law permits the adoption as a </w:t>
      </w:r>
      <w:proofErr w:type="gramStart"/>
      <w:r w:rsidRPr="009658F4">
        <w:rPr>
          <w:rFonts w:ascii="Georgia" w:hAnsi="Georgia"/>
        </w:rPr>
        <w:t>trade-mark</w:t>
      </w:r>
      <w:proofErr w:type="gramEnd"/>
      <w:r w:rsidRPr="009658F4">
        <w:rPr>
          <w:rFonts w:ascii="Georgia" w:hAnsi="Georgia"/>
        </w:rPr>
        <w:t xml:space="preserve"> of the name of a person who has achieved fame and distinction, provided the name is not descriptive of the quality or the character of the article or a geographical name.” </w:t>
      </w:r>
      <w:bookmarkStart w:id="301" w:name="Bookmark_I6C86HC82HM6M80010000400"/>
      <w:bookmarkEnd w:id="301"/>
      <w:r w:rsidRPr="009658F4">
        <w:rPr>
          <w:rFonts w:ascii="Georgia" w:hAnsi="Georgia"/>
          <w:i/>
        </w:rPr>
        <w:t xml:space="preserve">Stephano Bros., Inc. </w:t>
      </w:r>
      <w:r w:rsidRPr="009658F4">
        <w:rPr>
          <w:rFonts w:ascii="Georgia" w:hAnsi="Georgia"/>
        </w:rPr>
        <w:t>v.</w:t>
      </w:r>
      <w:r w:rsidRPr="009658F4">
        <w:rPr>
          <w:rFonts w:ascii="Georgia" w:hAnsi="Georgia"/>
          <w:i/>
        </w:rPr>
        <w:t xml:space="preserve"> Stamatopoulos</w:t>
      </w:r>
      <w:r w:rsidRPr="009658F4">
        <w:rPr>
          <w:rFonts w:ascii="Georgia" w:hAnsi="Georgia"/>
        </w:rPr>
        <w:t xml:space="preserve">, 238 F. 89, 93 (1916). See also </w:t>
      </w:r>
      <w:bookmarkStart w:id="302" w:name="Bookmark_I6C86HC82HM6M80030000400"/>
      <w:bookmarkEnd w:id="302"/>
      <w:r w:rsidRPr="009658F4">
        <w:rPr>
          <w:rFonts w:ascii="Georgia" w:hAnsi="Georgia"/>
          <w:i/>
        </w:rPr>
        <w:t xml:space="preserve">Medlar &amp; Holmes Shoe Co. </w:t>
      </w:r>
      <w:r w:rsidRPr="009658F4">
        <w:rPr>
          <w:rFonts w:ascii="Georgia" w:hAnsi="Georgia"/>
        </w:rPr>
        <w:t>v.</w:t>
      </w:r>
      <w:r w:rsidRPr="009658F4">
        <w:rPr>
          <w:rFonts w:ascii="Georgia" w:hAnsi="Georgia"/>
          <w:i/>
        </w:rPr>
        <w:t xml:space="preserve"> Delsarte Mfg. Co.</w:t>
      </w:r>
      <w:r w:rsidRPr="009658F4">
        <w:rPr>
          <w:rFonts w:ascii="Georgia" w:hAnsi="Georgia"/>
        </w:rPr>
        <w:t xml:space="preserve">, 68 N.J. Eq. 706, 46 A. 1089 (N. J. Ch. Ct. 1900) (“The name of a famous person, used merely as a fancy name, may become an exclusive </w:t>
      </w:r>
      <w:proofErr w:type="gramStart"/>
      <w:r w:rsidRPr="009658F4">
        <w:rPr>
          <w:rFonts w:ascii="Georgia" w:hAnsi="Georgia"/>
        </w:rPr>
        <w:t>trade-mark</w:t>
      </w:r>
      <w:proofErr w:type="gramEnd"/>
      <w:r w:rsidRPr="009658F4">
        <w:rPr>
          <w:rFonts w:ascii="Georgia" w:hAnsi="Georgia"/>
        </w:rPr>
        <w:t>”); W. Browne, Law of Trade-Marks §216, pp. 225-226 (2d ed. 1885) (same).</w:t>
      </w:r>
      <w:r w:rsidRPr="009658F4">
        <w:rPr>
          <w:rFonts w:ascii="Georgia" w:hAnsi="Georgia"/>
          <w:vertAlign w:val="superscript"/>
        </w:rPr>
        <w:footnoteReference w:customMarkFollows="1" w:id="8"/>
        <w:t>5</w:t>
      </w:r>
    </w:p>
    <w:p w14:paraId="11390563" w14:textId="1E25F408" w:rsidR="00003CD4" w:rsidRPr="009658F4" w:rsidRDefault="00003CD4" w:rsidP="00003CD4">
      <w:pPr>
        <w:rPr>
          <w:rFonts w:ascii="Georgia" w:hAnsi="Georgia"/>
        </w:rPr>
      </w:pPr>
      <w:bookmarkStart w:id="313" w:name="Bookmark_para_74"/>
      <w:bookmarkEnd w:id="313"/>
      <w:r w:rsidRPr="009658F4">
        <w:rPr>
          <w:rFonts w:ascii="Georgia" w:hAnsi="Georgia"/>
        </w:rPr>
        <w:t xml:space="preserve">The legislative history of the Lanham Act also undercuts the Court’s conclusion. If the names clause codified an existing common-law tradition, one might expect to see some reference to that tradition when the names clause was adopted. But proponents of the clause offered a different justification. Discussing a predecessor version of the clause, Edward Rogers, the Lanham Act’s primary drafter, remarked that “[t]he idea of prostituting great names by sticking them on all kinds of goods is very distasteful to me.” </w:t>
      </w:r>
      <w:proofErr w:type="gramStart"/>
      <w:r w:rsidRPr="009658F4">
        <w:rPr>
          <w:rFonts w:ascii="Georgia" w:hAnsi="Georgia"/>
        </w:rPr>
        <w:t>Trade-Marks</w:t>
      </w:r>
      <w:proofErr w:type="gramEnd"/>
      <w:r w:rsidRPr="009658F4">
        <w:rPr>
          <w:rFonts w:ascii="Georgia" w:hAnsi="Georgia"/>
        </w:rPr>
        <w:t xml:space="preserve">: Hearings on H. R. 9041 before the Subcommittee on Trade-Marks, House Committee on Patents, 75th Cong., 3d Sess., 79 (1938) (H. R. 9041); see J. Litman, Keynote Address, 39 Cardozo Arts &amp; Ent. L. J. 855, 856 (2021). The Commissioner of the Patent Office agreed, noting the “shock to [his] sense of propriety to see liberty taken . . . with the names of celebrities of private life.” H. R. 9041, at 79. </w:t>
      </w:r>
      <w:bookmarkStart w:id="314" w:name="Bookmark_I4XKV2WDGYV00004CNC00062"/>
      <w:bookmarkStart w:id="315" w:name="Bookmark_I6C86HC82HM6MB0020000400"/>
      <w:bookmarkEnd w:id="314"/>
      <w:bookmarkEnd w:id="315"/>
      <w:r w:rsidRPr="009658F4">
        <w:rPr>
          <w:rFonts w:ascii="Georgia" w:hAnsi="Georgia"/>
        </w:rPr>
        <w:t xml:space="preserve">He then referred to the attempted registration of “the name of the Duchess of Windsor for brassieres and ladies’ underwear.” </w:t>
      </w:r>
      <w:r w:rsidRPr="009658F4">
        <w:rPr>
          <w:rFonts w:ascii="Georgia" w:hAnsi="Georgia"/>
          <w:i/>
        </w:rPr>
        <w:t>Ibid</w:t>
      </w:r>
      <w:r w:rsidRPr="009658F4">
        <w:rPr>
          <w:rFonts w:ascii="Georgia" w:hAnsi="Georgia"/>
        </w:rPr>
        <w:t xml:space="preserve">. They did not suggest that the common law would already prevent those uses of another’s name as a trademark. On the contrary, they seemed most concerned about the types of marks that the common law appeared to allow. See </w:t>
      </w:r>
      <w:bookmarkStart w:id="316" w:name="Bookmark_I6C86HC82HM6MB0010000400"/>
      <w:bookmarkEnd w:id="316"/>
      <w:r w:rsidRPr="009658F4">
        <w:rPr>
          <w:rFonts w:ascii="Georgia" w:hAnsi="Georgia"/>
          <w:i/>
        </w:rPr>
        <w:t>supra</w:t>
      </w:r>
      <w:r w:rsidRPr="009658F4">
        <w:rPr>
          <w:rFonts w:ascii="Georgia" w:hAnsi="Georgia"/>
        </w:rPr>
        <w:t>, at 11.</w:t>
      </w:r>
    </w:p>
    <w:p w14:paraId="53905A71" w14:textId="310F8E6E" w:rsidR="00003CD4" w:rsidRPr="009658F4" w:rsidRDefault="00003CD4" w:rsidP="00003CD4">
      <w:pPr>
        <w:rPr>
          <w:rFonts w:ascii="Georgia" w:hAnsi="Georgia"/>
        </w:rPr>
      </w:pPr>
      <w:bookmarkStart w:id="317" w:name="Bookmark_para_75"/>
      <w:bookmarkStart w:id="318" w:name="Bookmark_I4XKV2WDMS900004CNC00063"/>
      <w:bookmarkStart w:id="319" w:name="Bookmark_I6C86HC82HM6MB0040000400"/>
      <w:bookmarkEnd w:id="317"/>
      <w:bookmarkEnd w:id="318"/>
      <w:bookmarkEnd w:id="319"/>
      <w:r w:rsidRPr="009658F4">
        <w:rPr>
          <w:rFonts w:ascii="Georgia" w:hAnsi="Georgia"/>
        </w:rPr>
        <w:t>It is thus difficult to say that the names clause is constitutional solely because of its historical pedigree.</w:t>
      </w:r>
      <w:r w:rsidRPr="009658F4">
        <w:rPr>
          <w:rFonts w:ascii="Georgia" w:hAnsi="Georgia"/>
          <w:vertAlign w:val="superscript"/>
        </w:rPr>
        <w:footnoteReference w:customMarkFollows="1" w:id="9"/>
        <w:t>6</w:t>
      </w:r>
      <w:r w:rsidRPr="009658F4">
        <w:rPr>
          <w:rFonts w:ascii="Georgia" w:hAnsi="Georgia"/>
        </w:rPr>
        <w:t xml:space="preserve"> Perhaps recognizing that reality, the Court relies not only </w:t>
      </w:r>
      <w:r w:rsidRPr="009658F4">
        <w:rPr>
          <w:rFonts w:ascii="Georgia" w:hAnsi="Georgia"/>
        </w:rPr>
        <w:lastRenderedPageBreak/>
        <w:t xml:space="preserve">on the purported common-law tradition restricting the trademarking of names, but also points to the names clause’s relation to trademark’s historical purposes. </w:t>
      </w:r>
      <w:bookmarkStart w:id="328" w:name="Bookmark_I6C86HC82HM6MB0030000400"/>
      <w:bookmarkEnd w:id="328"/>
      <w:r w:rsidRPr="009658F4">
        <w:rPr>
          <w:rFonts w:ascii="Georgia" w:hAnsi="Georgia"/>
          <w:i/>
        </w:rPr>
        <w:t>Ante</w:t>
      </w:r>
      <w:r w:rsidRPr="009658F4">
        <w:rPr>
          <w:rFonts w:ascii="Georgia" w:hAnsi="Georgia"/>
        </w:rPr>
        <w:t xml:space="preserve">, at 16-18. The latter argument is quite </w:t>
      </w:r>
      <w:proofErr w:type="gramStart"/>
      <w:r w:rsidRPr="009658F4">
        <w:rPr>
          <w:rFonts w:ascii="Georgia" w:hAnsi="Georgia"/>
        </w:rPr>
        <w:t>similar to</w:t>
      </w:r>
      <w:proofErr w:type="gramEnd"/>
      <w:r w:rsidRPr="009658F4">
        <w:rPr>
          <w:rFonts w:ascii="Georgia" w:hAnsi="Georgia"/>
        </w:rPr>
        <w:t xml:space="preserve"> my own—I agree that the names clause helps to ensure that the proposed mark functions as a source identifier and to guard against reputational consequences, serving trademark’s historical goals.</w:t>
      </w:r>
    </w:p>
    <w:p w14:paraId="63EA72B9" w14:textId="77777777" w:rsidR="00003CD4" w:rsidRPr="009658F4" w:rsidRDefault="00003CD4" w:rsidP="00003CD4">
      <w:pPr>
        <w:pStyle w:val="CntrdNoItal"/>
        <w:rPr>
          <w:rFonts w:ascii="Georgia" w:hAnsi="Georgia"/>
        </w:rPr>
      </w:pPr>
      <w:r w:rsidRPr="009658F4">
        <w:rPr>
          <w:rFonts w:ascii="Georgia" w:hAnsi="Georgia"/>
        </w:rPr>
        <w:t>B</w:t>
      </w:r>
    </w:p>
    <w:p w14:paraId="343FFC99" w14:textId="3CD7DC4A" w:rsidR="00003CD4" w:rsidRPr="009658F4" w:rsidRDefault="00003CD4" w:rsidP="00003CD4">
      <w:pPr>
        <w:rPr>
          <w:rFonts w:ascii="Georgia" w:hAnsi="Georgia"/>
        </w:rPr>
      </w:pPr>
      <w:bookmarkStart w:id="329" w:name="Bookmark_para_76"/>
      <w:bookmarkStart w:id="330" w:name="Bookmark_I4XKV2WFHK400004CNC00069"/>
      <w:bookmarkStart w:id="331" w:name="Bookmark_I6C86HC82N1R8T0050000400"/>
      <w:bookmarkEnd w:id="329"/>
      <w:bookmarkEnd w:id="330"/>
      <w:bookmarkEnd w:id="331"/>
      <w:r w:rsidRPr="009658F4">
        <w:rPr>
          <w:rFonts w:ascii="Georgia" w:hAnsi="Georgia"/>
        </w:rPr>
        <w:t xml:space="preserve">But I cannot agree with the Court that the existence of a “common-law tradition” and a “historical analogue” is sufficient to resolve this case. </w:t>
      </w:r>
      <w:bookmarkStart w:id="332" w:name="Bookmark_I6C86HC82N1R8T0040000400"/>
      <w:bookmarkEnd w:id="332"/>
      <w:r w:rsidRPr="009658F4">
        <w:rPr>
          <w:rFonts w:ascii="Georgia" w:hAnsi="Georgia"/>
          <w:i/>
        </w:rPr>
        <w:t>Ante</w:t>
      </w:r>
      <w:r w:rsidRPr="009658F4">
        <w:rPr>
          <w:rFonts w:ascii="Georgia" w:hAnsi="Georgia"/>
        </w:rPr>
        <w:t xml:space="preserve">, at 19-20. Even if the Court’s evidence were rock solid, I still would not adopt this approach. </w:t>
      </w:r>
      <w:bookmarkStart w:id="333" w:name="Bookmark_I4XKV2VTYSV00004CNC00028"/>
      <w:bookmarkStart w:id="334" w:name="Bookmark_I6C86HC82HM6MC0020000400"/>
      <w:bookmarkEnd w:id="333"/>
      <w:bookmarkEnd w:id="334"/>
      <w:r w:rsidRPr="009658F4">
        <w:rPr>
          <w:rFonts w:ascii="Georgia" w:hAnsi="Georgia"/>
        </w:rPr>
        <w:t xml:space="preserve">To be sure, tradition has a legitimate role to play in constitutional adjudication. </w:t>
      </w:r>
      <w:bookmarkStart w:id="335" w:name="Bookmark_I6C86HC82HM6MC0020000400_2"/>
      <w:bookmarkEnd w:id="335"/>
      <w:r w:rsidRPr="009658F4">
        <w:rPr>
          <w:rFonts w:ascii="Georgia" w:hAnsi="Georgia"/>
        </w:rPr>
        <w:t xml:space="preserve">For instance, the longstanding practice of the political branches can reinforce our understanding of the Constitution’s original meaning. </w:t>
      </w:r>
      <w:bookmarkStart w:id="336" w:name="Bookmark_I6C86HC82HM6MC0010000400"/>
      <w:bookmarkEnd w:id="336"/>
      <w:r w:rsidRPr="009658F4">
        <w:rPr>
          <w:rFonts w:ascii="Georgia" w:hAnsi="Georgia"/>
          <w:i/>
        </w:rPr>
        <w:t>Consumer Financial Protection Bureau</w:t>
      </w:r>
      <w:r w:rsidRPr="009658F4">
        <w:rPr>
          <w:rFonts w:ascii="Georgia" w:hAnsi="Georgia"/>
        </w:rPr>
        <w:t xml:space="preserve"> v. </w:t>
      </w:r>
      <w:r w:rsidRPr="009658F4">
        <w:rPr>
          <w:rFonts w:ascii="Georgia" w:hAnsi="Georgia"/>
          <w:i/>
        </w:rPr>
        <w:t>Community Financial Services Assn. of America, Ltd.</w:t>
      </w:r>
      <w:r w:rsidRPr="009658F4">
        <w:rPr>
          <w:rFonts w:ascii="Georgia" w:hAnsi="Georgia"/>
        </w:rPr>
        <w:t xml:space="preserve">, 601 U. S. 416, 442 (2024) (Kagan, J., concurring). A course of deliberate practice might liquidate ambiguous constitutional provisions. See The Federalist No. 37, p. 229 (C. Rossiter ed. 1961). The views of preceding generations can persuade, and, in the realm of </w:t>
      </w:r>
      <w:r w:rsidRPr="009658F4">
        <w:rPr>
          <w:rFonts w:ascii="Georgia" w:hAnsi="Georgia"/>
          <w:i/>
        </w:rPr>
        <w:t>stare decisis</w:t>
      </w:r>
      <w:r w:rsidRPr="009658F4">
        <w:rPr>
          <w:rFonts w:ascii="Georgia" w:hAnsi="Georgia"/>
        </w:rPr>
        <w:t>, even bind. But tradition is not an end in itself—and I fear that the Court uses it that way here.</w:t>
      </w:r>
    </w:p>
    <w:p w14:paraId="15CA47CF" w14:textId="402AE3EA" w:rsidR="00003CD4" w:rsidRPr="009658F4" w:rsidRDefault="00003CD4" w:rsidP="00003CD4">
      <w:pPr>
        <w:rPr>
          <w:rFonts w:ascii="Georgia" w:hAnsi="Georgia"/>
        </w:rPr>
      </w:pPr>
      <w:bookmarkStart w:id="337" w:name="Bookmark_para_77"/>
      <w:bookmarkStart w:id="338" w:name="Bookmark_I4XKV2VTTRR00004CNC00027"/>
      <w:bookmarkStart w:id="339" w:name="Bookmark_I6C86HC82HM6MC0040000400"/>
      <w:bookmarkEnd w:id="337"/>
      <w:bookmarkEnd w:id="338"/>
      <w:bookmarkEnd w:id="339"/>
      <w:r w:rsidRPr="009658F4">
        <w:rPr>
          <w:rFonts w:ascii="Georgia" w:hAnsi="Georgia"/>
        </w:rPr>
        <w:t xml:space="preserve">The Court does not (and could not) argue that the late-19th and early-20th century names-restriction tradition serves as evidence of the original meaning of the Free Speech Clause. Cf. </w:t>
      </w:r>
      <w:bookmarkStart w:id="340" w:name="Bookmark_I6C86HC82HM6MC0030000400"/>
      <w:bookmarkEnd w:id="340"/>
      <w:r w:rsidRPr="009658F4">
        <w:rPr>
          <w:rFonts w:ascii="Georgia" w:hAnsi="Georgia"/>
          <w:i/>
        </w:rPr>
        <w:t>Samia</w:t>
      </w:r>
      <w:r w:rsidRPr="009658F4">
        <w:rPr>
          <w:rFonts w:ascii="Georgia" w:hAnsi="Georgia"/>
        </w:rPr>
        <w:t xml:space="preserve"> v. </w:t>
      </w:r>
      <w:r w:rsidRPr="009658F4">
        <w:rPr>
          <w:rFonts w:ascii="Georgia" w:hAnsi="Georgia"/>
          <w:i/>
        </w:rPr>
        <w:t>United States</w:t>
      </w:r>
      <w:r w:rsidRPr="009658F4">
        <w:rPr>
          <w:rFonts w:ascii="Georgia" w:hAnsi="Georgia"/>
        </w:rPr>
        <w:t>, 599 U. S. 635, 655-656, 143 S. Ct. 2004, 216 L. Ed. 2d 597 (2023) (Barrett, J., concurring in part and concurring in judgment). Nor does it treat the history it recites as a persuasive data point. Instead, it presents tradition itself as the constitutional argument; the late-19th and early-20th century evidence is dispositive of the First Amendment issue. Yet what is the theoretical justification for using tradition that way?</w:t>
      </w:r>
    </w:p>
    <w:p w14:paraId="0C319BF5" w14:textId="48766A77" w:rsidR="00003CD4" w:rsidRPr="009658F4" w:rsidRDefault="00003CD4" w:rsidP="00003CD4">
      <w:pPr>
        <w:rPr>
          <w:rFonts w:ascii="Georgia" w:hAnsi="Georgia"/>
        </w:rPr>
      </w:pPr>
      <w:bookmarkStart w:id="341" w:name="Bookmark_para_78"/>
      <w:bookmarkStart w:id="342" w:name="Bookmark_I4XKV2VTN0900004CNC00026"/>
      <w:bookmarkStart w:id="343" w:name="Bookmark_I6C86HC92N1R8X0010000400"/>
      <w:bookmarkEnd w:id="341"/>
      <w:bookmarkEnd w:id="342"/>
      <w:bookmarkEnd w:id="343"/>
      <w:r w:rsidRPr="009658F4">
        <w:rPr>
          <w:rFonts w:ascii="Georgia" w:hAnsi="Georgia"/>
        </w:rPr>
        <w:t xml:space="preserve">Relying exclusively on history and tradition may seem like a way of avoiding judge-made tests. But a rule rendering tradition dispositive is </w:t>
      </w:r>
      <w:r w:rsidRPr="009658F4">
        <w:rPr>
          <w:rFonts w:ascii="Georgia" w:hAnsi="Georgia"/>
          <w:i/>
        </w:rPr>
        <w:t>itself</w:t>
      </w:r>
      <w:r w:rsidRPr="009658F4">
        <w:rPr>
          <w:rFonts w:ascii="Georgia" w:hAnsi="Georgia"/>
        </w:rPr>
        <w:t xml:space="preserve"> a judge-made test. And I do not see a good reason to resolve this case using that approach rather than by adopting a generally applicable principle. (After all, there is a tradition of the latter approach too. See, </w:t>
      </w:r>
      <w:r w:rsidRPr="009658F4">
        <w:rPr>
          <w:rFonts w:ascii="Georgia" w:hAnsi="Georgia"/>
          <w:i/>
        </w:rPr>
        <w:t>e.g.</w:t>
      </w:r>
      <w:r w:rsidRPr="009658F4">
        <w:rPr>
          <w:rFonts w:ascii="Georgia" w:hAnsi="Georgia"/>
        </w:rPr>
        <w:t xml:space="preserve">, </w:t>
      </w:r>
      <w:bookmarkStart w:id="344" w:name="Bookmark_I6C86HC82HM6MC0050000400"/>
      <w:bookmarkEnd w:id="344"/>
      <w:r w:rsidRPr="009658F4">
        <w:rPr>
          <w:rFonts w:ascii="Georgia" w:hAnsi="Georgia"/>
          <w:i/>
        </w:rPr>
        <w:t>McCulloch</w:t>
      </w:r>
      <w:r w:rsidRPr="009658F4">
        <w:rPr>
          <w:rFonts w:ascii="Georgia" w:hAnsi="Georgia"/>
        </w:rPr>
        <w:t xml:space="preserve"> v. </w:t>
      </w:r>
      <w:r w:rsidRPr="009658F4">
        <w:rPr>
          <w:rFonts w:ascii="Georgia" w:hAnsi="Georgia"/>
          <w:i/>
        </w:rPr>
        <w:t>Maryland</w:t>
      </w:r>
      <w:r w:rsidRPr="009658F4">
        <w:rPr>
          <w:rFonts w:ascii="Georgia" w:hAnsi="Georgia"/>
        </w:rPr>
        <w:t xml:space="preserve">, 17 U.S. 316 (1819) (adopting standard for application of the Necessary and Proper Clause).) </w:t>
      </w:r>
      <w:bookmarkStart w:id="345" w:name="Bookmark_I4XKV2WDYJ400004CNC00065"/>
      <w:bookmarkStart w:id="346" w:name="Bookmark_I6C86HC92N1R8X0030000400"/>
      <w:bookmarkEnd w:id="345"/>
      <w:bookmarkEnd w:id="346"/>
      <w:proofErr w:type="gramStart"/>
      <w:r w:rsidRPr="009658F4">
        <w:rPr>
          <w:rFonts w:ascii="Georgia" w:hAnsi="Georgia"/>
        </w:rPr>
        <w:t>In the course of</w:t>
      </w:r>
      <w:proofErr w:type="gramEnd"/>
      <w:r w:rsidRPr="009658F4">
        <w:rPr>
          <w:rFonts w:ascii="Georgia" w:hAnsi="Georgia"/>
        </w:rPr>
        <w:t xml:space="preserve"> applying broadly worded text like the Free Speech Clause, courts must inevitably articulate principles to resolve individual cases. I do not think we can or should avoid doing so here. As I explained in Part I-B, the takeaway from history is that content-based trademark restrictions have long been central to trademark’s </w:t>
      </w:r>
      <w:r w:rsidRPr="009658F4">
        <w:rPr>
          <w:rFonts w:ascii="Georgia" w:hAnsi="Georgia"/>
        </w:rPr>
        <w:lastRenderedPageBreak/>
        <w:t xml:space="preserve">purpose of facilitating source identification, and they have not posed a serious risk of censorship. This principle offers a generally applicable way to think about whether registration restrictions “‘play well with the First Amendment.’” </w:t>
      </w:r>
      <w:bookmarkStart w:id="347" w:name="Bookmark_I6C86HC92N1R8X0020000400"/>
      <w:bookmarkEnd w:id="347"/>
      <w:r w:rsidRPr="009658F4">
        <w:rPr>
          <w:rFonts w:ascii="Georgia" w:hAnsi="Georgia"/>
          <w:i/>
        </w:rPr>
        <w:t>Ante</w:t>
      </w:r>
      <w:r w:rsidRPr="009658F4">
        <w:rPr>
          <w:rFonts w:ascii="Georgia" w:hAnsi="Georgia"/>
        </w:rPr>
        <w:t>, at 12. We should bring clarity to the law by adopting it.</w:t>
      </w:r>
    </w:p>
    <w:p w14:paraId="6638AB9E" w14:textId="01DF24A3" w:rsidR="00003CD4" w:rsidRPr="009658F4" w:rsidRDefault="00003CD4" w:rsidP="00003CD4">
      <w:pPr>
        <w:rPr>
          <w:rFonts w:ascii="Georgia" w:hAnsi="Georgia"/>
        </w:rPr>
      </w:pPr>
      <w:bookmarkStart w:id="348" w:name="Bookmark_para_79"/>
      <w:bookmarkStart w:id="349" w:name="Bookmark_I4XKV2WF3N200004CNC00066"/>
      <w:bookmarkStart w:id="350" w:name="Bookmark_I6C86HC92N1R8X0050000400"/>
      <w:bookmarkEnd w:id="348"/>
      <w:bookmarkEnd w:id="349"/>
      <w:bookmarkEnd w:id="350"/>
      <w:r w:rsidRPr="009658F4">
        <w:rPr>
          <w:rFonts w:ascii="Georgia" w:hAnsi="Georgia"/>
        </w:rPr>
        <w:t xml:space="preserve">In my view, the Court’s laser-like focus on the history of this single restriction misses the forest for the trees. </w:t>
      </w:r>
      <w:bookmarkStart w:id="351" w:name="Bookmark_I4XKV2WF80R00004CNC00067"/>
      <w:bookmarkStart w:id="352" w:name="Bookmark_I6C86HC92SF81Y0020000400"/>
      <w:bookmarkEnd w:id="351"/>
      <w:bookmarkEnd w:id="352"/>
      <w:r w:rsidRPr="009658F4">
        <w:rPr>
          <w:rFonts w:ascii="Georgia" w:hAnsi="Georgia"/>
        </w:rPr>
        <w:t xml:space="preserve">It gives secondary billing to what I think is the central point: that the names clause “reflects trademark law’s historical rationale of identifying the source of goods.” </w:t>
      </w:r>
      <w:bookmarkStart w:id="353" w:name="Bookmark_I6C86HC92N1R8X0040000400"/>
      <w:bookmarkEnd w:id="353"/>
      <w:r w:rsidRPr="009658F4">
        <w:rPr>
          <w:rFonts w:ascii="Georgia" w:hAnsi="Georgia"/>
          <w:i/>
        </w:rPr>
        <w:t>Ante</w:t>
      </w:r>
      <w:r w:rsidRPr="009658F4">
        <w:rPr>
          <w:rFonts w:ascii="Georgia" w:hAnsi="Georgia"/>
        </w:rPr>
        <w:t xml:space="preserve">, at 16. I see no reason to proceed based on pedigree rather than principle. </w:t>
      </w:r>
      <w:bookmarkStart w:id="354" w:name="Bookmark_I6C86HC92SF81Y0020000400_2"/>
      <w:bookmarkEnd w:id="354"/>
      <w:r w:rsidRPr="009658F4">
        <w:rPr>
          <w:rFonts w:ascii="Georgia" w:hAnsi="Georgia"/>
        </w:rPr>
        <w:t xml:space="preserve">Besides, as the Court admits, its approach merely delays the inevitable: Eventually, the Court will encounter a restriction without a historical analogue and be forced to articulate a test for analyzing it. </w:t>
      </w:r>
      <w:bookmarkStart w:id="355" w:name="Bookmark_I6C86HC92SF81Y0010000400"/>
      <w:bookmarkEnd w:id="355"/>
      <w:r w:rsidRPr="009658F4">
        <w:rPr>
          <w:rFonts w:ascii="Georgia" w:hAnsi="Georgia"/>
          <w:i/>
        </w:rPr>
        <w:t>Ante</w:t>
      </w:r>
      <w:r w:rsidRPr="009658F4">
        <w:rPr>
          <w:rFonts w:ascii="Georgia" w:hAnsi="Georgia"/>
        </w:rPr>
        <w:t>, at 19-20.</w:t>
      </w:r>
    </w:p>
    <w:p w14:paraId="271CAD48" w14:textId="77777777" w:rsidR="00003CD4" w:rsidRPr="009658F4" w:rsidRDefault="00003CD4" w:rsidP="00003CD4">
      <w:pPr>
        <w:pStyle w:val="CntrdNoItal"/>
        <w:rPr>
          <w:rFonts w:ascii="Georgia" w:hAnsi="Georgia"/>
        </w:rPr>
      </w:pPr>
      <w:r w:rsidRPr="009658F4">
        <w:rPr>
          <w:rFonts w:ascii="Georgia" w:hAnsi="Georgia"/>
        </w:rPr>
        <w:t>***</w:t>
      </w:r>
    </w:p>
    <w:p w14:paraId="123077AE" w14:textId="688D26AD" w:rsidR="00003CD4" w:rsidRPr="009658F4" w:rsidRDefault="00003CD4" w:rsidP="00003CD4">
      <w:pPr>
        <w:rPr>
          <w:rFonts w:ascii="Georgia" w:hAnsi="Georgia"/>
        </w:rPr>
      </w:pPr>
      <w:bookmarkStart w:id="356" w:name="Bookmark_para_80"/>
      <w:bookmarkEnd w:id="356"/>
      <w:r w:rsidRPr="009658F4">
        <w:rPr>
          <w:rFonts w:ascii="Georgia" w:hAnsi="Georgia"/>
        </w:rPr>
        <w:t>Trademark protection cannot exist without content discrimination. So long as content-based registration restrictions reasonably relate to the purposes of the trademark system, they are constitutional. The names clause clears this bar. I respectfully concur in part.</w:t>
      </w:r>
    </w:p>
    <w:p w14:paraId="686BFD7D" w14:textId="77777777" w:rsidR="00003CD4" w:rsidRPr="009658F4" w:rsidRDefault="00003CD4" w:rsidP="00003CD4">
      <w:pPr>
        <w:rPr>
          <w:rFonts w:ascii="Georgia" w:hAnsi="Georgia"/>
        </w:rPr>
      </w:pPr>
    </w:p>
    <w:p w14:paraId="11E895DB" w14:textId="77777777" w:rsidR="00003CD4" w:rsidRPr="009658F4" w:rsidRDefault="00003CD4" w:rsidP="00003CD4">
      <w:pPr>
        <w:rPr>
          <w:rFonts w:ascii="Georgia" w:hAnsi="Georgia"/>
          <w:b/>
          <w:bCs/>
        </w:rPr>
      </w:pPr>
      <w:bookmarkStart w:id="357" w:name="Bookmark_para_81"/>
      <w:bookmarkEnd w:id="357"/>
      <w:r w:rsidRPr="009658F4">
        <w:rPr>
          <w:rFonts w:ascii="Georgia" w:hAnsi="Georgia"/>
          <w:b/>
          <w:bCs/>
        </w:rPr>
        <w:t>Justice Sotomayor, with whom Justice Kagan and Justice Jackson join, concurring in the judgment.</w:t>
      </w:r>
    </w:p>
    <w:p w14:paraId="22C9A630" w14:textId="0A11B42A" w:rsidR="00003CD4" w:rsidRPr="009658F4" w:rsidRDefault="00003CD4" w:rsidP="00003CD4">
      <w:pPr>
        <w:rPr>
          <w:rFonts w:ascii="Georgia" w:hAnsi="Georgia"/>
        </w:rPr>
      </w:pPr>
      <w:bookmarkStart w:id="358" w:name="Bookmark_para_82"/>
      <w:bookmarkEnd w:id="358"/>
      <w:r w:rsidRPr="009658F4">
        <w:rPr>
          <w:rFonts w:ascii="Georgia" w:hAnsi="Georgia"/>
        </w:rPr>
        <w:t xml:space="preserve">This case involves a free-speech challenge to a viewpoint-neutral, content-based condition on trademark registration. In deciding how to evaluate this kind of challenge, the Court faces two options: Either look only to the history and tradition of the </w:t>
      </w:r>
      <w:proofErr w:type="gramStart"/>
      <w:r w:rsidRPr="009658F4">
        <w:rPr>
          <w:rFonts w:ascii="Georgia" w:hAnsi="Georgia"/>
        </w:rPr>
        <w:t>condition, or</w:t>
      </w:r>
      <w:proofErr w:type="gramEnd"/>
      <w:r w:rsidRPr="009658F4">
        <w:rPr>
          <w:rFonts w:ascii="Georgia" w:hAnsi="Georgia"/>
        </w:rPr>
        <w:t xml:space="preserve"> look to trademark law and settled First Amendment precedent. The first option, which asks whether the history of a particular trademark registration bar plays well with the First Amendment, leads this Court into uncharted territory that neither party requests. The other guides it through well-trodden terrain. I would follow the well-trodden path.</w:t>
      </w:r>
    </w:p>
    <w:p w14:paraId="2CF938AF" w14:textId="6439564B" w:rsidR="00003CD4" w:rsidRPr="009658F4" w:rsidRDefault="00003CD4" w:rsidP="00003CD4">
      <w:pPr>
        <w:rPr>
          <w:rFonts w:ascii="Georgia" w:hAnsi="Georgia"/>
        </w:rPr>
      </w:pPr>
      <w:bookmarkStart w:id="359" w:name="Bookmark_para_83"/>
      <w:bookmarkEnd w:id="359"/>
      <w:r w:rsidRPr="009658F4">
        <w:rPr>
          <w:rFonts w:ascii="Georgia" w:hAnsi="Georgia"/>
        </w:rPr>
        <w:t xml:space="preserve">In assessing the constitutionality of the names clause and other trademark registration provisions, I would rely on this Court’s tried-and-tested First Amendment precedent. </w:t>
      </w:r>
      <w:bookmarkStart w:id="360" w:name="Bookmark_I4XKV2WFNS800004CNC0006B"/>
      <w:bookmarkStart w:id="361" w:name="Bookmark_I6C86HC92SF81Y0040000400"/>
      <w:bookmarkEnd w:id="360"/>
      <w:bookmarkEnd w:id="361"/>
      <w:r w:rsidRPr="009658F4">
        <w:rPr>
          <w:rFonts w:ascii="Georgia" w:hAnsi="Georgia"/>
        </w:rPr>
        <w:t xml:space="preserve">This Court has held in a variety of contexts that withholding benefits for content-based, viewpoint-neutral reasons does not violate the Free Speech Clause when the applied criteria are </w:t>
      </w:r>
      <w:proofErr w:type="gramStart"/>
      <w:r w:rsidRPr="009658F4">
        <w:rPr>
          <w:rFonts w:ascii="Georgia" w:hAnsi="Georgia"/>
        </w:rPr>
        <w:t>reasonable</w:t>
      </w:r>
      <w:proofErr w:type="gramEnd"/>
      <w:r w:rsidRPr="009658F4">
        <w:rPr>
          <w:rFonts w:ascii="Georgia" w:hAnsi="Georgia"/>
        </w:rPr>
        <w:t xml:space="preserve"> and the scheme is necessarily content based. That is the situation here. Content discrimination is an inescapable feature of the trademark system, and federal trademark registration only confers additional benefits on trademark holders. The denial of trademark registration is therefore consistent with the First Amendment if it turns on “reasonable, viewpoint-neutral content regulations.” </w:t>
      </w:r>
      <w:bookmarkStart w:id="362" w:name="Bookmark_I6C86HC92SF81Y0030000400"/>
      <w:bookmarkEnd w:id="362"/>
      <w:r w:rsidRPr="009658F4">
        <w:rPr>
          <w:rFonts w:ascii="Georgia" w:hAnsi="Georgia"/>
          <w:i/>
        </w:rPr>
        <w:t>Iancu</w:t>
      </w:r>
      <w:r w:rsidRPr="009658F4">
        <w:rPr>
          <w:rFonts w:ascii="Georgia" w:hAnsi="Georgia"/>
        </w:rPr>
        <w:t xml:space="preserve"> v. </w:t>
      </w:r>
      <w:r w:rsidRPr="009658F4">
        <w:rPr>
          <w:rFonts w:ascii="Georgia" w:hAnsi="Georgia"/>
          <w:i/>
        </w:rPr>
        <w:t>Brunetti</w:t>
      </w:r>
      <w:r w:rsidRPr="009658F4">
        <w:rPr>
          <w:rFonts w:ascii="Georgia" w:hAnsi="Georgia"/>
        </w:rPr>
        <w:t xml:space="preserve">, 588 U. S. 388, 424 (2019) (Sotomayor, J., concurring in part and dissenting in part). Because </w:t>
      </w:r>
      <w:r w:rsidRPr="009658F4">
        <w:rPr>
          <w:rFonts w:ascii="Georgia" w:hAnsi="Georgia"/>
        </w:rPr>
        <w:lastRenderedPageBreak/>
        <w:t>the names clause satisfies that test, I would uphold the constitutionality of the provision on that ground alone.</w:t>
      </w:r>
    </w:p>
    <w:p w14:paraId="700062B8" w14:textId="77777777" w:rsidR="00003CD4" w:rsidRPr="009658F4" w:rsidRDefault="00003CD4" w:rsidP="00003CD4">
      <w:pPr>
        <w:pStyle w:val="CntrdNoItal"/>
        <w:rPr>
          <w:rFonts w:ascii="Georgia" w:hAnsi="Georgia"/>
        </w:rPr>
      </w:pPr>
      <w:r w:rsidRPr="009658F4">
        <w:rPr>
          <w:rFonts w:ascii="Georgia" w:hAnsi="Georgia"/>
        </w:rPr>
        <w:t>I</w:t>
      </w:r>
    </w:p>
    <w:p w14:paraId="59D8222E" w14:textId="77777777" w:rsidR="00003CD4" w:rsidRPr="009658F4" w:rsidRDefault="00003CD4" w:rsidP="00003CD4">
      <w:pPr>
        <w:pStyle w:val="CntrdNoItal"/>
        <w:rPr>
          <w:rFonts w:ascii="Georgia" w:hAnsi="Georgia"/>
        </w:rPr>
      </w:pPr>
      <w:r w:rsidRPr="009658F4">
        <w:rPr>
          <w:rFonts w:ascii="Georgia" w:hAnsi="Georgia"/>
        </w:rPr>
        <w:t>A</w:t>
      </w:r>
    </w:p>
    <w:p w14:paraId="53A429EF" w14:textId="06B06D71" w:rsidR="00003CD4" w:rsidRPr="009658F4" w:rsidRDefault="00003CD4" w:rsidP="00003CD4">
      <w:pPr>
        <w:rPr>
          <w:rFonts w:ascii="Georgia" w:hAnsi="Georgia"/>
        </w:rPr>
      </w:pPr>
      <w:bookmarkStart w:id="363" w:name="Bookmark_para_84"/>
      <w:bookmarkStart w:id="364" w:name="Bookmark_I4XKV2WFV0K00004CNC0006C"/>
      <w:bookmarkStart w:id="365" w:name="Bookmark_I4XKV2WG05900004CNC0006D"/>
      <w:bookmarkStart w:id="366" w:name="Bookmark_I6C86HC928T51T0010000400"/>
      <w:bookmarkStart w:id="367" w:name="Bookmark_I4XKV2WG4RG00004CNC0006F"/>
      <w:bookmarkStart w:id="368" w:name="Bookmark_I4XKV2WG8W100004CNC0006G"/>
      <w:bookmarkStart w:id="369" w:name="Bookmark_I4XKV2WGDSX00004CNC0006H"/>
      <w:bookmarkStart w:id="370" w:name="Bookmark_I6C86HC928T51T0050000400"/>
      <w:bookmarkEnd w:id="363"/>
      <w:bookmarkEnd w:id="364"/>
      <w:bookmarkEnd w:id="365"/>
      <w:bookmarkEnd w:id="366"/>
      <w:bookmarkEnd w:id="367"/>
      <w:bookmarkEnd w:id="368"/>
      <w:bookmarkEnd w:id="369"/>
      <w:bookmarkEnd w:id="370"/>
      <w:r w:rsidRPr="009658F4">
        <w:rPr>
          <w:rFonts w:ascii="Georgia" w:hAnsi="Georgia"/>
        </w:rPr>
        <w:t xml:space="preserve">This case is the latest in a trilogy of challenges to the constitutionality of trademark registration bars in the Lanham Act. See </w:t>
      </w:r>
      <w:bookmarkStart w:id="371" w:name="Bookmark_I6C86HC92SF81Y0050000400"/>
      <w:bookmarkEnd w:id="371"/>
      <w:r w:rsidRPr="009658F4">
        <w:rPr>
          <w:rFonts w:ascii="Georgia" w:hAnsi="Georgia"/>
          <w:i/>
        </w:rPr>
        <w:t>id</w:t>
      </w:r>
      <w:r w:rsidRPr="009658F4">
        <w:rPr>
          <w:rFonts w:ascii="Georgia" w:hAnsi="Georgia"/>
        </w:rPr>
        <w:t xml:space="preserve">., at 390 (2017). </w:t>
      </w:r>
      <w:bookmarkStart w:id="372" w:name="Bookmark_I4XKV2WGKYF00004CNC0006J"/>
      <w:bookmarkStart w:id="373" w:name="Bookmark_I6C86HC92D6NCM0030000400"/>
      <w:bookmarkEnd w:id="372"/>
      <w:bookmarkEnd w:id="373"/>
      <w:r w:rsidRPr="009658F4">
        <w:rPr>
          <w:rFonts w:ascii="Georgia" w:hAnsi="Georgia"/>
        </w:rPr>
        <w:t xml:space="preserve">In the first two cases, the Court struck down as unconstitutional certain registration bars that discriminated based on viewpoint. </w:t>
      </w:r>
      <w:bookmarkStart w:id="374" w:name="Bookmark_I6C86HC928T51T0040000400"/>
      <w:bookmarkEnd w:id="374"/>
      <w:r w:rsidRPr="009658F4">
        <w:rPr>
          <w:rFonts w:ascii="Georgia" w:hAnsi="Georgia"/>
          <w:i/>
        </w:rPr>
        <w:t>Ante</w:t>
      </w:r>
      <w:r w:rsidRPr="009658F4">
        <w:rPr>
          <w:rFonts w:ascii="Georgia" w:hAnsi="Georgia"/>
        </w:rPr>
        <w:t xml:space="preserve">, at 4-5 (majority opinion) (citing </w:t>
      </w:r>
      <w:bookmarkStart w:id="375" w:name="Bookmark_I6C86HC92N1R910010000400"/>
      <w:bookmarkEnd w:id="375"/>
      <w:r w:rsidRPr="009658F4">
        <w:rPr>
          <w:rFonts w:ascii="Georgia" w:hAnsi="Georgia"/>
          <w:i/>
        </w:rPr>
        <w:t>Brunetti</w:t>
      </w:r>
      <w:r w:rsidRPr="009658F4">
        <w:rPr>
          <w:rFonts w:ascii="Georgia" w:hAnsi="Georgia"/>
        </w:rPr>
        <w:t>, 588 U. S., at 390, 393-394;</w:t>
      </w:r>
      <w:r w:rsidRPr="009658F4">
        <w:rPr>
          <w:rFonts w:ascii="Georgia" w:hAnsi="Georgia"/>
          <w:i/>
        </w:rPr>
        <w:t xml:space="preserve"> </w:t>
      </w:r>
      <w:bookmarkStart w:id="376" w:name="Bookmark_I6C86HC92N1R910030000400"/>
      <w:bookmarkEnd w:id="376"/>
      <w:r w:rsidRPr="009658F4">
        <w:rPr>
          <w:rFonts w:ascii="Georgia" w:hAnsi="Georgia"/>
          <w:i/>
        </w:rPr>
        <w:t>Tam</w:t>
      </w:r>
      <w:r w:rsidRPr="009658F4">
        <w:rPr>
          <w:rFonts w:ascii="Georgia" w:hAnsi="Georgia"/>
        </w:rPr>
        <w:t xml:space="preserve">, 582 U. S., at 243 (plurality opinion); </w:t>
      </w:r>
      <w:bookmarkStart w:id="377" w:name="Bookmark_I6C86HC92N1R910050000400"/>
      <w:bookmarkEnd w:id="377"/>
      <w:r w:rsidRPr="009658F4">
        <w:rPr>
          <w:rFonts w:ascii="Georgia" w:hAnsi="Georgia"/>
          <w:i/>
        </w:rPr>
        <w:t>id.</w:t>
      </w:r>
      <w:r w:rsidRPr="009658F4">
        <w:rPr>
          <w:rFonts w:ascii="Georgia" w:hAnsi="Georgia"/>
        </w:rPr>
        <w:t xml:space="preserve">, at 248-249 (Kennedy, J., concurring in part and concurring in judgment). </w:t>
      </w:r>
      <w:bookmarkStart w:id="378" w:name="Bookmark_I6C86HC92D6NCM0030000400_2"/>
      <w:bookmarkEnd w:id="378"/>
      <w:r w:rsidRPr="009658F4">
        <w:rPr>
          <w:rFonts w:ascii="Georgia" w:hAnsi="Georgia"/>
        </w:rPr>
        <w:t xml:space="preserve">Because those cases involved viewpoint-based provisions, there was no occasion to consider the framework for “how to evaluate viewpoint-neutral restrictions on trademark registration.” </w:t>
      </w:r>
      <w:bookmarkStart w:id="379" w:name="Bookmark_I6C86HC92D6NCM0020000400"/>
      <w:bookmarkEnd w:id="379"/>
      <w:r w:rsidRPr="009658F4">
        <w:rPr>
          <w:rFonts w:ascii="Georgia" w:hAnsi="Georgia"/>
          <w:i/>
        </w:rPr>
        <w:t>Brunetti</w:t>
      </w:r>
      <w:r w:rsidRPr="009658F4">
        <w:rPr>
          <w:rFonts w:ascii="Georgia" w:hAnsi="Georgia"/>
        </w:rPr>
        <w:t>, 588 U. S., at 398, n.  This case, by contrast, presents that very circumstance—a viewpoint-neutral, content-based condition on trademark registration.</w:t>
      </w:r>
    </w:p>
    <w:p w14:paraId="5BE98CE4" w14:textId="396334A2" w:rsidR="00003CD4" w:rsidRPr="009658F4" w:rsidRDefault="00003CD4" w:rsidP="00003CD4">
      <w:pPr>
        <w:rPr>
          <w:rFonts w:ascii="Georgia" w:hAnsi="Georgia"/>
        </w:rPr>
      </w:pPr>
      <w:bookmarkStart w:id="380" w:name="Bookmark_para_85"/>
      <w:bookmarkEnd w:id="380"/>
      <w:r w:rsidRPr="009658F4">
        <w:rPr>
          <w:rFonts w:ascii="Georgia" w:hAnsi="Georgia"/>
        </w:rPr>
        <w:t>The names clause prohibits registration of a mark that “[c]</w:t>
      </w:r>
      <w:proofErr w:type="spellStart"/>
      <w:r w:rsidRPr="009658F4">
        <w:rPr>
          <w:rFonts w:ascii="Georgia" w:hAnsi="Georgia"/>
        </w:rPr>
        <w:t>onsists</w:t>
      </w:r>
      <w:proofErr w:type="spellEnd"/>
      <w:r w:rsidRPr="009658F4">
        <w:rPr>
          <w:rFonts w:ascii="Georgia" w:hAnsi="Georgia"/>
        </w:rPr>
        <w:t xml:space="preserve"> of or comprises a name . . . identifying a particular living individual except by his written consent.” 15 U. S. C. §1052(c). </w:t>
      </w:r>
      <w:bookmarkStart w:id="381" w:name="Bookmark_I4XKV2WGXJV00004CNC0006M"/>
      <w:bookmarkStart w:id="382" w:name="Bookmark_I6C86HC92D6NCM0050000400"/>
      <w:bookmarkEnd w:id="381"/>
      <w:bookmarkEnd w:id="382"/>
      <w:r w:rsidRPr="009658F4">
        <w:rPr>
          <w:rFonts w:ascii="Georgia" w:hAnsi="Georgia"/>
        </w:rPr>
        <w:t xml:space="preserve">No one disputes that the names clause is content based. </w:t>
      </w:r>
      <w:bookmarkStart w:id="383" w:name="Bookmark_I4XKV2WH2BK00004CNC0006N"/>
      <w:bookmarkStart w:id="384" w:name="Bookmark_I6C86HC92SF8220020000400"/>
      <w:bookmarkEnd w:id="383"/>
      <w:bookmarkEnd w:id="384"/>
      <w:r w:rsidRPr="009658F4">
        <w:rPr>
          <w:rFonts w:ascii="Georgia" w:hAnsi="Georgia"/>
        </w:rPr>
        <w:t xml:space="preserve">Its application turns, after all, on the mark’s content, </w:t>
      </w:r>
      <w:r w:rsidRPr="009658F4">
        <w:rPr>
          <w:rFonts w:ascii="Georgia" w:hAnsi="Georgia"/>
          <w:i/>
        </w:rPr>
        <w:t>i</w:t>
      </w:r>
      <w:r w:rsidRPr="009658F4">
        <w:rPr>
          <w:rFonts w:ascii="Georgia" w:hAnsi="Georgia"/>
        </w:rPr>
        <w:t>.</w:t>
      </w:r>
      <w:r w:rsidRPr="009658F4">
        <w:rPr>
          <w:rFonts w:ascii="Georgia" w:hAnsi="Georgia"/>
          <w:i/>
        </w:rPr>
        <w:t>e</w:t>
      </w:r>
      <w:r w:rsidRPr="009658F4">
        <w:rPr>
          <w:rFonts w:ascii="Georgia" w:hAnsi="Georgia"/>
        </w:rPr>
        <w:t xml:space="preserve">., whether it identifies by name a particular living individual without his or her written consent. See </w:t>
      </w:r>
      <w:bookmarkStart w:id="385" w:name="Bookmark_I6C86HC92D6NCM0040000400"/>
      <w:bookmarkEnd w:id="385"/>
      <w:r w:rsidRPr="009658F4">
        <w:rPr>
          <w:rFonts w:ascii="Georgia" w:hAnsi="Georgia"/>
          <w:i/>
        </w:rPr>
        <w:t>City of Austin</w:t>
      </w:r>
      <w:r w:rsidRPr="009658F4">
        <w:rPr>
          <w:rFonts w:ascii="Georgia" w:hAnsi="Georgia"/>
        </w:rPr>
        <w:t xml:space="preserve"> v. </w:t>
      </w:r>
      <w:r w:rsidRPr="009658F4">
        <w:rPr>
          <w:rFonts w:ascii="Georgia" w:hAnsi="Georgia"/>
          <w:i/>
        </w:rPr>
        <w:t>Reagan Nat. Advertising of Austin, LLC</w:t>
      </w:r>
      <w:r w:rsidRPr="009658F4">
        <w:rPr>
          <w:rFonts w:ascii="Georgia" w:hAnsi="Georgia"/>
        </w:rPr>
        <w:t xml:space="preserve">, 596 U. S. 61, 69 (2022) (explaining that a regulation is content based if its application turns on “‘the topic </w:t>
      </w:r>
      <w:proofErr w:type="gramStart"/>
      <w:r w:rsidRPr="009658F4">
        <w:rPr>
          <w:rFonts w:ascii="Georgia" w:hAnsi="Georgia"/>
        </w:rPr>
        <w:t>discussed</w:t>
      </w:r>
      <w:proofErr w:type="gramEnd"/>
      <w:r w:rsidRPr="009658F4">
        <w:rPr>
          <w:rFonts w:ascii="Georgia" w:hAnsi="Georgia"/>
        </w:rPr>
        <w:t xml:space="preserve"> or the idea or message expressed’”). </w:t>
      </w:r>
      <w:bookmarkStart w:id="386" w:name="Bookmark_I6C86HC92SF8220020000400_2"/>
      <w:bookmarkEnd w:id="386"/>
      <w:r w:rsidRPr="009658F4">
        <w:rPr>
          <w:rFonts w:ascii="Georgia" w:hAnsi="Georgia"/>
        </w:rPr>
        <w:t>The names clause is also viewpoint neutral because it is agnostic as to how the name in the mark is being used and does not “</w:t>
      </w:r>
      <w:proofErr w:type="spellStart"/>
      <w:r w:rsidRPr="009658F4">
        <w:rPr>
          <w:rFonts w:ascii="Georgia" w:hAnsi="Georgia"/>
        </w:rPr>
        <w:t>distinguis</w:t>
      </w:r>
      <w:proofErr w:type="spellEnd"/>
      <w:r w:rsidRPr="009658F4">
        <w:rPr>
          <w:rFonts w:ascii="Georgia" w:hAnsi="Georgia"/>
        </w:rPr>
        <w:t xml:space="preserve">[h] between two opposed sets of ideas.” </w:t>
      </w:r>
      <w:bookmarkStart w:id="387" w:name="Bookmark_I6C86HC92SF8220010000400"/>
      <w:bookmarkEnd w:id="387"/>
      <w:r w:rsidRPr="009658F4">
        <w:rPr>
          <w:rFonts w:ascii="Georgia" w:hAnsi="Georgia"/>
          <w:i/>
        </w:rPr>
        <w:t>Brunetti</w:t>
      </w:r>
      <w:r w:rsidRPr="009658F4">
        <w:rPr>
          <w:rFonts w:ascii="Georgia" w:hAnsi="Georgia"/>
        </w:rPr>
        <w:t xml:space="preserve">, 588 U. S., at 394; see </w:t>
      </w:r>
      <w:bookmarkStart w:id="388" w:name="Bookmark_I6C86HC92SF8220030000400"/>
      <w:bookmarkEnd w:id="388"/>
      <w:r w:rsidRPr="009658F4">
        <w:rPr>
          <w:rFonts w:ascii="Georgia" w:hAnsi="Georgia"/>
          <w:i/>
        </w:rPr>
        <w:t>ante</w:t>
      </w:r>
      <w:r w:rsidRPr="009658F4">
        <w:rPr>
          <w:rFonts w:ascii="Georgia" w:hAnsi="Georgia"/>
        </w:rPr>
        <w:t>, at 5 and n. 2 (majority opinion) (holding that the clause is viewpoint neutral both on its face and in practice). On these points, and on the conclusion that the names clause is constitutional, we all agree. Our disagreement boils down primarily to methodology.</w:t>
      </w:r>
    </w:p>
    <w:p w14:paraId="29CEE337" w14:textId="77777777" w:rsidR="00003CD4" w:rsidRPr="009658F4" w:rsidRDefault="00003CD4" w:rsidP="00003CD4">
      <w:pPr>
        <w:pStyle w:val="CntrdNoItal"/>
        <w:rPr>
          <w:rFonts w:ascii="Georgia" w:hAnsi="Georgia"/>
        </w:rPr>
      </w:pPr>
      <w:r w:rsidRPr="009658F4">
        <w:rPr>
          <w:rFonts w:ascii="Georgia" w:hAnsi="Georgia"/>
        </w:rPr>
        <w:t>B</w:t>
      </w:r>
    </w:p>
    <w:p w14:paraId="00EF8D66" w14:textId="2DE7079D" w:rsidR="00003CD4" w:rsidRPr="009658F4" w:rsidRDefault="00003CD4" w:rsidP="00003CD4">
      <w:pPr>
        <w:rPr>
          <w:rFonts w:ascii="Georgia" w:hAnsi="Georgia"/>
        </w:rPr>
      </w:pPr>
      <w:bookmarkStart w:id="389" w:name="Bookmark_para_86"/>
      <w:bookmarkStart w:id="390" w:name="Bookmark_I4XKV2WHBR100004CNC0006R"/>
      <w:bookmarkStart w:id="391" w:name="Bookmark_I6C86HC92N1R920010000400"/>
      <w:bookmarkEnd w:id="389"/>
      <w:bookmarkEnd w:id="390"/>
      <w:bookmarkEnd w:id="391"/>
      <w:r w:rsidRPr="009658F4">
        <w:rPr>
          <w:rFonts w:ascii="Georgia" w:hAnsi="Georgia"/>
        </w:rPr>
        <w:t xml:space="preserve">Those familiar with this trilogy of First Amendment challenges to the Lanham Act may be surprised, perhaps even disappointed, to learn that, although this case presents the “situation we did not address in </w:t>
      </w:r>
      <w:r w:rsidRPr="009658F4">
        <w:rPr>
          <w:rFonts w:ascii="Georgia" w:hAnsi="Georgia"/>
          <w:i/>
        </w:rPr>
        <w:t>Tam</w:t>
      </w:r>
      <w:r w:rsidRPr="009658F4">
        <w:rPr>
          <w:rFonts w:ascii="Georgia" w:hAnsi="Georgia"/>
        </w:rPr>
        <w:t xml:space="preserve"> or </w:t>
      </w:r>
      <w:r w:rsidRPr="009658F4">
        <w:rPr>
          <w:rFonts w:ascii="Georgia" w:hAnsi="Georgia"/>
          <w:i/>
        </w:rPr>
        <w:t>Brunetti</w:t>
      </w:r>
      <w:r w:rsidRPr="009658F4">
        <w:rPr>
          <w:rFonts w:ascii="Georgia" w:hAnsi="Georgia"/>
        </w:rPr>
        <w:t xml:space="preserve">,” the Court has shied away from setting forth a “framework ‘for deciding free speech challenges to provisions of the Lanham Act.’” </w:t>
      </w:r>
      <w:bookmarkStart w:id="392" w:name="Bookmark_I6C86HC92SF8220050000400"/>
      <w:bookmarkEnd w:id="392"/>
      <w:r w:rsidRPr="009658F4">
        <w:rPr>
          <w:rFonts w:ascii="Georgia" w:hAnsi="Georgia"/>
          <w:i/>
        </w:rPr>
        <w:t>Ante</w:t>
      </w:r>
      <w:r w:rsidRPr="009658F4">
        <w:rPr>
          <w:rFonts w:ascii="Georgia" w:hAnsi="Georgia"/>
        </w:rPr>
        <w:t xml:space="preserve">, at 6 (majority opinion) (quoting </w:t>
      </w:r>
      <w:bookmarkStart w:id="393" w:name="Bookmark_I6C86HC92N1R920020000400"/>
      <w:bookmarkEnd w:id="393"/>
      <w:r w:rsidRPr="009658F4">
        <w:rPr>
          <w:rFonts w:ascii="Georgia" w:hAnsi="Georgia"/>
          <w:i/>
        </w:rPr>
        <w:t>Tam</w:t>
      </w:r>
      <w:r w:rsidRPr="009658F4">
        <w:rPr>
          <w:rFonts w:ascii="Georgia" w:hAnsi="Georgia"/>
        </w:rPr>
        <w:t>, 582 U. S., at 245, n. 17 (plurality opinion)). Yet perhaps the biggest surprise (and disappointment) of today’s five-Justice majority opinion is its reliance on history and tradition as a dispositive test to resolve this case.</w:t>
      </w:r>
    </w:p>
    <w:p w14:paraId="0110426C" w14:textId="131BE6EF" w:rsidR="00003CD4" w:rsidRPr="009658F4" w:rsidRDefault="00003CD4" w:rsidP="00003CD4">
      <w:pPr>
        <w:rPr>
          <w:rFonts w:ascii="Georgia" w:hAnsi="Georgia"/>
        </w:rPr>
      </w:pPr>
      <w:bookmarkStart w:id="394" w:name="Bookmark_para_87"/>
      <w:bookmarkStart w:id="395" w:name="Bookmark_I6C86HC92N1R920050000400"/>
      <w:bookmarkEnd w:id="394"/>
      <w:bookmarkEnd w:id="395"/>
      <w:r w:rsidRPr="009658F4">
        <w:rPr>
          <w:rFonts w:ascii="Georgia" w:hAnsi="Georgia"/>
        </w:rPr>
        <w:t xml:space="preserve">In holding that the names clause is constitutional, that majority asserts that one need look only to the “history and tradition” of the clause and “no further.” </w:t>
      </w:r>
      <w:bookmarkStart w:id="396" w:name="Bookmark_I6C86HC92N1R920040000400"/>
      <w:bookmarkEnd w:id="396"/>
      <w:r w:rsidRPr="009658F4">
        <w:rPr>
          <w:rFonts w:ascii="Georgia" w:hAnsi="Georgia"/>
          <w:i/>
        </w:rPr>
        <w:lastRenderedPageBreak/>
        <w:t>Ante,</w:t>
      </w:r>
      <w:r w:rsidRPr="009658F4">
        <w:rPr>
          <w:rFonts w:ascii="Georgia" w:hAnsi="Georgia"/>
        </w:rPr>
        <w:t xml:space="preserve"> at 12. </w:t>
      </w:r>
      <w:bookmarkStart w:id="397" w:name="Bookmark_I4XKV2WHGWB00004CNC0006S"/>
      <w:bookmarkStart w:id="398" w:name="Bookmark_I6C86HC92D6NCN0020000400"/>
      <w:bookmarkEnd w:id="397"/>
      <w:bookmarkEnd w:id="398"/>
      <w:r w:rsidRPr="009658F4">
        <w:rPr>
          <w:rFonts w:ascii="Georgia" w:hAnsi="Georgia"/>
        </w:rPr>
        <w:t xml:space="preserve">Why look to history and tradition alone? Because, the majority says, it “is sufficient to conclude that the names clause . . . is compatible with the First Amendment.” </w:t>
      </w:r>
      <w:r w:rsidRPr="009658F4">
        <w:rPr>
          <w:rFonts w:ascii="Georgia" w:hAnsi="Georgia"/>
          <w:i/>
        </w:rPr>
        <w:t>Ibid</w:t>
      </w:r>
      <w:r w:rsidRPr="009658F4">
        <w:rPr>
          <w:rFonts w:ascii="Georgia" w:hAnsi="Georgia"/>
        </w:rPr>
        <w:t xml:space="preserve">. Considering this Court has never applied this kind of history-and-tradition test to a free-speech challenge, and that “[n]o one briefed, argued, or even hinted at the rule that the Court announces today,” one would have expected a more satisfactory explanation. </w:t>
      </w:r>
      <w:bookmarkStart w:id="399" w:name="Bookmark_I6C86HC92D6NCN0020000400_2"/>
      <w:bookmarkStart w:id="400" w:name="Bookmark_I6C86HC92D6NCN0010000400"/>
      <w:bookmarkEnd w:id="399"/>
      <w:bookmarkEnd w:id="400"/>
      <w:r w:rsidRPr="009658F4">
        <w:rPr>
          <w:rFonts w:ascii="Georgia" w:hAnsi="Georgia"/>
          <w:i/>
        </w:rPr>
        <w:t>Lozman</w:t>
      </w:r>
      <w:r w:rsidRPr="009658F4">
        <w:rPr>
          <w:rFonts w:ascii="Georgia" w:hAnsi="Georgia"/>
        </w:rPr>
        <w:t xml:space="preserve"> v. </w:t>
      </w:r>
      <w:r w:rsidRPr="009658F4">
        <w:rPr>
          <w:rFonts w:ascii="Georgia" w:hAnsi="Georgia"/>
          <w:i/>
        </w:rPr>
        <w:t>Riviera Beach</w:t>
      </w:r>
      <w:r w:rsidRPr="009658F4">
        <w:rPr>
          <w:rFonts w:ascii="Georgia" w:hAnsi="Georgia"/>
        </w:rPr>
        <w:t>, 585 U. S. 87, 102 (2018) (Thomas, J., dissenting). There is none grounded in our First Amendment doctrine and precedent.</w:t>
      </w:r>
    </w:p>
    <w:p w14:paraId="67D0DDD5" w14:textId="30770A95" w:rsidR="00003CD4" w:rsidRPr="009658F4" w:rsidRDefault="00003CD4" w:rsidP="00003CD4">
      <w:pPr>
        <w:rPr>
          <w:rFonts w:ascii="Georgia" w:hAnsi="Georgia"/>
        </w:rPr>
      </w:pPr>
      <w:bookmarkStart w:id="401" w:name="Bookmark_para_88"/>
      <w:bookmarkStart w:id="402" w:name="Bookmark_I6C86HC92D6NCN0040000400"/>
      <w:bookmarkStart w:id="403" w:name="Bookmark_I4XKV2WHSYN00004CNC0006V"/>
      <w:bookmarkStart w:id="404" w:name="Bookmark_I6C86HCB28T51W0010000400"/>
      <w:bookmarkEnd w:id="401"/>
      <w:bookmarkEnd w:id="402"/>
      <w:bookmarkEnd w:id="403"/>
      <w:bookmarkEnd w:id="404"/>
      <w:r w:rsidRPr="009658F4">
        <w:rPr>
          <w:rFonts w:ascii="Georgia" w:hAnsi="Georgia"/>
        </w:rPr>
        <w:t xml:space="preserve">Justice Barrett questions the majority’s because-it-is-sufficient explanation in part by claiming that, if anything, the Court’s evidence “does not establish a historical analogue for the names clause.” </w:t>
      </w:r>
      <w:bookmarkStart w:id="405" w:name="Bookmark_I6C86HC92D6NCN0030000400"/>
      <w:bookmarkEnd w:id="405"/>
      <w:r w:rsidRPr="009658F4">
        <w:rPr>
          <w:rFonts w:ascii="Georgia" w:hAnsi="Georgia"/>
          <w:i/>
        </w:rPr>
        <w:t>Ante</w:t>
      </w:r>
      <w:r w:rsidRPr="009658F4">
        <w:rPr>
          <w:rFonts w:ascii="Georgia" w:hAnsi="Georgia"/>
        </w:rPr>
        <w:t xml:space="preserve">, at 1 (opinion concurring in part). That may well be true. Yet </w:t>
      </w:r>
      <w:proofErr w:type="gramStart"/>
      <w:r w:rsidRPr="009658F4">
        <w:rPr>
          <w:rFonts w:ascii="Georgia" w:hAnsi="Georgia"/>
        </w:rPr>
        <w:t>this back-and-forth highlights</w:t>
      </w:r>
      <w:proofErr w:type="gramEnd"/>
      <w:r w:rsidRPr="009658F4">
        <w:rPr>
          <w:rFonts w:ascii="Georgia" w:hAnsi="Georgia"/>
        </w:rPr>
        <w:t xml:space="preserve"> the indeterminacy of the Court’s history-and-tradition inquiry, which one might aptly describe as the equivalent of entering a crowded cocktail party and looking over everyone’s heads to find your friends. Cf. </w:t>
      </w:r>
      <w:bookmarkStart w:id="406" w:name="Bookmark_I6C86HC92D6NCN0050000400"/>
      <w:bookmarkEnd w:id="406"/>
      <w:r w:rsidRPr="009658F4">
        <w:rPr>
          <w:rFonts w:ascii="Georgia" w:hAnsi="Georgia"/>
          <w:i/>
        </w:rPr>
        <w:t>Conroy</w:t>
      </w:r>
      <w:r w:rsidRPr="009658F4">
        <w:rPr>
          <w:rFonts w:ascii="Georgia" w:hAnsi="Georgia"/>
        </w:rPr>
        <w:t xml:space="preserve"> v. </w:t>
      </w:r>
      <w:proofErr w:type="spellStart"/>
      <w:r w:rsidRPr="009658F4">
        <w:rPr>
          <w:rFonts w:ascii="Georgia" w:hAnsi="Georgia"/>
          <w:i/>
        </w:rPr>
        <w:t>Aniskoff</w:t>
      </w:r>
      <w:proofErr w:type="spellEnd"/>
      <w:r w:rsidRPr="009658F4">
        <w:rPr>
          <w:rFonts w:ascii="Georgia" w:hAnsi="Georgia"/>
        </w:rPr>
        <w:t xml:space="preserve">, 507 U. S. 511, 519 (1993) (Scalia, J., concurring in judgment). To make matters worse, the five-Justice majority that undertakes this tradition-as-dispositive inquiry found its friends in a crowded party to which it was not invited. </w:t>
      </w:r>
      <w:bookmarkStart w:id="407" w:name="Bookmark_I4XKV2WHY5W00004CNC0006W"/>
      <w:bookmarkStart w:id="408" w:name="Bookmark_I6C86HCB28T51W0030000400"/>
      <w:bookmarkEnd w:id="407"/>
      <w:bookmarkEnd w:id="408"/>
      <w:r w:rsidRPr="009658F4">
        <w:rPr>
          <w:rFonts w:ascii="Georgia" w:hAnsi="Georgia"/>
        </w:rPr>
        <w:t xml:space="preserve">That majority has drawn conclusive inferences from its historical evidence, all without any guidance from the litigants or the court below. That stark departure from settled principles of party presentation and adversarial testing in favor of in-chambers historical research by </w:t>
      </w:r>
      <w:proofErr w:type="spellStart"/>
      <w:r w:rsidRPr="009658F4">
        <w:rPr>
          <w:rFonts w:ascii="Georgia" w:hAnsi="Georgia"/>
        </w:rPr>
        <w:t>nonhistorians</w:t>
      </w:r>
      <w:proofErr w:type="spellEnd"/>
      <w:r w:rsidRPr="009658F4">
        <w:rPr>
          <w:rFonts w:ascii="Georgia" w:hAnsi="Georgia"/>
        </w:rPr>
        <w:t xml:space="preserve"> raises more questions than answers. Cf. </w:t>
      </w:r>
      <w:bookmarkStart w:id="409" w:name="Bookmark_I6C86HCB28T51W0020000400"/>
      <w:bookmarkEnd w:id="409"/>
      <w:proofErr w:type="spellStart"/>
      <w:r w:rsidRPr="009658F4">
        <w:rPr>
          <w:rFonts w:ascii="Georgia" w:hAnsi="Georgia"/>
          <w:i/>
        </w:rPr>
        <w:t>Maslenjak</w:t>
      </w:r>
      <w:proofErr w:type="spellEnd"/>
      <w:r w:rsidRPr="009658F4">
        <w:rPr>
          <w:rFonts w:ascii="Georgia" w:hAnsi="Georgia"/>
        </w:rPr>
        <w:t xml:space="preserve"> v. </w:t>
      </w:r>
      <w:r w:rsidRPr="009658F4">
        <w:rPr>
          <w:rFonts w:ascii="Georgia" w:hAnsi="Georgia"/>
          <w:i/>
        </w:rPr>
        <w:t>United States</w:t>
      </w:r>
      <w:r w:rsidRPr="009658F4">
        <w:rPr>
          <w:rFonts w:ascii="Georgia" w:hAnsi="Georgia"/>
        </w:rPr>
        <w:t>, 582 U. S. 335, 354 (2017) (Gorsuch, J., joined by Thomas, J., concurring in part and concurring in judgment) (“[T]he crucible of adversarial testing on which we usually depend, along with the experience of our thoughtful colleagues on the district and circuit benches, could yield insights (or reveal pitfalls) we cannot muster guided only by our own lights”).</w:t>
      </w:r>
    </w:p>
    <w:p w14:paraId="52DB2D59" w14:textId="61DDD2F7" w:rsidR="00003CD4" w:rsidRPr="009658F4" w:rsidRDefault="00003CD4" w:rsidP="00003CD4">
      <w:pPr>
        <w:rPr>
          <w:rFonts w:ascii="Georgia" w:hAnsi="Georgia"/>
        </w:rPr>
      </w:pPr>
      <w:bookmarkStart w:id="410" w:name="Bookmark_para_89"/>
      <w:bookmarkStart w:id="411" w:name="Bookmark_I6C86HCB28T51W0050000400"/>
      <w:bookmarkStart w:id="412" w:name="Bookmark_I4XKV2WJ30T00004CNC0006X"/>
      <w:bookmarkStart w:id="413" w:name="Bookmark_I6C86HCB28T51X0020000400"/>
      <w:bookmarkEnd w:id="410"/>
      <w:bookmarkEnd w:id="411"/>
      <w:bookmarkEnd w:id="412"/>
      <w:bookmarkEnd w:id="413"/>
      <w:r w:rsidRPr="009658F4">
        <w:rPr>
          <w:rFonts w:ascii="Georgia" w:hAnsi="Georgia"/>
        </w:rPr>
        <w:t xml:space="preserve">It is not appropriate, much less necessary, to find common-law analogues to settle the constitutionality of the names clause or any other trademark registration provision. </w:t>
      </w:r>
      <w:bookmarkStart w:id="414" w:name="Bookmark_I6C86HCB28T51X0040000400"/>
      <w:bookmarkEnd w:id="414"/>
      <w:r w:rsidRPr="009658F4">
        <w:rPr>
          <w:rFonts w:ascii="Georgia" w:hAnsi="Georgia"/>
        </w:rPr>
        <w:t xml:space="preserve">I agree with Justice Barrett that, even if the majority’s historical “evidence </w:t>
      </w:r>
      <w:proofErr w:type="gramStart"/>
      <w:r w:rsidRPr="009658F4">
        <w:rPr>
          <w:rFonts w:ascii="Georgia" w:hAnsi="Georgia"/>
        </w:rPr>
        <w:t>were</w:t>
      </w:r>
      <w:proofErr w:type="gramEnd"/>
      <w:r w:rsidRPr="009658F4">
        <w:rPr>
          <w:rFonts w:ascii="Georgia" w:hAnsi="Georgia"/>
        </w:rPr>
        <w:t xml:space="preserve"> rock solid,” there is no good reason to believe that “hunting for historical forebears on a restriction-by-restriction basis is the right way to analyze the constitutional question.” </w:t>
      </w:r>
      <w:bookmarkStart w:id="415" w:name="Bookmark_I6C86HCB28T51W0040000400"/>
      <w:bookmarkEnd w:id="415"/>
      <w:r w:rsidRPr="009658F4">
        <w:rPr>
          <w:rFonts w:ascii="Georgia" w:hAnsi="Georgia"/>
          <w:i/>
        </w:rPr>
        <w:t>Ante</w:t>
      </w:r>
      <w:r w:rsidRPr="009658F4">
        <w:rPr>
          <w:rFonts w:ascii="Georgia" w:hAnsi="Georgia"/>
        </w:rPr>
        <w:t xml:space="preserve">, at 1, 13. The majority attempts to reassure litigants and the lower courts that a “history-focused </w:t>
      </w:r>
      <w:proofErr w:type="spellStart"/>
      <w:r w:rsidRPr="009658F4">
        <w:rPr>
          <w:rFonts w:ascii="Georgia" w:hAnsi="Georgia"/>
        </w:rPr>
        <w:t>approac</w:t>
      </w:r>
      <w:proofErr w:type="spellEnd"/>
      <w:r w:rsidRPr="009658F4">
        <w:rPr>
          <w:rFonts w:ascii="Georgia" w:hAnsi="Georgia"/>
        </w:rPr>
        <w:t xml:space="preserve">[h]” here is sensible and workable, by citing to </w:t>
      </w:r>
      <w:bookmarkStart w:id="416" w:name="Bookmark_I6C86HCB28T51X0010000400"/>
      <w:bookmarkEnd w:id="416"/>
      <w:r w:rsidRPr="009658F4">
        <w:rPr>
          <w:rFonts w:ascii="Georgia" w:hAnsi="Georgia"/>
          <w:i/>
        </w:rPr>
        <w:t>New York State Rifle &amp; Pistol Assn., Inc.</w:t>
      </w:r>
      <w:r w:rsidRPr="009658F4">
        <w:rPr>
          <w:rFonts w:ascii="Georgia" w:hAnsi="Georgia"/>
        </w:rPr>
        <w:t xml:space="preserve"> v. </w:t>
      </w:r>
      <w:r w:rsidRPr="009658F4">
        <w:rPr>
          <w:rFonts w:ascii="Georgia" w:hAnsi="Georgia"/>
          <w:i/>
        </w:rPr>
        <w:t>Bruen</w:t>
      </w:r>
      <w:r w:rsidRPr="009658F4">
        <w:rPr>
          <w:rFonts w:ascii="Georgia" w:hAnsi="Georgia"/>
        </w:rPr>
        <w:t xml:space="preserve">, 597 U.S. 1 (2022). </w:t>
      </w:r>
      <w:bookmarkStart w:id="417" w:name="Bookmark_I6C86HCB28T51X0040000400_2"/>
      <w:bookmarkStart w:id="418" w:name="Bookmark_I6C86HCB28T51X0030000400"/>
      <w:bookmarkEnd w:id="417"/>
      <w:bookmarkEnd w:id="418"/>
      <w:r w:rsidRPr="009658F4">
        <w:rPr>
          <w:rFonts w:ascii="Georgia" w:hAnsi="Georgia"/>
          <w:i/>
        </w:rPr>
        <w:t>Ante</w:t>
      </w:r>
      <w:r w:rsidRPr="009658F4">
        <w:rPr>
          <w:rFonts w:ascii="Georgia" w:hAnsi="Georgia"/>
        </w:rPr>
        <w:t xml:space="preserve">, at 19, n. 4. </w:t>
      </w:r>
      <w:bookmarkStart w:id="419" w:name="Bookmark_I4XKV2WJ7M300004CNC0006Y"/>
      <w:bookmarkStart w:id="420" w:name="Bookmark_I6C86HCB2N1R940010000400"/>
      <w:bookmarkEnd w:id="419"/>
      <w:bookmarkEnd w:id="420"/>
      <w:r w:rsidRPr="009658F4">
        <w:rPr>
          <w:rFonts w:ascii="Georgia" w:hAnsi="Georgia"/>
        </w:rPr>
        <w:t xml:space="preserve">To say that such reassurance is not comforting would be an understatement. One need only read a handful of lower court decisions applying </w:t>
      </w:r>
      <w:r w:rsidRPr="009658F4">
        <w:rPr>
          <w:rFonts w:ascii="Georgia" w:hAnsi="Georgia"/>
          <w:i/>
        </w:rPr>
        <w:t xml:space="preserve">Bruen </w:t>
      </w:r>
      <w:r w:rsidRPr="009658F4">
        <w:rPr>
          <w:rFonts w:ascii="Georgia" w:hAnsi="Georgia"/>
        </w:rPr>
        <w:t xml:space="preserve">to appreciate the confusion this Court has caused. Cf. Brief for Second Amendment Law Scholars as </w:t>
      </w:r>
      <w:r w:rsidRPr="009658F4">
        <w:rPr>
          <w:rFonts w:ascii="Georgia" w:hAnsi="Georgia"/>
          <w:i/>
        </w:rPr>
        <w:t>Amici Curiae</w:t>
      </w:r>
      <w:r w:rsidRPr="009658F4">
        <w:rPr>
          <w:rFonts w:ascii="Georgia" w:hAnsi="Georgia"/>
        </w:rPr>
        <w:t xml:space="preserve"> in </w:t>
      </w:r>
      <w:r w:rsidRPr="009658F4">
        <w:rPr>
          <w:rFonts w:ascii="Georgia" w:hAnsi="Georgia"/>
          <w:i/>
        </w:rPr>
        <w:t>United States</w:t>
      </w:r>
      <w:r w:rsidRPr="009658F4">
        <w:rPr>
          <w:rFonts w:ascii="Georgia" w:hAnsi="Georgia"/>
        </w:rPr>
        <w:t xml:space="preserve"> v. </w:t>
      </w:r>
      <w:r w:rsidRPr="009658F4">
        <w:rPr>
          <w:rFonts w:ascii="Georgia" w:hAnsi="Georgia"/>
          <w:i/>
        </w:rPr>
        <w:t>Rahimi</w:t>
      </w:r>
      <w:r w:rsidRPr="009658F4">
        <w:rPr>
          <w:rFonts w:ascii="Georgia" w:hAnsi="Georgia"/>
        </w:rPr>
        <w:t xml:space="preserve">, O. T. 2023, No. 22-915, pp. 4-6 (discussing examples of confusion among lower courts applying </w:t>
      </w:r>
      <w:bookmarkStart w:id="421" w:name="Bookmark_I6C86HCB2N1R940010000400_2"/>
      <w:bookmarkStart w:id="422" w:name="Bookmark_I6C86HCB28T51X0050000400"/>
      <w:bookmarkEnd w:id="421"/>
      <w:bookmarkEnd w:id="422"/>
      <w:r w:rsidRPr="009658F4">
        <w:rPr>
          <w:rFonts w:ascii="Georgia" w:hAnsi="Georgia"/>
          <w:i/>
        </w:rPr>
        <w:t>Bruen</w:t>
      </w:r>
      <w:r w:rsidRPr="009658F4">
        <w:rPr>
          <w:rFonts w:ascii="Georgia" w:hAnsi="Georgia"/>
        </w:rPr>
        <w:t>).</w:t>
      </w:r>
    </w:p>
    <w:p w14:paraId="3D678F51" w14:textId="15F32998" w:rsidR="00003CD4" w:rsidRPr="009658F4" w:rsidRDefault="00003CD4" w:rsidP="00003CD4">
      <w:pPr>
        <w:rPr>
          <w:rFonts w:ascii="Georgia" w:hAnsi="Georgia"/>
        </w:rPr>
      </w:pPr>
      <w:bookmarkStart w:id="423" w:name="Bookmark_para_90"/>
      <w:bookmarkStart w:id="424" w:name="Bookmark_I4XKV2WJJPH00004CNC00071"/>
      <w:bookmarkStart w:id="425" w:name="Bookmark_I6C86HCB2N1R940030000400"/>
      <w:bookmarkEnd w:id="423"/>
      <w:bookmarkEnd w:id="424"/>
      <w:bookmarkEnd w:id="425"/>
      <w:r w:rsidRPr="009658F4">
        <w:rPr>
          <w:rFonts w:ascii="Georgia" w:hAnsi="Georgia"/>
        </w:rPr>
        <w:lastRenderedPageBreak/>
        <w:t xml:space="preserve">Ultimately, I am reluctant to go further down this precipice of looking for questionable historical analogues to resolve the constitutionality of Congress’s legislation. To borrow Justice Scalia’s criticism from a different context, such hunting “far into the </w:t>
      </w:r>
      <w:proofErr w:type="spellStart"/>
      <w:r w:rsidRPr="009658F4">
        <w:rPr>
          <w:rFonts w:ascii="Georgia" w:hAnsi="Georgia"/>
        </w:rPr>
        <w:t>dimmy</w:t>
      </w:r>
      <w:proofErr w:type="spellEnd"/>
      <w:r w:rsidRPr="009658F4">
        <w:rPr>
          <w:rFonts w:ascii="Georgia" w:hAnsi="Georgia"/>
        </w:rPr>
        <w:t xml:space="preserve"> past” is not just “a waste of research time and ink” but also “a false and disruptive lesson in the law . . . that . . . condemns litigants (who, unlike us, must pay for it out of their own pockets) to subsidizing historical research by lawyers.” </w:t>
      </w:r>
      <w:bookmarkStart w:id="426" w:name="Bookmark_I6C86HCB2N1R940020000400"/>
      <w:bookmarkEnd w:id="426"/>
      <w:r w:rsidRPr="009658F4">
        <w:rPr>
          <w:rFonts w:ascii="Georgia" w:hAnsi="Georgia"/>
          <w:i/>
        </w:rPr>
        <w:t>Conroy</w:t>
      </w:r>
      <w:r w:rsidRPr="009658F4">
        <w:rPr>
          <w:rFonts w:ascii="Georgia" w:hAnsi="Georgia"/>
        </w:rPr>
        <w:t>, 507 U. S., at 519 (opinion concurring in judgment). I would instead apply this Court’s First Amendment precedent, just as the parties did in arguing this case.</w:t>
      </w:r>
    </w:p>
    <w:p w14:paraId="48F1E40D" w14:textId="77777777" w:rsidR="00003CD4" w:rsidRPr="009658F4" w:rsidRDefault="00003CD4" w:rsidP="00003CD4">
      <w:pPr>
        <w:pStyle w:val="CntrdNoItal"/>
        <w:rPr>
          <w:rFonts w:ascii="Georgia" w:hAnsi="Georgia"/>
        </w:rPr>
      </w:pPr>
      <w:r w:rsidRPr="009658F4">
        <w:rPr>
          <w:rFonts w:ascii="Georgia" w:hAnsi="Georgia"/>
        </w:rPr>
        <w:t>C</w:t>
      </w:r>
    </w:p>
    <w:p w14:paraId="02C6A776" w14:textId="2C8F7A38" w:rsidR="00003CD4" w:rsidRPr="009658F4" w:rsidRDefault="00003CD4" w:rsidP="00003CD4">
      <w:pPr>
        <w:rPr>
          <w:rFonts w:ascii="Georgia" w:hAnsi="Georgia"/>
        </w:rPr>
      </w:pPr>
      <w:bookmarkStart w:id="427" w:name="Bookmark_para_91"/>
      <w:bookmarkEnd w:id="427"/>
      <w:r w:rsidRPr="009658F4">
        <w:rPr>
          <w:rFonts w:ascii="Georgia" w:hAnsi="Georgia"/>
        </w:rPr>
        <w:t xml:space="preserve">The most straightforward way to resolve this and other free-speech challenges to trademark registration criteria is through a doctrinal framework drawn from this Court’s First Amendment precedent. The analysis should proceed in two steps. First ask whether the challenged provision </w:t>
      </w:r>
      <w:proofErr w:type="gramStart"/>
      <w:r w:rsidRPr="009658F4">
        <w:rPr>
          <w:rFonts w:ascii="Georgia" w:hAnsi="Georgia"/>
        </w:rPr>
        <w:t>targets  particular</w:t>
      </w:r>
      <w:proofErr w:type="gramEnd"/>
      <w:r w:rsidRPr="009658F4">
        <w:rPr>
          <w:rFonts w:ascii="Georgia" w:hAnsi="Georgia"/>
        </w:rPr>
        <w:t xml:space="preserve"> views taken by speakers on a given subject. If the trademark registration bar is viewpoint based, it is presumptively unconstitutional and heightened scrutiny applies; if it is viewpoint neutral, however, the trademark registration bar need only be reasonable </w:t>
      </w:r>
      <w:proofErr w:type="gramStart"/>
      <w:r w:rsidRPr="009658F4">
        <w:rPr>
          <w:rFonts w:ascii="Georgia" w:hAnsi="Georgia"/>
        </w:rPr>
        <w:t>in light of</w:t>
      </w:r>
      <w:proofErr w:type="gramEnd"/>
      <w:r w:rsidRPr="009658F4">
        <w:rPr>
          <w:rFonts w:ascii="Georgia" w:hAnsi="Georgia"/>
        </w:rPr>
        <w:t xml:space="preserve"> the purpose of the trademark system. Specifically, the trademark registration bar must reasonably serve its purpose of identifying and distinguishing goods for the public. If the challenged provision is both viewpoint neutral and reasonable, then it does not violate the Free Speech Clause.</w:t>
      </w:r>
    </w:p>
    <w:p w14:paraId="1A12FA17" w14:textId="77777777" w:rsidR="00003CD4" w:rsidRPr="009658F4" w:rsidRDefault="00003CD4" w:rsidP="00003CD4">
      <w:pPr>
        <w:pStyle w:val="CntrdNoItal"/>
        <w:rPr>
          <w:rFonts w:ascii="Georgia" w:hAnsi="Georgia"/>
        </w:rPr>
      </w:pPr>
      <w:r w:rsidRPr="009658F4">
        <w:rPr>
          <w:rFonts w:ascii="Georgia" w:hAnsi="Georgia"/>
        </w:rPr>
        <w:t>II</w:t>
      </w:r>
    </w:p>
    <w:p w14:paraId="6510FBE1" w14:textId="77777777" w:rsidR="00003CD4" w:rsidRPr="009658F4" w:rsidRDefault="00003CD4" w:rsidP="00003CD4">
      <w:pPr>
        <w:pStyle w:val="CntrdNoItal"/>
        <w:rPr>
          <w:rFonts w:ascii="Georgia" w:hAnsi="Georgia"/>
        </w:rPr>
      </w:pPr>
      <w:r w:rsidRPr="009658F4">
        <w:rPr>
          <w:rFonts w:ascii="Georgia" w:hAnsi="Georgia"/>
        </w:rPr>
        <w:t>A</w:t>
      </w:r>
    </w:p>
    <w:p w14:paraId="579BC812" w14:textId="1750938F" w:rsidR="00003CD4" w:rsidRPr="009658F4" w:rsidRDefault="00003CD4" w:rsidP="00003CD4">
      <w:pPr>
        <w:rPr>
          <w:rFonts w:ascii="Georgia" w:hAnsi="Georgia"/>
        </w:rPr>
      </w:pPr>
      <w:bookmarkStart w:id="428" w:name="Bookmark_para_92"/>
      <w:bookmarkStart w:id="429" w:name="Bookmark_I4XKV2WJR3R00004CNC00072"/>
      <w:bookmarkStart w:id="430" w:name="Bookmark_I6C86HCB2N1R940050000400"/>
      <w:bookmarkStart w:id="431" w:name="Bookmark_I4XKV2WJW7Y00004CNC00073"/>
      <w:bookmarkStart w:id="432" w:name="Bookmark_I4XKV2WK16D00004CNC00074"/>
      <w:bookmarkStart w:id="433" w:name="Bookmark_I6C86HCB2D6NCS0020000400"/>
      <w:bookmarkStart w:id="434" w:name="Bookmark_I4XKV2WK5P100004CNC00075"/>
      <w:bookmarkStart w:id="435" w:name="Bookmark_I6C86HCC2HM6MP0010000400"/>
      <w:bookmarkEnd w:id="428"/>
      <w:bookmarkEnd w:id="429"/>
      <w:bookmarkEnd w:id="430"/>
      <w:bookmarkEnd w:id="431"/>
      <w:bookmarkEnd w:id="432"/>
      <w:bookmarkEnd w:id="433"/>
      <w:bookmarkEnd w:id="434"/>
      <w:bookmarkEnd w:id="435"/>
      <w:r w:rsidRPr="009658F4">
        <w:rPr>
          <w:rFonts w:ascii="Georgia" w:hAnsi="Georgia"/>
        </w:rPr>
        <w:t xml:space="preserve">This Court has applied strict constitutional scrutiny to viewpoint-neutral content classifications on some occasions, and thus treated them as “presumptively unconstitutional.” </w:t>
      </w:r>
      <w:bookmarkStart w:id="436" w:name="Bookmark_I6C86HCB2N1R940040000400"/>
      <w:bookmarkEnd w:id="436"/>
      <w:r w:rsidRPr="009658F4">
        <w:rPr>
          <w:rFonts w:ascii="Georgia" w:hAnsi="Georgia"/>
          <w:i/>
        </w:rPr>
        <w:t>Reed</w:t>
      </w:r>
      <w:r w:rsidRPr="009658F4">
        <w:rPr>
          <w:rFonts w:ascii="Georgia" w:hAnsi="Georgia"/>
        </w:rPr>
        <w:t xml:space="preserve"> v. </w:t>
      </w:r>
      <w:r w:rsidRPr="009658F4">
        <w:rPr>
          <w:rFonts w:ascii="Georgia" w:hAnsi="Georgia"/>
          <w:i/>
        </w:rPr>
        <w:t>Town of Gilbert</w:t>
      </w:r>
      <w:r w:rsidRPr="009658F4">
        <w:rPr>
          <w:rFonts w:ascii="Georgia" w:hAnsi="Georgia"/>
        </w:rPr>
        <w:t xml:space="preserve">, 576 U. S. 155, 163 (2015). It has declined to do so, however, when any “risk” that such classification “will impermissibly interfere with the marketplace of ideas” is “attenuated”; that is, when “‘there is no realistic possibility that official suppression of ideas is afoot.’” </w:t>
      </w:r>
      <w:bookmarkStart w:id="437" w:name="Bookmark_I6C86HCB2D6NCS0010000400"/>
      <w:bookmarkEnd w:id="437"/>
      <w:r w:rsidRPr="009658F4">
        <w:rPr>
          <w:rFonts w:ascii="Georgia" w:hAnsi="Georgia"/>
          <w:i/>
        </w:rPr>
        <w:t xml:space="preserve">Davenport </w:t>
      </w:r>
      <w:r w:rsidRPr="009658F4">
        <w:rPr>
          <w:rFonts w:ascii="Georgia" w:hAnsi="Georgia"/>
        </w:rPr>
        <w:t xml:space="preserve">v. </w:t>
      </w:r>
      <w:r w:rsidRPr="009658F4">
        <w:rPr>
          <w:rFonts w:ascii="Georgia" w:hAnsi="Georgia"/>
          <w:i/>
        </w:rPr>
        <w:t>Washington Ed. Assn.</w:t>
      </w:r>
      <w:r w:rsidRPr="009658F4">
        <w:rPr>
          <w:rFonts w:ascii="Georgia" w:hAnsi="Georgia"/>
        </w:rPr>
        <w:t xml:space="preserve">, 551 U. S. 177, 188-189 (2007) (quoting </w:t>
      </w:r>
      <w:bookmarkStart w:id="438" w:name="Bookmark_I6C86HCB2D6NCS0030000400"/>
      <w:bookmarkEnd w:id="438"/>
      <w:r w:rsidRPr="009658F4">
        <w:rPr>
          <w:rFonts w:ascii="Georgia" w:hAnsi="Georgia"/>
          <w:i/>
        </w:rPr>
        <w:t>R. A. V.</w:t>
      </w:r>
      <w:r w:rsidRPr="009658F4">
        <w:rPr>
          <w:rFonts w:ascii="Georgia" w:hAnsi="Georgia"/>
        </w:rPr>
        <w:t xml:space="preserve"> v. </w:t>
      </w:r>
      <w:r w:rsidRPr="009658F4">
        <w:rPr>
          <w:rFonts w:ascii="Georgia" w:hAnsi="Georgia"/>
          <w:i/>
        </w:rPr>
        <w:t>St. Paul</w:t>
      </w:r>
      <w:r w:rsidRPr="009658F4">
        <w:rPr>
          <w:rFonts w:ascii="Georgia" w:hAnsi="Georgia"/>
        </w:rPr>
        <w:t xml:space="preserve">, 505 U. S. 377, 390 (1992)). </w:t>
      </w:r>
      <w:bookmarkStart w:id="439" w:name="Bookmark_I6C86HCC2HM6MP0030000400"/>
      <w:bookmarkEnd w:id="439"/>
      <w:r w:rsidRPr="009658F4">
        <w:rPr>
          <w:rFonts w:ascii="Georgia" w:hAnsi="Georgia"/>
        </w:rPr>
        <w:t xml:space="preserve">In those cases, “the difference between viewpoint-based and viewpoint-neutral content discrimination can be decisive.” </w:t>
      </w:r>
      <w:bookmarkStart w:id="440" w:name="Bookmark_I6C86HCB2D6NCS0050000400"/>
      <w:bookmarkEnd w:id="440"/>
      <w:r w:rsidRPr="009658F4">
        <w:rPr>
          <w:rFonts w:ascii="Georgia" w:hAnsi="Georgia"/>
          <w:i/>
        </w:rPr>
        <w:t>Brunetti</w:t>
      </w:r>
      <w:r w:rsidRPr="009658F4">
        <w:rPr>
          <w:rFonts w:ascii="Georgia" w:hAnsi="Georgia"/>
        </w:rPr>
        <w:t xml:space="preserve">, 588 U. S., at 421 (opinion of Sotomayor, J.). </w:t>
      </w:r>
      <w:bookmarkStart w:id="441" w:name="Bookmark_I6C86HCC2HM6MP0030000400_2"/>
      <w:bookmarkEnd w:id="441"/>
      <w:r w:rsidRPr="009658F4">
        <w:rPr>
          <w:rFonts w:ascii="Georgia" w:hAnsi="Georgia"/>
        </w:rPr>
        <w:t>This is such a case: Whereas the denial of trademark registration under viewpoint- and content-based criteria is presumptively unconstitutional under heightened scrutiny, a denial under viewpoint-</w:t>
      </w:r>
      <w:proofErr w:type="gramStart"/>
      <w:r w:rsidRPr="009658F4">
        <w:rPr>
          <w:rFonts w:ascii="Georgia" w:hAnsi="Georgia"/>
        </w:rPr>
        <w:t>neutral,  content</w:t>
      </w:r>
      <w:proofErr w:type="gramEnd"/>
      <w:r w:rsidRPr="009658F4">
        <w:rPr>
          <w:rFonts w:ascii="Georgia" w:hAnsi="Georgia"/>
        </w:rPr>
        <w:t xml:space="preserve">-based criteria is not constitutionally suspect and does not trigger the same exacting scrutiny. See </w:t>
      </w:r>
      <w:bookmarkStart w:id="442" w:name="Bookmark_I6C86HCC2HM6MP0020000400"/>
      <w:bookmarkEnd w:id="442"/>
      <w:r w:rsidRPr="009658F4">
        <w:rPr>
          <w:rFonts w:ascii="Georgia" w:hAnsi="Georgia"/>
          <w:i/>
        </w:rPr>
        <w:t>ante</w:t>
      </w:r>
      <w:r w:rsidRPr="009658F4">
        <w:rPr>
          <w:rFonts w:ascii="Georgia" w:hAnsi="Georgia"/>
        </w:rPr>
        <w:t>, at 3-12 (majority opinion).</w:t>
      </w:r>
    </w:p>
    <w:p w14:paraId="0E573282" w14:textId="093986EE" w:rsidR="00003CD4" w:rsidRPr="009658F4" w:rsidRDefault="00003CD4" w:rsidP="00003CD4">
      <w:pPr>
        <w:rPr>
          <w:rFonts w:ascii="Georgia" w:hAnsi="Georgia"/>
        </w:rPr>
      </w:pPr>
      <w:bookmarkStart w:id="443" w:name="Bookmark_para_93"/>
      <w:bookmarkStart w:id="444" w:name="Bookmark_I6C86HCC2HM6MP0050000400"/>
      <w:bookmarkEnd w:id="443"/>
      <w:bookmarkEnd w:id="444"/>
      <w:r w:rsidRPr="009658F4">
        <w:rPr>
          <w:rFonts w:ascii="Georgia" w:hAnsi="Georgia"/>
        </w:rPr>
        <w:t xml:space="preserve">In explaining </w:t>
      </w:r>
      <w:proofErr w:type="gramStart"/>
      <w:r w:rsidRPr="009658F4">
        <w:rPr>
          <w:rFonts w:ascii="Georgia" w:hAnsi="Georgia"/>
        </w:rPr>
        <w:t>why</w:t>
      </w:r>
      <w:proofErr w:type="gramEnd"/>
      <w:r w:rsidRPr="009658F4">
        <w:rPr>
          <w:rFonts w:ascii="Georgia" w:hAnsi="Georgia"/>
        </w:rPr>
        <w:t xml:space="preserve"> the difference is decisive in this context, the Court and Justice Barrett emphasize that trademarks are inherently content based, yet have long coexisted with the First Amendment. </w:t>
      </w:r>
      <w:bookmarkStart w:id="445" w:name="Bookmark_I6C86HCC2HM6MP0040000400"/>
      <w:bookmarkEnd w:id="445"/>
      <w:r w:rsidRPr="009658F4">
        <w:rPr>
          <w:rFonts w:ascii="Georgia" w:hAnsi="Georgia"/>
          <w:i/>
        </w:rPr>
        <w:t>Ante</w:t>
      </w:r>
      <w:r w:rsidRPr="009658F4">
        <w:rPr>
          <w:rFonts w:ascii="Georgia" w:hAnsi="Georgia"/>
        </w:rPr>
        <w:t xml:space="preserve">, at 6-11 (majority opinion); </w:t>
      </w:r>
      <w:bookmarkStart w:id="446" w:name="Bookmark_I6C86HCC2SF8260010000400"/>
      <w:bookmarkEnd w:id="446"/>
      <w:r w:rsidRPr="009658F4">
        <w:rPr>
          <w:rFonts w:ascii="Georgia" w:hAnsi="Georgia"/>
          <w:i/>
        </w:rPr>
        <w:t>ante</w:t>
      </w:r>
      <w:r w:rsidRPr="009658F4">
        <w:rPr>
          <w:rFonts w:ascii="Georgia" w:hAnsi="Georgia"/>
        </w:rPr>
        <w:t xml:space="preserve">, </w:t>
      </w:r>
      <w:r w:rsidRPr="009658F4">
        <w:rPr>
          <w:rFonts w:ascii="Georgia" w:hAnsi="Georgia"/>
        </w:rPr>
        <w:lastRenderedPageBreak/>
        <w:t xml:space="preserve">at 2-7 (opinion of Barrett, J.). </w:t>
      </w:r>
      <w:bookmarkStart w:id="447" w:name="Bookmark_I6C86HCC2SF8260040000400"/>
      <w:bookmarkEnd w:id="447"/>
      <w:r w:rsidRPr="009658F4">
        <w:rPr>
          <w:rFonts w:ascii="Georgia" w:hAnsi="Georgia"/>
        </w:rPr>
        <w:t xml:space="preserve">I agree with the use of historical evidence to support this point. </w:t>
      </w:r>
      <w:bookmarkStart w:id="448" w:name="Bookmark_I6C86HCC2SF8260040000400_2"/>
      <w:bookmarkEnd w:id="448"/>
      <w:r w:rsidRPr="009658F4">
        <w:rPr>
          <w:rFonts w:ascii="Georgia" w:hAnsi="Georgia"/>
        </w:rPr>
        <w:t xml:space="preserve">History informs the understanding that content-based distinctions are an intrinsic feature of trademarks, and that the marks’ purpose is to identify and distinguish goods for the public. </w:t>
      </w:r>
      <w:bookmarkStart w:id="449" w:name="Bookmark_I4XKV2WK9TX00004CNC00076"/>
      <w:bookmarkStart w:id="450" w:name="Bookmark_I4XKV2WKKXK00004CNC00078"/>
      <w:bookmarkStart w:id="451" w:name="Bookmark_I6C86HCC2N1R960010000400"/>
      <w:bookmarkEnd w:id="449"/>
      <w:bookmarkEnd w:id="450"/>
      <w:bookmarkEnd w:id="451"/>
      <w:r w:rsidRPr="009658F4">
        <w:rPr>
          <w:rFonts w:ascii="Georgia" w:hAnsi="Georgia"/>
        </w:rPr>
        <w:t xml:space="preserve">See </w:t>
      </w:r>
      <w:bookmarkStart w:id="452" w:name="Bookmark_I6C86HCC2SF8260030000400"/>
      <w:bookmarkEnd w:id="452"/>
      <w:r w:rsidRPr="009658F4">
        <w:rPr>
          <w:rFonts w:ascii="Georgia" w:hAnsi="Georgia"/>
          <w:i/>
        </w:rPr>
        <w:t>ante</w:t>
      </w:r>
      <w:r w:rsidRPr="009658F4">
        <w:rPr>
          <w:rFonts w:ascii="Georgia" w:hAnsi="Georgia"/>
        </w:rPr>
        <w:t xml:space="preserve">, at 2-6 (opinion of Barrett, J.). </w:t>
      </w:r>
      <w:bookmarkStart w:id="453" w:name="Bookmark_I6C86HCC2N1R960010000400_2"/>
      <w:bookmarkEnd w:id="453"/>
      <w:r w:rsidRPr="009658F4">
        <w:rPr>
          <w:rFonts w:ascii="Georgia" w:hAnsi="Georgia"/>
        </w:rPr>
        <w:t>That use of history is legitimate and in fact valuable, just as evidence of a longstanding practice of government can inform the meaning of constitutional provisions in appropriate cases. See</w:t>
      </w:r>
      <w:bookmarkStart w:id="454" w:name="Bookmark_I6C86HCC2SF8260050000400"/>
      <w:bookmarkEnd w:id="454"/>
      <w:r w:rsidRPr="009658F4">
        <w:rPr>
          <w:rFonts w:ascii="Georgia" w:hAnsi="Georgia"/>
          <w:i/>
        </w:rPr>
        <w:t xml:space="preserve"> ante</w:t>
      </w:r>
      <w:r w:rsidRPr="009658F4">
        <w:rPr>
          <w:rFonts w:ascii="Georgia" w:hAnsi="Georgia"/>
        </w:rPr>
        <w:t xml:space="preserve">, at 13-15 (opinion of Barrett, J.); cf. </w:t>
      </w:r>
      <w:bookmarkStart w:id="455" w:name="Bookmark_I6C86HCC2N1R960020000400"/>
      <w:bookmarkEnd w:id="455"/>
      <w:r w:rsidRPr="009658F4">
        <w:rPr>
          <w:rFonts w:ascii="Georgia" w:hAnsi="Georgia"/>
          <w:i/>
        </w:rPr>
        <w:t>Consumer Financial Protection Bureau</w:t>
      </w:r>
      <w:r w:rsidRPr="009658F4">
        <w:rPr>
          <w:rFonts w:ascii="Georgia" w:hAnsi="Georgia"/>
        </w:rPr>
        <w:t xml:space="preserve"> v. </w:t>
      </w:r>
      <w:r w:rsidRPr="009658F4">
        <w:rPr>
          <w:rFonts w:ascii="Georgia" w:hAnsi="Georgia"/>
          <w:i/>
        </w:rPr>
        <w:t>Community Financial Services Assn. of America, Ltd.</w:t>
      </w:r>
      <w:r w:rsidRPr="009658F4">
        <w:rPr>
          <w:rFonts w:ascii="Georgia" w:hAnsi="Georgia"/>
        </w:rPr>
        <w:t xml:space="preserve">, 601 U. S. 416, 442 (2024) (Kagan, J., concurring); </w:t>
      </w:r>
      <w:bookmarkStart w:id="456" w:name="Bookmark_I6C86HCC2N1R960040000400"/>
      <w:bookmarkEnd w:id="456"/>
      <w:r w:rsidRPr="009658F4">
        <w:rPr>
          <w:rFonts w:ascii="Georgia" w:hAnsi="Georgia"/>
          <w:i/>
        </w:rPr>
        <w:t>The Pocket Veto Case</w:t>
      </w:r>
      <w:r w:rsidRPr="009658F4">
        <w:rPr>
          <w:rFonts w:ascii="Georgia" w:hAnsi="Georgia"/>
        </w:rPr>
        <w:t xml:space="preserve">, 279 U. S. 655, 689 (1929). </w:t>
      </w:r>
      <w:bookmarkStart w:id="457" w:name="Bookmark_I6C86HCC2HM6MS0020000400"/>
      <w:bookmarkEnd w:id="457"/>
      <w:r w:rsidRPr="009658F4">
        <w:rPr>
          <w:rFonts w:ascii="Georgia" w:hAnsi="Georgia"/>
        </w:rPr>
        <w:t xml:space="preserve">That is not how the five-Justice majority is using history, however. The majority instead treats a disputed (and isolated) account of the history and tradition of the names clause as determinative of its constitutionality. </w:t>
      </w:r>
      <w:bookmarkStart w:id="458" w:name="Bookmark_I6C86HCC2HM6MS0040000400"/>
      <w:bookmarkEnd w:id="458"/>
      <w:r w:rsidRPr="009658F4">
        <w:rPr>
          <w:rFonts w:ascii="Georgia" w:hAnsi="Georgia"/>
        </w:rPr>
        <w:t xml:space="preserve">Cf. </w:t>
      </w:r>
      <w:bookmarkStart w:id="459" w:name="Bookmark_I6C86HCC2HM6MS0010000400"/>
      <w:bookmarkEnd w:id="459"/>
      <w:r w:rsidRPr="009658F4">
        <w:rPr>
          <w:rFonts w:ascii="Georgia" w:hAnsi="Georgia"/>
          <w:i/>
        </w:rPr>
        <w:t>ante</w:t>
      </w:r>
      <w:r w:rsidRPr="009658F4">
        <w:rPr>
          <w:rFonts w:ascii="Georgia" w:hAnsi="Georgia"/>
        </w:rPr>
        <w:t xml:space="preserve">, at 12-20 (applying new history-and-tradition test). </w:t>
      </w:r>
      <w:bookmarkStart w:id="460" w:name="Bookmark_I6C86HCC2HM6MS0040000400_2"/>
      <w:bookmarkEnd w:id="460"/>
      <w:r w:rsidRPr="009658F4">
        <w:rPr>
          <w:rFonts w:ascii="Georgia" w:hAnsi="Georgia"/>
        </w:rPr>
        <w:t xml:space="preserve">It is that “judge-made test” that is unmoored from constitutional text and precedent, and which I repudiate as unhelpful. </w:t>
      </w:r>
      <w:bookmarkStart w:id="461" w:name="Bookmark_I6C86HCC2HM6MS0030000400"/>
      <w:bookmarkEnd w:id="461"/>
      <w:r w:rsidRPr="009658F4">
        <w:rPr>
          <w:rFonts w:ascii="Georgia" w:hAnsi="Georgia"/>
          <w:i/>
        </w:rPr>
        <w:t>Ante</w:t>
      </w:r>
      <w:r w:rsidRPr="009658F4">
        <w:rPr>
          <w:rFonts w:ascii="Georgia" w:hAnsi="Georgia"/>
        </w:rPr>
        <w:t>, at 14 (opinion of Barrett, J.).</w:t>
      </w:r>
    </w:p>
    <w:p w14:paraId="42396225" w14:textId="7EFA11DA" w:rsidR="00003CD4" w:rsidRPr="009658F4" w:rsidRDefault="00003CD4" w:rsidP="00003CD4">
      <w:pPr>
        <w:rPr>
          <w:rFonts w:ascii="Georgia" w:hAnsi="Georgia"/>
        </w:rPr>
      </w:pPr>
      <w:bookmarkStart w:id="462" w:name="Bookmark_para_94"/>
      <w:bookmarkEnd w:id="462"/>
      <w:r w:rsidRPr="009658F4">
        <w:rPr>
          <w:rFonts w:ascii="Georgia" w:hAnsi="Georgia"/>
        </w:rPr>
        <w:t xml:space="preserve">Even then, history does not give us the full story. The assertion that content-based distinctions in trademark law have long played well with the First Amendment, although true, requires a more fulsome explanation, particularly as applied to the trademark registration system. The primary reason why viewpoint-neutral trademark registration criteria easily coexist with the Free Speech Clause is that they do not burden expression. </w:t>
      </w:r>
      <w:bookmarkStart w:id="463" w:name="Bookmark_I4XKV2WN6MM00004CNC0007B"/>
      <w:bookmarkStart w:id="464" w:name="Bookmark_I4XKV2WNC5400004CNC0007C"/>
      <w:bookmarkStart w:id="465" w:name="Bookmark_I6C86HCC2N1R980010000400"/>
      <w:bookmarkEnd w:id="463"/>
      <w:bookmarkEnd w:id="464"/>
      <w:bookmarkEnd w:id="465"/>
      <w:r w:rsidRPr="009658F4">
        <w:rPr>
          <w:rFonts w:ascii="Georgia" w:hAnsi="Georgia"/>
        </w:rPr>
        <w:t xml:space="preserve">Instead, a denial of registration withholds ancillary benefits that might bolster someone’s expression. When a government confers a benefit that supports some forms of expressive activity, the decision to withhold that benefit on viewpoint-neutral grounds “‘cannot be equated with the imposition of a “penalty” on that activity,’” which would trigger heightened scrutiny. </w:t>
      </w:r>
      <w:bookmarkStart w:id="466" w:name="Bookmark_I6C86HCC2HM6MS0050000400"/>
      <w:bookmarkEnd w:id="466"/>
      <w:r w:rsidRPr="009658F4">
        <w:rPr>
          <w:rFonts w:ascii="Georgia" w:hAnsi="Georgia"/>
          <w:i/>
        </w:rPr>
        <w:t>Rust</w:t>
      </w:r>
      <w:r w:rsidRPr="009658F4">
        <w:rPr>
          <w:rFonts w:ascii="Georgia" w:hAnsi="Georgia"/>
        </w:rPr>
        <w:t xml:space="preserve"> v. </w:t>
      </w:r>
      <w:r w:rsidRPr="009658F4">
        <w:rPr>
          <w:rFonts w:ascii="Georgia" w:hAnsi="Georgia"/>
          <w:i/>
        </w:rPr>
        <w:t>Sullivan</w:t>
      </w:r>
      <w:r w:rsidRPr="009658F4">
        <w:rPr>
          <w:rFonts w:ascii="Georgia" w:hAnsi="Georgia"/>
        </w:rPr>
        <w:t xml:space="preserve">, 500 U. S. 173, 193 (1991) (quoting </w:t>
      </w:r>
      <w:bookmarkStart w:id="467" w:name="Bookmark_I6C86HCC2N1R980020000400"/>
      <w:bookmarkEnd w:id="467"/>
      <w:r w:rsidRPr="009658F4">
        <w:rPr>
          <w:rFonts w:ascii="Georgia" w:hAnsi="Georgia"/>
          <w:i/>
        </w:rPr>
        <w:t>Harris</w:t>
      </w:r>
      <w:r w:rsidRPr="009658F4">
        <w:rPr>
          <w:rFonts w:ascii="Georgia" w:hAnsi="Georgia"/>
        </w:rPr>
        <w:t xml:space="preserve"> v. </w:t>
      </w:r>
      <w:r w:rsidRPr="009658F4">
        <w:rPr>
          <w:rFonts w:ascii="Georgia" w:hAnsi="Georgia"/>
          <w:i/>
        </w:rPr>
        <w:t>McRae</w:t>
      </w:r>
      <w:r w:rsidRPr="009658F4">
        <w:rPr>
          <w:rFonts w:ascii="Georgia" w:hAnsi="Georgia"/>
        </w:rPr>
        <w:t>, 448 U. S. 297, 317, n. 19 (1980)).</w:t>
      </w:r>
    </w:p>
    <w:p w14:paraId="2E76F2C5" w14:textId="77777777" w:rsidR="00003CD4" w:rsidRPr="009658F4" w:rsidRDefault="00003CD4" w:rsidP="00003CD4">
      <w:pPr>
        <w:pStyle w:val="CntrdNoItal"/>
        <w:rPr>
          <w:rFonts w:ascii="Georgia" w:hAnsi="Georgia"/>
        </w:rPr>
      </w:pPr>
      <w:r w:rsidRPr="009658F4">
        <w:rPr>
          <w:rFonts w:ascii="Georgia" w:hAnsi="Georgia"/>
        </w:rPr>
        <w:t>1</w:t>
      </w:r>
    </w:p>
    <w:p w14:paraId="244C346D" w14:textId="5A8BDDA4" w:rsidR="00003CD4" w:rsidRPr="009658F4" w:rsidRDefault="00003CD4" w:rsidP="00003CD4">
      <w:pPr>
        <w:rPr>
          <w:rFonts w:ascii="Georgia" w:hAnsi="Georgia"/>
        </w:rPr>
      </w:pPr>
      <w:bookmarkStart w:id="468" w:name="Bookmark_para_95"/>
      <w:bookmarkStart w:id="469" w:name="Bookmark_I4XKV2WNHHJ00004CNC0007D"/>
      <w:bookmarkStart w:id="470" w:name="Bookmark_I6C86HCC2N1R980050000400"/>
      <w:bookmarkStart w:id="471" w:name="Bookmark_I4XKV2WNP5P00004CNC0007F"/>
      <w:bookmarkStart w:id="472" w:name="Bookmark_I6C86HCC28T5240020000400"/>
      <w:bookmarkEnd w:id="468"/>
      <w:bookmarkEnd w:id="469"/>
      <w:bookmarkEnd w:id="470"/>
      <w:bookmarkEnd w:id="471"/>
      <w:bookmarkEnd w:id="472"/>
      <w:r w:rsidRPr="009658F4">
        <w:rPr>
          <w:rFonts w:ascii="Georgia" w:hAnsi="Georgia"/>
        </w:rPr>
        <w:t xml:space="preserve"> “The First Amendment protects the freedom of speech; it does not require the Government to give aid and comfort to those using” particular “modes of expression.” </w:t>
      </w:r>
      <w:bookmarkStart w:id="473" w:name="Bookmark_I6C86HCC2N1R980040000400"/>
      <w:bookmarkEnd w:id="473"/>
      <w:r w:rsidRPr="009658F4">
        <w:rPr>
          <w:rFonts w:ascii="Georgia" w:hAnsi="Georgia"/>
          <w:i/>
        </w:rPr>
        <w:t>Brunetti</w:t>
      </w:r>
      <w:r w:rsidRPr="009658F4">
        <w:rPr>
          <w:rFonts w:ascii="Georgia" w:hAnsi="Georgia"/>
        </w:rPr>
        <w:t xml:space="preserve">, 588 U. S., at 401 (Roberts, C. J., concurring in part and dissenting in part). Indeed, this Court has recognized repeatedly that the First Amendment permits governmental bodies to rely on reasonable, viewpoint-neutral, content-based criteria when deciding to benefit certain communicative activities. See, </w:t>
      </w:r>
      <w:r w:rsidRPr="009658F4">
        <w:rPr>
          <w:rFonts w:ascii="Georgia" w:hAnsi="Georgia"/>
          <w:i/>
        </w:rPr>
        <w:t>e.g.</w:t>
      </w:r>
      <w:r w:rsidRPr="009658F4">
        <w:rPr>
          <w:rFonts w:ascii="Georgia" w:hAnsi="Georgia"/>
        </w:rPr>
        <w:t xml:space="preserve">, </w:t>
      </w:r>
      <w:bookmarkStart w:id="474" w:name="Bookmark_I6C86HCC28T5240010000400"/>
      <w:bookmarkEnd w:id="474"/>
      <w:r w:rsidRPr="009658F4">
        <w:rPr>
          <w:rFonts w:ascii="Georgia" w:hAnsi="Georgia"/>
          <w:i/>
        </w:rPr>
        <w:t>National Endowment for Arts</w:t>
      </w:r>
      <w:r w:rsidRPr="009658F4">
        <w:rPr>
          <w:rFonts w:ascii="Georgia" w:hAnsi="Georgia"/>
        </w:rPr>
        <w:t xml:space="preserve"> v. </w:t>
      </w:r>
      <w:r w:rsidRPr="009658F4">
        <w:rPr>
          <w:rFonts w:ascii="Georgia" w:hAnsi="Georgia"/>
          <w:i/>
        </w:rPr>
        <w:t>Finley</w:t>
      </w:r>
      <w:r w:rsidRPr="009658F4">
        <w:rPr>
          <w:rFonts w:ascii="Georgia" w:hAnsi="Georgia"/>
        </w:rPr>
        <w:t>, 524 U. S. 569, 587-588 (1998) (“[T]he Government may allocate competitive funding according to criteria that would be impermissible were direct regulation of speech or a criminal penalty at stake”).</w:t>
      </w:r>
    </w:p>
    <w:p w14:paraId="1A8410AB" w14:textId="77777777" w:rsidR="00003CD4" w:rsidRPr="009658F4" w:rsidRDefault="00003CD4" w:rsidP="00003CD4">
      <w:pPr>
        <w:rPr>
          <w:rFonts w:ascii="Georgia" w:hAnsi="Georgia"/>
        </w:rPr>
      </w:pPr>
      <w:bookmarkStart w:id="475" w:name="Bookmark_para_96"/>
      <w:bookmarkStart w:id="476" w:name="Bookmark_I4XKV2WNV6T00004CNC0007G"/>
      <w:bookmarkStart w:id="477" w:name="Bookmark_I6C86HCC28T5240040000400"/>
      <w:bookmarkStart w:id="478" w:name="Bookmark_I6C86HCD2N1R9B0050000400"/>
      <w:bookmarkStart w:id="479" w:name="Bookmark_I4XKV2WP0TC00004CNC0007H"/>
      <w:bookmarkStart w:id="480" w:name="Bookmark_I6C86HCD2N1R9B0010000400"/>
      <w:bookmarkEnd w:id="475"/>
      <w:bookmarkEnd w:id="476"/>
      <w:bookmarkEnd w:id="477"/>
      <w:bookmarkEnd w:id="478"/>
      <w:bookmarkEnd w:id="479"/>
      <w:bookmarkEnd w:id="480"/>
      <w:r w:rsidRPr="009658F4">
        <w:rPr>
          <w:rFonts w:ascii="Georgia" w:hAnsi="Georgia"/>
        </w:rPr>
        <w:t>. . . .</w:t>
      </w:r>
    </w:p>
    <w:p w14:paraId="57802625" w14:textId="77777777" w:rsidR="00003CD4" w:rsidRPr="009658F4" w:rsidRDefault="00003CD4" w:rsidP="00003CD4">
      <w:pPr>
        <w:pStyle w:val="CntrdNoItal"/>
        <w:rPr>
          <w:rFonts w:ascii="Georgia" w:hAnsi="Georgia"/>
        </w:rPr>
      </w:pPr>
      <w:r w:rsidRPr="009658F4">
        <w:rPr>
          <w:rFonts w:ascii="Georgia" w:hAnsi="Georgia"/>
        </w:rPr>
        <w:t>2</w:t>
      </w:r>
    </w:p>
    <w:p w14:paraId="6A4431DB" w14:textId="42C2C9C0" w:rsidR="00003CD4" w:rsidRPr="009658F4" w:rsidRDefault="00003CD4" w:rsidP="00003CD4">
      <w:pPr>
        <w:rPr>
          <w:rFonts w:ascii="Georgia" w:hAnsi="Georgia"/>
        </w:rPr>
      </w:pPr>
      <w:bookmarkStart w:id="481" w:name="Bookmark_para_98"/>
      <w:bookmarkEnd w:id="481"/>
      <w:r w:rsidRPr="009658F4">
        <w:rPr>
          <w:rFonts w:ascii="Georgia" w:hAnsi="Georgia"/>
        </w:rPr>
        <w:lastRenderedPageBreak/>
        <w:t>Someone with a federally registered mark enjoys certain benefits by virtue of that registration. Even so, free speech is not abridged when these benefits are denied to someone based on reasonable, viewpoint-neutral criteria.</w:t>
      </w:r>
    </w:p>
    <w:p w14:paraId="55398549" w14:textId="45C2972D" w:rsidR="00003CD4" w:rsidRPr="009658F4" w:rsidRDefault="00003CD4" w:rsidP="00003CD4">
      <w:pPr>
        <w:rPr>
          <w:rFonts w:ascii="Georgia" w:hAnsi="Georgia"/>
        </w:rPr>
      </w:pPr>
      <w:bookmarkStart w:id="482" w:name="Bookmark_para_99"/>
      <w:bookmarkStart w:id="483" w:name="Bookmark_I6C86HCF2SF82F0030000400"/>
      <w:bookmarkEnd w:id="482"/>
      <w:bookmarkEnd w:id="483"/>
      <w:r w:rsidRPr="009658F4">
        <w:rPr>
          <w:rFonts w:ascii="Georgia" w:hAnsi="Georgia"/>
        </w:rPr>
        <w:t xml:space="preserve">Consider three basic tenets of trademark law, each of which the Court rightly acknowledges. </w:t>
      </w:r>
      <w:bookmarkStart w:id="484" w:name="Bookmark_I4XKV2WRTNM00004CNC0007Y"/>
      <w:bookmarkStart w:id="485" w:name="Bookmark_I6C86HCF2SF82F0050000400"/>
      <w:bookmarkEnd w:id="484"/>
      <w:bookmarkEnd w:id="485"/>
      <w:r w:rsidRPr="009658F4">
        <w:rPr>
          <w:rFonts w:ascii="Georgia" w:hAnsi="Georgia"/>
        </w:rPr>
        <w:t xml:space="preserve">See </w:t>
      </w:r>
      <w:bookmarkStart w:id="486" w:name="Bookmark_I6C86HCF2SF82F0020000400"/>
      <w:bookmarkEnd w:id="486"/>
      <w:r w:rsidRPr="009658F4">
        <w:rPr>
          <w:rFonts w:ascii="Georgia" w:hAnsi="Georgia"/>
          <w:i/>
        </w:rPr>
        <w:t>ante,</w:t>
      </w:r>
      <w:r w:rsidRPr="009658F4">
        <w:rPr>
          <w:rFonts w:ascii="Georgia" w:hAnsi="Georgia"/>
        </w:rPr>
        <w:t xml:space="preserve"> at 1-2. </w:t>
      </w:r>
      <w:bookmarkStart w:id="487" w:name="Bookmark_I4XKV2WS4TR00004CNC00081"/>
      <w:bookmarkStart w:id="488" w:name="Bookmark_I6C86HCF2SF82G0020000400"/>
      <w:bookmarkEnd w:id="487"/>
      <w:bookmarkEnd w:id="488"/>
      <w:r w:rsidRPr="009658F4">
        <w:rPr>
          <w:rFonts w:ascii="Georgia" w:hAnsi="Georgia"/>
        </w:rPr>
        <w:t xml:space="preserve">First, “every trademark’s ‘primary’ function” is to tell the public who is responsible for a particular product, that is, to serve as a source identifier. </w:t>
      </w:r>
      <w:bookmarkStart w:id="489" w:name="Bookmark_I6C86HCF2SF82G0020000400_2"/>
      <w:bookmarkStart w:id="490" w:name="Bookmark_I6C86HCF2SF82F0050000400_2"/>
      <w:bookmarkStart w:id="491" w:name="Bookmark_I4XKV2WSFK400004CNC00083"/>
      <w:bookmarkStart w:id="492" w:name="Bookmark_I6C86HCF2SF82G0040000400"/>
      <w:bookmarkStart w:id="493" w:name="Bookmark_I6C86HCF2SF82F0040000400"/>
      <w:bookmarkEnd w:id="489"/>
      <w:bookmarkEnd w:id="490"/>
      <w:bookmarkEnd w:id="491"/>
      <w:bookmarkEnd w:id="492"/>
      <w:bookmarkEnd w:id="493"/>
      <w:r w:rsidRPr="009658F4">
        <w:rPr>
          <w:rFonts w:ascii="Georgia" w:hAnsi="Georgia"/>
          <w:i/>
        </w:rPr>
        <w:t>Jack Daniel’s Properties, Inc.</w:t>
      </w:r>
      <w:r w:rsidRPr="009658F4">
        <w:rPr>
          <w:rFonts w:ascii="Georgia" w:hAnsi="Georgia"/>
        </w:rPr>
        <w:t xml:space="preserve"> v. </w:t>
      </w:r>
      <w:r w:rsidRPr="009658F4">
        <w:rPr>
          <w:rFonts w:ascii="Georgia" w:hAnsi="Georgia"/>
          <w:i/>
        </w:rPr>
        <w:t>VIP Products LLC</w:t>
      </w:r>
      <w:r w:rsidRPr="009658F4">
        <w:rPr>
          <w:rFonts w:ascii="Georgia" w:hAnsi="Georgia"/>
        </w:rPr>
        <w:t xml:space="preserve">, 599 U. S. 140, 146 (2023). </w:t>
      </w:r>
      <w:bookmarkStart w:id="494" w:name="Bookmark_I6C86HCF2SF82G0040000400_2"/>
      <w:bookmarkEnd w:id="494"/>
      <w:r w:rsidRPr="009658F4">
        <w:rPr>
          <w:rFonts w:ascii="Georgia" w:hAnsi="Georgia"/>
        </w:rPr>
        <w:t xml:space="preserve">Although trademarks may also communicate a “message,” that message is only incidental to “what a trademark is and does.” </w:t>
      </w:r>
      <w:bookmarkStart w:id="495" w:name="Bookmark_I6C86HCF2SF82G0010000400"/>
      <w:bookmarkEnd w:id="495"/>
      <w:r w:rsidRPr="009658F4">
        <w:rPr>
          <w:rFonts w:ascii="Georgia" w:hAnsi="Georgia"/>
          <w:i/>
        </w:rPr>
        <w:t>Id</w:t>
      </w:r>
      <w:r w:rsidRPr="009658F4">
        <w:rPr>
          <w:rFonts w:ascii="Georgia" w:hAnsi="Georgia"/>
        </w:rPr>
        <w:t xml:space="preserve">., at 145-146. </w:t>
      </w:r>
      <w:bookmarkStart w:id="496" w:name="Bookmark_I6C86HCF2SF82G0040000400_3"/>
      <w:bookmarkEnd w:id="496"/>
      <w:r w:rsidRPr="009658F4">
        <w:rPr>
          <w:rFonts w:ascii="Georgia" w:hAnsi="Georgia"/>
        </w:rPr>
        <w:t xml:space="preserve">Second, “federal law does not create trademarks.” </w:t>
      </w:r>
      <w:bookmarkStart w:id="497" w:name="Bookmark_I6C86HCF2SF82G0030000400"/>
      <w:bookmarkEnd w:id="497"/>
      <w:r w:rsidRPr="009658F4">
        <w:rPr>
          <w:rFonts w:ascii="Georgia" w:hAnsi="Georgia"/>
          <w:i/>
        </w:rPr>
        <w:t>B&amp;B Hardware</w:t>
      </w:r>
      <w:r w:rsidRPr="009658F4">
        <w:rPr>
          <w:rFonts w:ascii="Georgia" w:hAnsi="Georgia"/>
        </w:rPr>
        <w:t xml:space="preserve">, </w:t>
      </w:r>
      <w:r w:rsidRPr="009658F4">
        <w:rPr>
          <w:rFonts w:ascii="Georgia" w:hAnsi="Georgia"/>
          <w:i/>
        </w:rPr>
        <w:t>Inc.</w:t>
      </w:r>
      <w:r w:rsidRPr="009658F4">
        <w:rPr>
          <w:rFonts w:ascii="Georgia" w:hAnsi="Georgia"/>
        </w:rPr>
        <w:t xml:space="preserve"> v. </w:t>
      </w:r>
      <w:r w:rsidRPr="009658F4">
        <w:rPr>
          <w:rFonts w:ascii="Georgia" w:hAnsi="Georgia"/>
          <w:i/>
        </w:rPr>
        <w:t>Hargis Industries</w:t>
      </w:r>
      <w:r w:rsidRPr="009658F4">
        <w:rPr>
          <w:rFonts w:ascii="Georgia" w:hAnsi="Georgia"/>
        </w:rPr>
        <w:t>,</w:t>
      </w:r>
      <w:r w:rsidRPr="009658F4">
        <w:rPr>
          <w:rFonts w:ascii="Georgia" w:hAnsi="Georgia"/>
          <w:i/>
        </w:rPr>
        <w:t xml:space="preserve"> Inc</w:t>
      </w:r>
      <w:r w:rsidRPr="009658F4">
        <w:rPr>
          <w:rFonts w:ascii="Georgia" w:hAnsi="Georgia"/>
        </w:rPr>
        <w:t xml:space="preserve">., 575 U. S. 138, 142 (2015). </w:t>
      </w:r>
      <w:bookmarkStart w:id="498" w:name="Bookmark_I6C86HCF2D6ND30010000400"/>
      <w:bookmarkEnd w:id="498"/>
      <w:r w:rsidRPr="009658F4">
        <w:rPr>
          <w:rFonts w:ascii="Georgia" w:hAnsi="Georgia"/>
        </w:rPr>
        <w:t>Rather, by virtue of common law, the first person to use a “distinct mark in commerce . . . acquires rights to that mark,” including exclusivity rights to “</w:t>
      </w:r>
      <w:proofErr w:type="spellStart"/>
      <w:r w:rsidRPr="009658F4">
        <w:rPr>
          <w:rFonts w:ascii="Georgia" w:hAnsi="Georgia"/>
        </w:rPr>
        <w:t>preven</w:t>
      </w:r>
      <w:proofErr w:type="spellEnd"/>
      <w:r w:rsidRPr="009658F4">
        <w:rPr>
          <w:rFonts w:ascii="Georgia" w:hAnsi="Georgia"/>
        </w:rPr>
        <w:t xml:space="preserve">[t] others from using the mark.” </w:t>
      </w:r>
      <w:r w:rsidRPr="009658F4">
        <w:rPr>
          <w:rFonts w:ascii="Georgia" w:hAnsi="Georgia"/>
          <w:i/>
        </w:rPr>
        <w:t>Ibid</w:t>
      </w:r>
      <w:r w:rsidRPr="009658F4">
        <w:rPr>
          <w:rFonts w:ascii="Georgia" w:hAnsi="Georgia"/>
        </w:rPr>
        <w:t xml:space="preserve">. Third, federal registration provides increased trademark protection only by conferring additional benefits on trademark holders. See </w:t>
      </w:r>
      <w:r w:rsidRPr="009658F4">
        <w:rPr>
          <w:rFonts w:ascii="Georgia" w:hAnsi="Georgia"/>
          <w:i/>
        </w:rPr>
        <w:t>ibid.</w:t>
      </w:r>
      <w:r w:rsidRPr="009658F4">
        <w:rPr>
          <w:rFonts w:ascii="Georgia" w:hAnsi="Georgia"/>
        </w:rPr>
        <w:t xml:space="preserve"> For example, it (1) provides “nationwide constructive notice of the registrant’s claim of ownership of the mark,” which forecloses some defenses in infringement actions; and (2) constitutes “prima facie evidence” of the mark’s validity and exclusivity in commerce. </w:t>
      </w:r>
      <w:bookmarkStart w:id="499" w:name="Bookmark_I6C86HCF2SF82G0050000400"/>
      <w:bookmarkEnd w:id="499"/>
      <w:r w:rsidRPr="009658F4">
        <w:rPr>
          <w:rFonts w:ascii="Georgia" w:hAnsi="Georgia"/>
          <w:i/>
        </w:rPr>
        <w:t>Ante</w:t>
      </w:r>
      <w:r w:rsidRPr="009658F4">
        <w:rPr>
          <w:rFonts w:ascii="Georgia" w:hAnsi="Georgia"/>
        </w:rPr>
        <w:t>, at 2 (citing 15 U. S. C. §§1072, 1115(a)). To be sure, nothing in the Constitution requires these predominantly commercial benefits.</w:t>
      </w:r>
    </w:p>
    <w:p w14:paraId="1ABB1C7C" w14:textId="552E7DAD" w:rsidR="00003CD4" w:rsidRPr="009658F4" w:rsidRDefault="00003CD4" w:rsidP="00003CD4">
      <w:pPr>
        <w:rPr>
          <w:rFonts w:ascii="Georgia" w:hAnsi="Georgia"/>
        </w:rPr>
      </w:pPr>
      <w:bookmarkStart w:id="500" w:name="Bookmark_para_100"/>
      <w:bookmarkStart w:id="501" w:name="Bookmark_I4XKV2WSXVR00004CNC00086"/>
      <w:bookmarkStart w:id="502" w:name="Bookmark_I6C86HCF2D6ND30030000400"/>
      <w:bookmarkStart w:id="503" w:name="Bookmark_I4XKV2WT3CG00004CNC00087"/>
      <w:bookmarkStart w:id="504" w:name="Bookmark_I4XKV2WT7FK00004CNC00088"/>
      <w:bookmarkStart w:id="505" w:name="Bookmark_I4XKV2WTD2H00004CNC00089"/>
      <w:bookmarkStart w:id="506" w:name="Bookmark_I6C86HCF2D6ND30050000400"/>
      <w:bookmarkEnd w:id="500"/>
      <w:bookmarkEnd w:id="501"/>
      <w:bookmarkEnd w:id="502"/>
      <w:bookmarkEnd w:id="503"/>
      <w:bookmarkEnd w:id="504"/>
      <w:bookmarkEnd w:id="505"/>
      <w:bookmarkEnd w:id="506"/>
      <w:r w:rsidRPr="009658F4">
        <w:rPr>
          <w:rFonts w:ascii="Georgia" w:hAnsi="Georgia"/>
        </w:rPr>
        <w:t xml:space="preserve">One conclusion follows from these three principles: By prohibiting trademark registration for viewpoint-neutral, content-based reasons, Congress simply denies an applicant the opportunity to include his mark on a list and secure “certain benefits” that are “useful in infringement litigation.” </w:t>
      </w:r>
      <w:bookmarkStart w:id="507" w:name="Bookmark_I6C86HCF2D6ND30020000400"/>
      <w:bookmarkEnd w:id="507"/>
      <w:r w:rsidRPr="009658F4">
        <w:rPr>
          <w:rFonts w:ascii="Georgia" w:hAnsi="Georgia"/>
          <w:i/>
        </w:rPr>
        <w:t>Jack Daniel’s</w:t>
      </w:r>
      <w:r w:rsidRPr="009658F4">
        <w:rPr>
          <w:rFonts w:ascii="Georgia" w:hAnsi="Georgia"/>
        </w:rPr>
        <w:t xml:space="preserve">, 599 U. S., at 146. The risk of speech suppression is therefore “attenuated” because denying a trademark holder these ancillary benefits does not prevent him from using his mark in commerce or communicating any message incidental to the mark. </w:t>
      </w:r>
      <w:bookmarkStart w:id="508" w:name="Bookmark_I6C86HCF2D6ND30040000400"/>
      <w:bookmarkEnd w:id="508"/>
      <w:r w:rsidRPr="009658F4">
        <w:rPr>
          <w:rFonts w:ascii="Georgia" w:hAnsi="Georgia"/>
          <w:i/>
        </w:rPr>
        <w:t>Davenport</w:t>
      </w:r>
      <w:r w:rsidRPr="009658F4">
        <w:rPr>
          <w:rFonts w:ascii="Georgia" w:hAnsi="Georgia"/>
        </w:rPr>
        <w:t xml:space="preserve">, 551 U. S., at 188; see </w:t>
      </w:r>
      <w:bookmarkStart w:id="509" w:name="Bookmark_I6C86HCF28T5290010000400"/>
      <w:bookmarkEnd w:id="509"/>
      <w:r w:rsidRPr="009658F4">
        <w:rPr>
          <w:rFonts w:ascii="Georgia" w:hAnsi="Georgia"/>
          <w:i/>
        </w:rPr>
        <w:t>Brunetti</w:t>
      </w:r>
      <w:r w:rsidRPr="009658F4">
        <w:rPr>
          <w:rFonts w:ascii="Georgia" w:hAnsi="Georgia"/>
        </w:rPr>
        <w:t xml:space="preserve">, 588 U. S., at 421-422 (opinion of Sotomayor, J.); </w:t>
      </w:r>
      <w:bookmarkStart w:id="510" w:name="Bookmark_I6C86HCF28T5290030000400"/>
      <w:bookmarkEnd w:id="510"/>
      <w:r w:rsidRPr="009658F4">
        <w:rPr>
          <w:rFonts w:ascii="Georgia" w:hAnsi="Georgia"/>
          <w:i/>
        </w:rPr>
        <w:t>id</w:t>
      </w:r>
      <w:r w:rsidRPr="009658F4">
        <w:rPr>
          <w:rFonts w:ascii="Georgia" w:hAnsi="Georgia"/>
        </w:rPr>
        <w:t>., at 401 (opinion of Roberts, C. J.) (“Whether . . . marks can be registered does not affect the extent to which their owners may use them in commerce to identify goods. No speech is being restricted; no one is being punished. The owners of such marks are merely denied certain additional benefits associated with federal trademark registration”).</w:t>
      </w:r>
    </w:p>
    <w:p w14:paraId="17408828" w14:textId="77777777" w:rsidR="00003CD4" w:rsidRPr="009658F4" w:rsidRDefault="00003CD4" w:rsidP="00003CD4">
      <w:pPr>
        <w:pStyle w:val="CntrdNoItal"/>
        <w:rPr>
          <w:rFonts w:ascii="Georgia" w:hAnsi="Georgia"/>
        </w:rPr>
      </w:pPr>
      <w:r w:rsidRPr="009658F4">
        <w:rPr>
          <w:rFonts w:ascii="Georgia" w:hAnsi="Georgia"/>
        </w:rPr>
        <w:t>B</w:t>
      </w:r>
    </w:p>
    <w:p w14:paraId="21B42878" w14:textId="73983800" w:rsidR="00003CD4" w:rsidRPr="009658F4" w:rsidRDefault="00003CD4" w:rsidP="00003CD4">
      <w:pPr>
        <w:rPr>
          <w:rFonts w:ascii="Georgia" w:hAnsi="Georgia"/>
        </w:rPr>
      </w:pPr>
      <w:bookmarkStart w:id="511" w:name="Bookmark_para_101"/>
      <w:bookmarkStart w:id="512" w:name="Bookmark_I4XKV2WTJHH00004CNC0008B"/>
      <w:bookmarkStart w:id="513" w:name="Bookmark_I6C86HCF2HM6N10010000400"/>
      <w:bookmarkEnd w:id="511"/>
      <w:bookmarkEnd w:id="512"/>
      <w:bookmarkEnd w:id="513"/>
      <w:r w:rsidRPr="009658F4">
        <w:rPr>
          <w:rFonts w:ascii="Georgia" w:hAnsi="Georgia"/>
        </w:rPr>
        <w:t>Now consider the facts of this case. Respondent Steve Elster wants to sell shirts with the phrase TRUMP TOO SMALL on them. He also wants increased trademark protection by federally registering the phrase. In the registration request, Elster explained that the phrase “invokes a memorable exchange between President Trump and Senator Marco Rubio from a 2016 presidential primary debate, and aims to ‘</w:t>
      </w:r>
      <w:proofErr w:type="gramStart"/>
      <w:r w:rsidRPr="009658F4">
        <w:rPr>
          <w:rFonts w:ascii="Georgia" w:hAnsi="Georgia"/>
        </w:rPr>
        <w:t>convey[</w:t>
      </w:r>
      <w:proofErr w:type="gramEnd"/>
      <w:r w:rsidRPr="009658F4">
        <w:rPr>
          <w:rFonts w:ascii="Georgia" w:hAnsi="Georgia"/>
        </w:rPr>
        <w:t xml:space="preserve"> ] that some features of President Trump and his </w:t>
      </w:r>
      <w:r w:rsidRPr="009658F4">
        <w:rPr>
          <w:rFonts w:ascii="Georgia" w:hAnsi="Georgia"/>
        </w:rPr>
        <w:lastRenderedPageBreak/>
        <w:t xml:space="preserve">policies are diminutive.’” </w:t>
      </w:r>
      <w:bookmarkStart w:id="514" w:name="Bookmark_I6C86HCF28T5290050000400"/>
      <w:bookmarkEnd w:id="514"/>
      <w:r w:rsidRPr="009658F4">
        <w:rPr>
          <w:rFonts w:ascii="Georgia" w:hAnsi="Georgia"/>
          <w:i/>
        </w:rPr>
        <w:t>In re Elster</w:t>
      </w:r>
      <w:r w:rsidRPr="009658F4">
        <w:rPr>
          <w:rFonts w:ascii="Georgia" w:hAnsi="Georgia"/>
        </w:rPr>
        <w:t>, 26 F. 4th 1328, 1330 (CA Fed. 2022) (alteration in original).</w:t>
      </w:r>
    </w:p>
    <w:p w14:paraId="17815771" w14:textId="31A95641" w:rsidR="00003CD4" w:rsidRPr="009658F4" w:rsidRDefault="00003CD4" w:rsidP="00003CD4">
      <w:pPr>
        <w:rPr>
          <w:rFonts w:ascii="Georgia" w:hAnsi="Georgia"/>
        </w:rPr>
      </w:pPr>
      <w:bookmarkStart w:id="515" w:name="Bookmark_para_102"/>
      <w:bookmarkEnd w:id="515"/>
      <w:r w:rsidRPr="009658F4">
        <w:rPr>
          <w:rFonts w:ascii="Georgia" w:hAnsi="Georgia"/>
        </w:rPr>
        <w:t>When the U. S. Patent and Trademark Office rejected the registration request, it denied Elster the opportunity to secure the Government-bestowed benefits associated with registration. Critically, the denial did not prevent Elster from communicating his message. It also did not restrict his preferred mode of expression. Elster can still sell shirts displaying the same message. Elster could also use a different phrase (such as ELSTER APPAREL) as a source identifier to obtain the desired benefits of registration while continuing to sell shirts with his preferred message across the front. See Tr. of Oral Arg. 23-24 (discussing “Elster Apparel” example). Put simply, the denial only barred Elster from registering a mark asserting exclusive rights in another person’s name without their written consent.</w:t>
      </w:r>
    </w:p>
    <w:p w14:paraId="58044757" w14:textId="77777777" w:rsidR="00003CD4" w:rsidRPr="009658F4" w:rsidRDefault="00003CD4" w:rsidP="00003CD4">
      <w:pPr>
        <w:pStyle w:val="CntrdNoItal"/>
        <w:rPr>
          <w:rFonts w:ascii="Georgia" w:hAnsi="Georgia"/>
        </w:rPr>
      </w:pPr>
      <w:r w:rsidRPr="009658F4">
        <w:rPr>
          <w:rFonts w:ascii="Georgia" w:hAnsi="Georgia"/>
        </w:rPr>
        <w:t>III</w:t>
      </w:r>
    </w:p>
    <w:p w14:paraId="3731C4C6" w14:textId="77777777" w:rsidR="00003CD4" w:rsidRPr="009658F4" w:rsidRDefault="00003CD4" w:rsidP="00003CD4">
      <w:pPr>
        <w:pStyle w:val="CntrdNoItal"/>
        <w:rPr>
          <w:rFonts w:ascii="Georgia" w:hAnsi="Georgia"/>
        </w:rPr>
      </w:pPr>
      <w:r w:rsidRPr="009658F4">
        <w:rPr>
          <w:rFonts w:ascii="Georgia" w:hAnsi="Georgia"/>
        </w:rPr>
        <w:t>A</w:t>
      </w:r>
    </w:p>
    <w:p w14:paraId="0B56B68D" w14:textId="485ED800" w:rsidR="00003CD4" w:rsidRPr="009658F4" w:rsidRDefault="00003CD4" w:rsidP="00003CD4">
      <w:pPr>
        <w:rPr>
          <w:rFonts w:ascii="Georgia" w:hAnsi="Georgia"/>
        </w:rPr>
      </w:pPr>
      <w:bookmarkStart w:id="516" w:name="Bookmark_para_103"/>
      <w:bookmarkStart w:id="517" w:name="Bookmark_I4XKV2WTR2T00004CNC0008C"/>
      <w:bookmarkStart w:id="518" w:name="Bookmark_I6C86HCF2HM6N10030000400"/>
      <w:bookmarkEnd w:id="516"/>
      <w:bookmarkEnd w:id="517"/>
      <w:bookmarkEnd w:id="518"/>
      <w:r w:rsidRPr="009658F4">
        <w:rPr>
          <w:rFonts w:ascii="Georgia" w:hAnsi="Georgia"/>
        </w:rPr>
        <w:t xml:space="preserve">Because trademark registration criteria limit statutory benefits in a necessarily content-based scheme, the First Amendment requires the criteria to be viewpoint neutral and reasonable. </w:t>
      </w:r>
      <w:bookmarkStart w:id="519" w:name="Bookmark_I6C86HCF2SF82H0020000400"/>
      <w:bookmarkStart w:id="520" w:name="Bookmark_I6C86HCF2HM6N10020000400"/>
      <w:bookmarkEnd w:id="519"/>
      <w:bookmarkEnd w:id="520"/>
      <w:r w:rsidRPr="009658F4">
        <w:rPr>
          <w:rFonts w:ascii="Georgia" w:hAnsi="Georgia"/>
          <w:i/>
        </w:rPr>
        <w:t>Supra</w:t>
      </w:r>
      <w:r w:rsidRPr="009658F4">
        <w:rPr>
          <w:rFonts w:ascii="Georgia" w:hAnsi="Georgia"/>
        </w:rPr>
        <w:t xml:space="preserve">, at 5-9; </w:t>
      </w:r>
      <w:bookmarkStart w:id="521" w:name="Bookmark_I6C86HCF2HM6N10040000400"/>
      <w:bookmarkEnd w:id="521"/>
      <w:r w:rsidRPr="009658F4">
        <w:rPr>
          <w:rFonts w:ascii="Georgia" w:hAnsi="Georgia"/>
          <w:i/>
        </w:rPr>
        <w:t>Brunetti</w:t>
      </w:r>
      <w:r w:rsidRPr="009658F4">
        <w:rPr>
          <w:rFonts w:ascii="Georgia" w:hAnsi="Georgia"/>
        </w:rPr>
        <w:t xml:space="preserve">, 588 U. S., at 424 (opinion of Sotomayor, J.). From this Court’s analogous nonpublic-forum and limited-public-forum cases, </w:t>
      </w:r>
      <w:proofErr w:type="gramStart"/>
      <w:r w:rsidRPr="009658F4">
        <w:rPr>
          <w:rFonts w:ascii="Georgia" w:hAnsi="Georgia"/>
        </w:rPr>
        <w:t>it is clear that “reasonable”</w:t>
      </w:r>
      <w:proofErr w:type="gramEnd"/>
      <w:r w:rsidRPr="009658F4">
        <w:rPr>
          <w:rFonts w:ascii="Georgia" w:hAnsi="Georgia"/>
        </w:rPr>
        <w:t xml:space="preserve"> means that the challenged provision must reasonably serve the purpose of the content-based scheme. </w:t>
      </w:r>
      <w:bookmarkStart w:id="522" w:name="Bookmark_I6C86HCF2SF82H0020000400_2"/>
      <w:bookmarkEnd w:id="522"/>
      <w:r w:rsidRPr="009658F4">
        <w:rPr>
          <w:rFonts w:ascii="Georgia" w:hAnsi="Georgia"/>
        </w:rPr>
        <w:t xml:space="preserve">On this point, I agree with Justice Barrett that the challenged trademark registration criteria must be “reasonable in light of the trademark system’s purpose of facilitating source identification.” </w:t>
      </w:r>
      <w:bookmarkStart w:id="523" w:name="Bookmark_I6C86HCF2SF82H0010000400"/>
      <w:bookmarkEnd w:id="523"/>
      <w:r w:rsidRPr="009658F4">
        <w:rPr>
          <w:rFonts w:ascii="Georgia" w:hAnsi="Georgia"/>
          <w:i/>
        </w:rPr>
        <w:t>Ante</w:t>
      </w:r>
      <w:r w:rsidRPr="009658F4">
        <w:rPr>
          <w:rFonts w:ascii="Georgia" w:hAnsi="Georgia"/>
        </w:rPr>
        <w:t xml:space="preserve">, at 2; see </w:t>
      </w:r>
      <w:bookmarkStart w:id="524" w:name="Bookmark_I6C86HCF2SF82H0030000400"/>
      <w:bookmarkEnd w:id="524"/>
      <w:r w:rsidRPr="009658F4">
        <w:rPr>
          <w:rFonts w:ascii="Georgia" w:hAnsi="Georgia"/>
          <w:i/>
        </w:rPr>
        <w:t>ante</w:t>
      </w:r>
      <w:r w:rsidRPr="009658F4">
        <w:rPr>
          <w:rFonts w:ascii="Georgia" w:hAnsi="Georgia"/>
        </w:rPr>
        <w:t>, at 7-9.</w:t>
      </w:r>
    </w:p>
    <w:p w14:paraId="18A5F1CD" w14:textId="7991506A" w:rsidR="00003CD4" w:rsidRPr="009658F4" w:rsidRDefault="00003CD4" w:rsidP="00003CD4">
      <w:pPr>
        <w:rPr>
          <w:rFonts w:ascii="Georgia" w:hAnsi="Georgia"/>
        </w:rPr>
      </w:pPr>
      <w:bookmarkStart w:id="525" w:name="Bookmark_para_104"/>
      <w:bookmarkStart w:id="526" w:name="Bookmark_I4XKV2WTX8900004CNC0008D"/>
      <w:bookmarkStart w:id="527" w:name="Bookmark_I4XKV2WV2FJ00004CNC0008F"/>
      <w:bookmarkStart w:id="528" w:name="Bookmark_I6C86HCF2N1R9G0010000400"/>
      <w:bookmarkStart w:id="529" w:name="Bookmark_I4XKV2WV70Y00004CNC0008G"/>
      <w:bookmarkStart w:id="530" w:name="Bookmark_I6C86HCF2N1R9G0050000400"/>
      <w:bookmarkEnd w:id="525"/>
      <w:bookmarkEnd w:id="526"/>
      <w:bookmarkEnd w:id="527"/>
      <w:bookmarkEnd w:id="528"/>
      <w:bookmarkEnd w:id="529"/>
      <w:bookmarkEnd w:id="530"/>
      <w:r w:rsidRPr="009658F4">
        <w:rPr>
          <w:rFonts w:ascii="Georgia" w:hAnsi="Georgia"/>
        </w:rPr>
        <w:t xml:space="preserve">In </w:t>
      </w:r>
      <w:bookmarkStart w:id="531" w:name="Bookmark_I6C86HCF2SF82H0050000400"/>
      <w:bookmarkEnd w:id="531"/>
      <w:r w:rsidRPr="009658F4">
        <w:rPr>
          <w:rFonts w:ascii="Georgia" w:hAnsi="Georgia"/>
          <w:i/>
        </w:rPr>
        <w:t>Cornelius</w:t>
      </w:r>
      <w:bookmarkStart w:id="532" w:name="Bookmark_I4XKV2WVC8300004CNC0008H"/>
      <w:bookmarkStart w:id="533" w:name="Bookmark_I6C86HCF2D6ND40020000400"/>
      <w:bookmarkEnd w:id="532"/>
      <w:bookmarkEnd w:id="533"/>
      <w:r w:rsidRPr="009658F4">
        <w:rPr>
          <w:rFonts w:ascii="Georgia" w:hAnsi="Georgia"/>
        </w:rPr>
        <w:t xml:space="preserve">, for example, the Court confronted a free-speech challenge to the Government’s decision to exclude “legal defense and political advocacy organizations from participation in the Combined Federal Campaign (CFC or Campaign), a charity drive aimed at federal employees.” </w:t>
      </w:r>
      <w:bookmarkStart w:id="534" w:name="Bookmark_I6C86HCF2N1R9G0020000400"/>
      <w:bookmarkEnd w:id="534"/>
      <w:r w:rsidRPr="009658F4">
        <w:rPr>
          <w:rFonts w:ascii="Georgia" w:hAnsi="Georgia"/>
        </w:rPr>
        <w:t xml:space="preserve">473 U. S., at 790. </w:t>
      </w:r>
      <w:bookmarkStart w:id="535" w:name="Bookmark_I4XKV2WVNC200004CNC0008K"/>
      <w:bookmarkStart w:id="536" w:name="Bookmark_I6C86HCF2D6ND40040000400"/>
      <w:bookmarkEnd w:id="535"/>
      <w:bookmarkEnd w:id="536"/>
      <w:r w:rsidRPr="009658F4">
        <w:rPr>
          <w:rFonts w:ascii="Georgia" w:hAnsi="Georgia"/>
        </w:rPr>
        <w:t xml:space="preserve">After concluding that the CFC was a nonpublic forum “not dedicated to general debate or the free exchange of ideas,” the Court held that the First Amendment permits content- and speaker-based “distinctions” so long as they are “reasonable in light of the purpose served by the forum and are viewpoint neutral.” </w:t>
      </w:r>
      <w:bookmarkStart w:id="537" w:name="Bookmark_I6C86HCF2N1R9G0040000400"/>
      <w:bookmarkEnd w:id="537"/>
      <w:r w:rsidRPr="009658F4">
        <w:rPr>
          <w:rFonts w:ascii="Georgia" w:hAnsi="Georgia"/>
          <w:i/>
        </w:rPr>
        <w:t>Id</w:t>
      </w:r>
      <w:r w:rsidRPr="009658F4">
        <w:rPr>
          <w:rFonts w:ascii="Georgia" w:hAnsi="Georgia"/>
        </w:rPr>
        <w:t xml:space="preserve">., at 806, 811. </w:t>
      </w:r>
      <w:bookmarkStart w:id="538" w:name="Bookmark_I6C86HCF2D6ND40040000400_2"/>
      <w:bookmarkStart w:id="539" w:name="Bookmark_I6C86HCF2D6ND40020000400_2"/>
      <w:bookmarkEnd w:id="538"/>
      <w:bookmarkEnd w:id="539"/>
      <w:r w:rsidRPr="009658F4">
        <w:rPr>
          <w:rFonts w:ascii="Georgia" w:hAnsi="Georgia"/>
        </w:rPr>
        <w:t xml:space="preserve">Importantly, the “decision to restrict access . . . need not be the most reasonable or the only reasonable limitation.” </w:t>
      </w:r>
      <w:bookmarkStart w:id="540" w:name="Bookmark_I6C86HCF2D6ND40010000400"/>
      <w:bookmarkEnd w:id="540"/>
      <w:r w:rsidRPr="009658F4">
        <w:rPr>
          <w:rFonts w:ascii="Georgia" w:hAnsi="Georgia"/>
          <w:i/>
        </w:rPr>
        <w:t>Id.</w:t>
      </w:r>
      <w:r w:rsidRPr="009658F4">
        <w:rPr>
          <w:rFonts w:ascii="Georgia" w:hAnsi="Georgia"/>
        </w:rPr>
        <w:t>, at 808-809. Based on this test, the Court ultimately concluded that the Government acted reasonably, and consistent with the Free Speech Clause, in “limit[</w:t>
      </w:r>
      <w:proofErr w:type="spellStart"/>
      <w:r w:rsidRPr="009658F4">
        <w:rPr>
          <w:rFonts w:ascii="Georgia" w:hAnsi="Georgia"/>
        </w:rPr>
        <w:t>ing</w:t>
      </w:r>
      <w:proofErr w:type="spellEnd"/>
      <w:r w:rsidRPr="009658F4">
        <w:rPr>
          <w:rFonts w:ascii="Georgia" w:hAnsi="Georgia"/>
        </w:rPr>
        <w:t xml:space="preserve">] participation in the CFC in order to minimize disruption to the federal workplace, to ensure the success of the fundraising effort, or to avoid the appearance of political favoritism without regard to the viewpoint of the excluded groups.” </w:t>
      </w:r>
      <w:bookmarkStart w:id="541" w:name="Bookmark_I6C86HCF2D6ND40030000400"/>
      <w:bookmarkEnd w:id="541"/>
      <w:r w:rsidRPr="009658F4">
        <w:rPr>
          <w:rFonts w:ascii="Georgia" w:hAnsi="Georgia"/>
          <w:i/>
        </w:rPr>
        <w:t>Id</w:t>
      </w:r>
      <w:r w:rsidRPr="009658F4">
        <w:rPr>
          <w:rFonts w:ascii="Georgia" w:hAnsi="Georgia"/>
        </w:rPr>
        <w:t>., at 813.</w:t>
      </w:r>
    </w:p>
    <w:p w14:paraId="313A1041" w14:textId="56C6D93C" w:rsidR="00003CD4" w:rsidRPr="009658F4" w:rsidRDefault="00003CD4" w:rsidP="00003CD4">
      <w:pPr>
        <w:rPr>
          <w:rFonts w:ascii="Georgia" w:hAnsi="Georgia"/>
        </w:rPr>
      </w:pPr>
      <w:bookmarkStart w:id="542" w:name="Bookmark_para_105"/>
      <w:bookmarkStart w:id="543" w:name="Bookmark_I6C86HCF28T52B0010000400"/>
      <w:bookmarkEnd w:id="542"/>
      <w:bookmarkEnd w:id="543"/>
      <w:r w:rsidRPr="009658F4">
        <w:rPr>
          <w:rFonts w:ascii="Georgia" w:hAnsi="Georgia"/>
        </w:rPr>
        <w:lastRenderedPageBreak/>
        <w:t xml:space="preserve">Justice Thomas (joined by two Justices) rejects this test, implying that it is subjective because it supposedly turns on what a given judge might think is reasonable. </w:t>
      </w:r>
      <w:bookmarkStart w:id="544" w:name="Bookmark_I4XKV2WVYBV00004CNC0008N"/>
      <w:bookmarkStart w:id="545" w:name="Bookmark_I6C86HCF28T52B0030000400"/>
      <w:bookmarkStart w:id="546" w:name="Bookmark_I6C86HCF2D6ND40050000400"/>
      <w:bookmarkEnd w:id="544"/>
      <w:bookmarkEnd w:id="545"/>
      <w:bookmarkEnd w:id="546"/>
      <w:r w:rsidRPr="009658F4">
        <w:rPr>
          <w:rFonts w:ascii="Georgia" w:hAnsi="Georgia"/>
          <w:i/>
        </w:rPr>
        <w:t>Ante</w:t>
      </w:r>
      <w:r w:rsidRPr="009658F4">
        <w:rPr>
          <w:rFonts w:ascii="Georgia" w:hAnsi="Georgia"/>
        </w:rPr>
        <w:t xml:space="preserve">, at 20. That statement misunderstands the inquiry. </w:t>
      </w:r>
      <w:bookmarkStart w:id="547" w:name="Bookmark_I6C86HCF28T52B0030000400_2"/>
      <w:bookmarkStart w:id="548" w:name="Bookmark_I6C86HCF28T52B0050000400"/>
      <w:bookmarkEnd w:id="547"/>
      <w:bookmarkEnd w:id="548"/>
      <w:r w:rsidRPr="009658F4">
        <w:rPr>
          <w:rFonts w:ascii="Georgia" w:hAnsi="Georgia"/>
        </w:rPr>
        <w:t xml:space="preserve">As just discussed, a trademark registration condition is reasonable if it serves as a source identifier, a concept that is familiar to anyone who has worked on a trademark case. See </w:t>
      </w:r>
      <w:bookmarkStart w:id="549" w:name="Bookmark_I6C86HCF28T52B0020000400"/>
      <w:bookmarkEnd w:id="549"/>
      <w:r w:rsidRPr="009658F4">
        <w:rPr>
          <w:rFonts w:ascii="Georgia" w:hAnsi="Georgia"/>
          <w:i/>
        </w:rPr>
        <w:t>Jack Daniel’s</w:t>
      </w:r>
      <w:r w:rsidRPr="009658F4">
        <w:rPr>
          <w:rFonts w:ascii="Georgia" w:hAnsi="Georgia"/>
        </w:rPr>
        <w:t xml:space="preserve">, 599 U. S., at 146; 1 J. McCarthy, Trademarks and Unfair Competition §3:1 (5th ed. 2023). </w:t>
      </w:r>
      <w:bookmarkStart w:id="550" w:name="Bookmark_I6C86HCF28T52B0050000400_2"/>
      <w:bookmarkEnd w:id="550"/>
      <w:r w:rsidRPr="009658F4">
        <w:rPr>
          <w:rFonts w:ascii="Georgia" w:hAnsi="Georgia"/>
        </w:rPr>
        <w:t xml:space="preserve">More generally, this kind of reasonableness inquiry appears in every limited public (or nonpublic) forum case. Far from being subjective and unworkable, this kind of test goes to the very core of what judges and lawyers do every day. When contrasted to their preferred history-driven approach, the criticism of the reasonableness inquiry is even more unpersuasive. As discussed above, the history-and-tradition approach is not just flawed as a matter of first principles, but also highly indeterminate and unfamiliar to judges and litigants in this area of the law. See </w:t>
      </w:r>
      <w:bookmarkStart w:id="551" w:name="Bookmark_I6C86HCF28T52B0040000400"/>
      <w:bookmarkEnd w:id="551"/>
      <w:r w:rsidRPr="009658F4">
        <w:rPr>
          <w:rFonts w:ascii="Georgia" w:hAnsi="Georgia"/>
          <w:i/>
        </w:rPr>
        <w:t>supra</w:t>
      </w:r>
      <w:r w:rsidRPr="009658F4">
        <w:rPr>
          <w:rFonts w:ascii="Georgia" w:hAnsi="Georgia"/>
        </w:rPr>
        <w:t xml:space="preserve">, at 3-5. </w:t>
      </w:r>
      <w:bookmarkStart w:id="552" w:name="Bookmark_I6C86HCF2SF82J0020000400"/>
      <w:bookmarkEnd w:id="552"/>
      <w:r w:rsidRPr="009658F4">
        <w:rPr>
          <w:rFonts w:ascii="Georgia" w:hAnsi="Georgia"/>
        </w:rPr>
        <w:t xml:space="preserve">How much history is enough to clear the historical analogue bar the five-Justice majority set up? What does that look like in this context? When it comes to subjectivity, their preferred approach empowers judges to pick their friends in a crowded party. See </w:t>
      </w:r>
      <w:bookmarkStart w:id="553" w:name="Bookmark_I6C86HCF2SF82J0010000400"/>
      <w:bookmarkEnd w:id="553"/>
      <w:r w:rsidRPr="009658F4">
        <w:rPr>
          <w:rFonts w:ascii="Georgia" w:hAnsi="Georgia"/>
          <w:i/>
        </w:rPr>
        <w:t>supra</w:t>
      </w:r>
      <w:r w:rsidRPr="009658F4">
        <w:rPr>
          <w:rFonts w:ascii="Georgia" w:hAnsi="Georgia"/>
        </w:rPr>
        <w:t xml:space="preserve">, at 4. When faced with the two options, I choose the test that is rooted in this Court’s First Amendment doctrine and precedent, is attuned to what judges and lawyers are properly trained to </w:t>
      </w:r>
      <w:proofErr w:type="gramStart"/>
      <w:r w:rsidRPr="009658F4">
        <w:rPr>
          <w:rFonts w:ascii="Georgia" w:hAnsi="Georgia"/>
        </w:rPr>
        <w:t>do, and</w:t>
      </w:r>
      <w:proofErr w:type="gramEnd"/>
      <w:r w:rsidRPr="009658F4">
        <w:rPr>
          <w:rFonts w:ascii="Georgia" w:hAnsi="Georgia"/>
        </w:rPr>
        <w:t xml:space="preserve"> does not limit Congress from dealing with modern-day conditions based on the foresight of yesterday’s generation.</w:t>
      </w:r>
    </w:p>
    <w:p w14:paraId="1B8E4BBB" w14:textId="77777777" w:rsidR="00003CD4" w:rsidRPr="009658F4" w:rsidRDefault="00003CD4" w:rsidP="00003CD4">
      <w:pPr>
        <w:pStyle w:val="CntrdNoItal"/>
        <w:rPr>
          <w:rFonts w:ascii="Georgia" w:hAnsi="Georgia"/>
        </w:rPr>
      </w:pPr>
      <w:r w:rsidRPr="009658F4">
        <w:rPr>
          <w:rFonts w:ascii="Georgia" w:hAnsi="Georgia"/>
        </w:rPr>
        <w:t>B</w:t>
      </w:r>
    </w:p>
    <w:p w14:paraId="3CFC0EAA" w14:textId="2588ADD6" w:rsidR="00003CD4" w:rsidRPr="009658F4" w:rsidRDefault="00003CD4" w:rsidP="00003CD4">
      <w:pPr>
        <w:rPr>
          <w:rFonts w:ascii="Georgia" w:hAnsi="Georgia"/>
        </w:rPr>
      </w:pPr>
      <w:bookmarkStart w:id="554" w:name="Bookmark_para_106"/>
      <w:bookmarkStart w:id="555" w:name="Bookmark_I6C86HCF2SF82J0040000400"/>
      <w:bookmarkEnd w:id="554"/>
      <w:bookmarkEnd w:id="555"/>
      <w:r w:rsidRPr="009658F4">
        <w:rPr>
          <w:rFonts w:ascii="Georgia" w:hAnsi="Georgia"/>
        </w:rPr>
        <w:t xml:space="preserve"> “Content-based criteria for trademark registration do not abridge the right to free speech so long as they reasonably relate to the preservation of the </w:t>
      </w:r>
      <w:proofErr w:type="spellStart"/>
      <w:r w:rsidRPr="009658F4">
        <w:rPr>
          <w:rFonts w:ascii="Georgia" w:hAnsi="Georgia"/>
        </w:rPr>
        <w:t>markowner’s</w:t>
      </w:r>
      <w:proofErr w:type="spellEnd"/>
      <w:r w:rsidRPr="009658F4">
        <w:rPr>
          <w:rFonts w:ascii="Georgia" w:hAnsi="Georgia"/>
        </w:rPr>
        <w:t xml:space="preserve"> goodwill and the prevention of consumer confusion,” “goals” that a “particular restriction will serve . . . if it helps ensure that registered marks actually function as source identifiers.” </w:t>
      </w:r>
      <w:bookmarkStart w:id="556" w:name="Bookmark_I6C86HCF2SF82J0030000400"/>
      <w:bookmarkEnd w:id="556"/>
      <w:r w:rsidRPr="009658F4">
        <w:rPr>
          <w:rFonts w:ascii="Georgia" w:hAnsi="Georgia"/>
          <w:i/>
        </w:rPr>
        <w:t>Ante</w:t>
      </w:r>
      <w:r w:rsidRPr="009658F4">
        <w:rPr>
          <w:rFonts w:ascii="Georgia" w:hAnsi="Georgia"/>
        </w:rPr>
        <w:t>, at 8 (opinion of Barrett, J.) The names clause easily passes this reasonableness test. Source identification is, after all, at the heart of what the names clause does.</w:t>
      </w:r>
    </w:p>
    <w:p w14:paraId="2CCB5F68" w14:textId="0781B8D2" w:rsidR="00003CD4" w:rsidRPr="009658F4" w:rsidRDefault="00003CD4" w:rsidP="00003CD4">
      <w:pPr>
        <w:rPr>
          <w:rFonts w:ascii="Georgia" w:hAnsi="Georgia"/>
        </w:rPr>
      </w:pPr>
      <w:bookmarkStart w:id="557" w:name="Bookmark_para_107"/>
      <w:bookmarkEnd w:id="557"/>
      <w:r w:rsidRPr="009658F4">
        <w:rPr>
          <w:rFonts w:ascii="Georgia" w:hAnsi="Georgia"/>
        </w:rPr>
        <w:t>Imagine someone who wants to manufacture and sell the best bats and catchers’ mitts in baseball. Unsurprisingly, that person wants to use the names of Derek Jeter and Jorge Posada to capitalize on their goodwill to promote the products. So, the manufacturer lands on JETER OUT OF THE PARK and CATCH LIKE POSADA as marks. The names clause bars registration of these phrases without the named individuals’ written consent. It does so for good reason: Jeter and Posada may not want consumers to misattribute these products to them, just as consumers may not want to buy products under the false pretense that these goods somehow are connected to the players.</w:t>
      </w:r>
      <w:r w:rsidRPr="009658F4">
        <w:rPr>
          <w:rFonts w:ascii="Georgia" w:hAnsi="Georgia"/>
          <w:vertAlign w:val="superscript"/>
        </w:rPr>
        <w:footnoteReference w:customMarkFollows="1" w:id="10"/>
        <w:t>3</w:t>
      </w:r>
      <w:r w:rsidRPr="009658F4">
        <w:rPr>
          <w:rFonts w:ascii="Georgia" w:hAnsi="Georgia"/>
        </w:rPr>
        <w:t xml:space="preserve"> Source identification is especially </w:t>
      </w:r>
      <w:r w:rsidRPr="009658F4">
        <w:rPr>
          <w:rFonts w:ascii="Georgia" w:hAnsi="Georgia"/>
        </w:rPr>
        <w:lastRenderedPageBreak/>
        <w:t>important when, for example, the named individual produces similar products—say, Jeter and Posada sell their own baseball goods under the marks MR. NOVEMBER BATS BY JETER and CHAMP’S MITTS BY POSADA. They would not want manufacturers to dilute the commercial value of their name and reputation. Nor would Jeter and Posada want a Boston Red Sox fan to manufacture cheaper goods and use their names to promote second-rate products. The names clause prevents that from happening.</w:t>
      </w:r>
    </w:p>
    <w:p w14:paraId="1117F5D8" w14:textId="169C0E1C" w:rsidR="00003CD4" w:rsidRPr="009658F4" w:rsidRDefault="00003CD4" w:rsidP="00003CD4">
      <w:pPr>
        <w:rPr>
          <w:rFonts w:ascii="Georgia" w:hAnsi="Georgia"/>
        </w:rPr>
      </w:pPr>
      <w:bookmarkStart w:id="561" w:name="Bookmark_para_108"/>
      <w:bookmarkStart w:id="562" w:name="Bookmark_I4XKV2WW8WF00004CNC0008R"/>
      <w:bookmarkStart w:id="563" w:name="Bookmark_I4XKV2WWG9000004CNC0008S"/>
      <w:bookmarkStart w:id="564" w:name="Bookmark_I6C86HCF2N1R9H0030000400"/>
      <w:bookmarkEnd w:id="561"/>
      <w:bookmarkEnd w:id="562"/>
      <w:bookmarkEnd w:id="563"/>
      <w:bookmarkEnd w:id="564"/>
      <w:r w:rsidRPr="009658F4">
        <w:rPr>
          <w:rFonts w:ascii="Georgia" w:hAnsi="Georgia"/>
        </w:rPr>
        <w:t xml:space="preserve">Congress was entitled to make this legislative judgment. The Government, after all, “has a reasonable interest in refraining from lending its ancillary support to marks” that use an </w:t>
      </w:r>
      <w:proofErr w:type="spellStart"/>
      <w:r w:rsidRPr="009658F4">
        <w:rPr>
          <w:rFonts w:ascii="Georgia" w:hAnsi="Georgia"/>
        </w:rPr>
        <w:t>unconsenting</w:t>
      </w:r>
      <w:proofErr w:type="spellEnd"/>
      <w:r w:rsidRPr="009658F4">
        <w:rPr>
          <w:rFonts w:ascii="Georgia" w:hAnsi="Georgia"/>
        </w:rPr>
        <w:t xml:space="preserve"> individual’s name for commercial gain. </w:t>
      </w:r>
      <w:bookmarkStart w:id="565" w:name="Bookmark_I6C86HCF2N1R9H0020000400"/>
      <w:bookmarkEnd w:id="565"/>
      <w:r w:rsidRPr="009658F4">
        <w:rPr>
          <w:rFonts w:ascii="Georgia" w:hAnsi="Georgia"/>
          <w:i/>
        </w:rPr>
        <w:t>Brunetti</w:t>
      </w:r>
      <w:r w:rsidRPr="009658F4">
        <w:rPr>
          <w:rFonts w:ascii="Georgia" w:hAnsi="Georgia"/>
        </w:rPr>
        <w:t xml:space="preserve">, 588 U. S., at 425 (opinion of Sotomayor, J.); cf. </w:t>
      </w:r>
      <w:bookmarkStart w:id="566" w:name="Bookmark_I6C86HCF2N1R9H0040000400"/>
      <w:bookmarkEnd w:id="566"/>
      <w:r w:rsidRPr="009658F4">
        <w:rPr>
          <w:rFonts w:ascii="Georgia" w:hAnsi="Georgia"/>
          <w:i/>
        </w:rPr>
        <w:t>id</w:t>
      </w:r>
      <w:r w:rsidRPr="009658F4">
        <w:rPr>
          <w:rFonts w:ascii="Georgia" w:hAnsi="Georgia"/>
        </w:rPr>
        <w:t>., at 401 (opinion of Roberts, C. J.) (“The Government, meanwhile, has an interest in not associating itself with trademarks whose content is obscene, vulgar, or profane”). In sum, the names clause is constitutional because it is a viewpoint-neutral, reasonable limitation on a trademark’s registration.</w:t>
      </w:r>
    </w:p>
    <w:p w14:paraId="5F3F29DF" w14:textId="77777777" w:rsidR="00003CD4" w:rsidRPr="009658F4" w:rsidRDefault="00003CD4" w:rsidP="00003CD4">
      <w:pPr>
        <w:pStyle w:val="CntrdNoItal"/>
        <w:rPr>
          <w:rFonts w:ascii="Georgia" w:hAnsi="Georgia"/>
        </w:rPr>
      </w:pPr>
      <w:r w:rsidRPr="009658F4">
        <w:rPr>
          <w:rFonts w:ascii="Georgia" w:hAnsi="Georgia"/>
        </w:rPr>
        <w:t>***</w:t>
      </w:r>
    </w:p>
    <w:p w14:paraId="15363804" w14:textId="7BD5F606" w:rsidR="00003CD4" w:rsidRPr="009658F4" w:rsidRDefault="00003CD4" w:rsidP="00003CD4">
      <w:pPr>
        <w:rPr>
          <w:rFonts w:ascii="Georgia" w:hAnsi="Georgia"/>
        </w:rPr>
      </w:pPr>
      <w:bookmarkStart w:id="567" w:name="Bookmark_para_109"/>
      <w:bookmarkStart w:id="568" w:name="Bookmark_I6C86HCF2D6ND50020000400"/>
      <w:bookmarkStart w:id="569" w:name="Bookmark_I6C86HCF2D6ND50040000400"/>
      <w:bookmarkEnd w:id="567"/>
      <w:bookmarkEnd w:id="568"/>
      <w:bookmarkEnd w:id="569"/>
      <w:r w:rsidRPr="009658F4">
        <w:rPr>
          <w:rFonts w:ascii="Georgia" w:hAnsi="Georgia"/>
        </w:rPr>
        <w:t xml:space="preserve">The Court’s “decision today is narrow,” and its history-and-tradition test is good only for “the relatively simple case before us today.” </w:t>
      </w:r>
      <w:bookmarkStart w:id="570" w:name="Bookmark_I6C86HCF2D6ND50010000400"/>
      <w:bookmarkEnd w:id="570"/>
      <w:r w:rsidRPr="009658F4">
        <w:rPr>
          <w:rFonts w:ascii="Georgia" w:hAnsi="Georgia"/>
          <w:i/>
        </w:rPr>
        <w:t>Ante,</w:t>
      </w:r>
      <w:r w:rsidRPr="009658F4">
        <w:rPr>
          <w:rFonts w:ascii="Georgia" w:hAnsi="Georgia"/>
        </w:rPr>
        <w:t xml:space="preserve"> at 20, 22. Ultimately, all nine Justices agree that Congress can innovate when it comes to trademark law, and we further agree that nothing in today’s opinion calls into question the constitutionality of viewpoint-neutral provisions lacking a historical pedigree. See </w:t>
      </w:r>
      <w:r w:rsidRPr="009658F4">
        <w:rPr>
          <w:rFonts w:ascii="Georgia" w:hAnsi="Georgia"/>
          <w:i/>
        </w:rPr>
        <w:t>ibid.</w:t>
      </w:r>
      <w:r w:rsidRPr="009658F4">
        <w:rPr>
          <w:rFonts w:ascii="Georgia" w:hAnsi="Georgia"/>
        </w:rPr>
        <w:t xml:space="preserve">; </w:t>
      </w:r>
      <w:bookmarkStart w:id="571" w:name="Bookmark_I6C86HCF2D6ND50030000400"/>
      <w:bookmarkEnd w:id="571"/>
      <w:r w:rsidRPr="009658F4">
        <w:rPr>
          <w:rFonts w:ascii="Georgia" w:hAnsi="Georgia"/>
          <w:i/>
        </w:rPr>
        <w:t>ante</w:t>
      </w:r>
      <w:r w:rsidRPr="009658F4">
        <w:rPr>
          <w:rFonts w:ascii="Georgia" w:hAnsi="Georgia"/>
        </w:rPr>
        <w:t xml:space="preserve">, at 1 (Kavanaugh, J., concurring in part); </w:t>
      </w:r>
      <w:bookmarkStart w:id="572" w:name="Bookmark_I6C86HCF2D6ND50050000400"/>
      <w:bookmarkEnd w:id="572"/>
      <w:r w:rsidRPr="009658F4">
        <w:rPr>
          <w:rFonts w:ascii="Georgia" w:hAnsi="Georgia"/>
          <w:i/>
        </w:rPr>
        <w:t>ante</w:t>
      </w:r>
      <w:r w:rsidRPr="009658F4">
        <w:rPr>
          <w:rFonts w:ascii="Georgia" w:hAnsi="Georgia"/>
        </w:rPr>
        <w:t xml:space="preserve">, at 1-2 (opinion of Barrett, J.); </w:t>
      </w:r>
      <w:bookmarkStart w:id="573" w:name="Bookmark_I6C86HCF28T52C0020000400"/>
      <w:bookmarkEnd w:id="573"/>
      <w:r w:rsidRPr="009658F4">
        <w:rPr>
          <w:rFonts w:ascii="Georgia" w:hAnsi="Georgia"/>
          <w:i/>
        </w:rPr>
        <w:t>supra</w:t>
      </w:r>
      <w:r w:rsidRPr="009658F4">
        <w:rPr>
          <w:rFonts w:ascii="Georgia" w:hAnsi="Georgia"/>
        </w:rPr>
        <w:t>, at 3-6.</w:t>
      </w:r>
    </w:p>
    <w:p w14:paraId="5C0FA96C" w14:textId="5A4C4AAD" w:rsidR="00003CD4" w:rsidRPr="009658F4" w:rsidRDefault="00003CD4" w:rsidP="00003CD4">
      <w:pPr>
        <w:rPr>
          <w:rFonts w:ascii="Georgia" w:hAnsi="Georgia"/>
        </w:rPr>
      </w:pPr>
      <w:bookmarkStart w:id="574" w:name="Bookmark_para_110"/>
      <w:bookmarkEnd w:id="574"/>
      <w:r w:rsidRPr="009658F4">
        <w:rPr>
          <w:rFonts w:ascii="Georgia" w:hAnsi="Georgia"/>
        </w:rPr>
        <w:t>For the reasons set forth above, I respectfully concur in the judgment.</w:t>
      </w:r>
    </w:p>
    <w:p w14:paraId="009E263B" w14:textId="77777777" w:rsidR="00EB3DF5" w:rsidRPr="009658F4" w:rsidRDefault="00EB3DF5">
      <w:pPr>
        <w:rPr>
          <w:rFonts w:ascii="Georgia" w:hAnsi="Georgia"/>
        </w:rPr>
      </w:pPr>
    </w:p>
    <w:sectPr w:rsidR="00EB3DF5" w:rsidRPr="009658F4" w:rsidSect="009658F4">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0D5D4" w14:textId="77777777" w:rsidR="00182E42" w:rsidRDefault="00182E42" w:rsidP="00003CD4">
      <w:pPr>
        <w:spacing w:after="0" w:line="240" w:lineRule="auto"/>
      </w:pPr>
      <w:r>
        <w:separator/>
      </w:r>
    </w:p>
  </w:endnote>
  <w:endnote w:type="continuationSeparator" w:id="0">
    <w:p w14:paraId="576CE2BD" w14:textId="77777777" w:rsidR="00182E42" w:rsidRDefault="00182E42" w:rsidP="0000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9361934"/>
      <w:docPartObj>
        <w:docPartGallery w:val="Page Numbers (Bottom of Page)"/>
        <w:docPartUnique/>
      </w:docPartObj>
    </w:sdtPr>
    <w:sdtContent>
      <w:sdt>
        <w:sdtPr>
          <w:id w:val="1728636285"/>
          <w:docPartObj>
            <w:docPartGallery w:val="Page Numbers (Top of Page)"/>
            <w:docPartUnique/>
          </w:docPartObj>
        </w:sdtPr>
        <w:sdtContent>
          <w:p w14:paraId="1F04848F" w14:textId="73037946" w:rsidR="009658F4" w:rsidRDefault="009658F4">
            <w:pPr>
              <w:pStyle w:val="Footer"/>
              <w:jc w:val="center"/>
            </w:pPr>
            <w:r w:rsidRPr="009658F4">
              <w:rPr>
                <w:rFonts w:ascii="Georgia" w:hAnsi="Georgia"/>
              </w:rPr>
              <w:t xml:space="preserve">Page </w:t>
            </w:r>
            <w:r w:rsidRPr="009658F4">
              <w:rPr>
                <w:rFonts w:ascii="Georgia" w:hAnsi="Georgia"/>
                <w:sz w:val="24"/>
                <w:szCs w:val="24"/>
              </w:rPr>
              <w:fldChar w:fldCharType="begin"/>
            </w:r>
            <w:r w:rsidRPr="009658F4">
              <w:rPr>
                <w:rFonts w:ascii="Georgia" w:hAnsi="Georgia"/>
              </w:rPr>
              <w:instrText xml:space="preserve"> PAGE </w:instrText>
            </w:r>
            <w:r w:rsidRPr="009658F4">
              <w:rPr>
                <w:rFonts w:ascii="Georgia" w:hAnsi="Georgia"/>
                <w:sz w:val="24"/>
                <w:szCs w:val="24"/>
              </w:rPr>
              <w:fldChar w:fldCharType="separate"/>
            </w:r>
            <w:r w:rsidRPr="009658F4">
              <w:rPr>
                <w:rFonts w:ascii="Georgia" w:hAnsi="Georgia"/>
                <w:noProof/>
              </w:rPr>
              <w:t>2</w:t>
            </w:r>
            <w:r w:rsidRPr="009658F4">
              <w:rPr>
                <w:rFonts w:ascii="Georgia" w:hAnsi="Georgia"/>
                <w:sz w:val="24"/>
                <w:szCs w:val="24"/>
              </w:rPr>
              <w:fldChar w:fldCharType="end"/>
            </w:r>
            <w:r w:rsidRPr="009658F4">
              <w:rPr>
                <w:rFonts w:ascii="Georgia" w:hAnsi="Georgia"/>
              </w:rPr>
              <w:t xml:space="preserve"> of </w:t>
            </w:r>
            <w:r w:rsidRPr="009658F4">
              <w:rPr>
                <w:rFonts w:ascii="Georgia" w:hAnsi="Georgia"/>
                <w:sz w:val="24"/>
                <w:szCs w:val="24"/>
              </w:rPr>
              <w:fldChar w:fldCharType="begin"/>
            </w:r>
            <w:r w:rsidRPr="009658F4">
              <w:rPr>
                <w:rFonts w:ascii="Georgia" w:hAnsi="Georgia"/>
              </w:rPr>
              <w:instrText xml:space="preserve"> NUMPAGES  </w:instrText>
            </w:r>
            <w:r w:rsidRPr="009658F4">
              <w:rPr>
                <w:rFonts w:ascii="Georgia" w:hAnsi="Georgia"/>
                <w:sz w:val="24"/>
                <w:szCs w:val="24"/>
              </w:rPr>
              <w:fldChar w:fldCharType="separate"/>
            </w:r>
            <w:r w:rsidRPr="009658F4">
              <w:rPr>
                <w:rFonts w:ascii="Georgia" w:hAnsi="Georgia"/>
                <w:noProof/>
              </w:rPr>
              <w:t>2</w:t>
            </w:r>
            <w:r w:rsidRPr="009658F4">
              <w:rPr>
                <w:rFonts w:ascii="Georgia" w:hAnsi="Georgia"/>
                <w:sz w:val="24"/>
                <w:szCs w:val="24"/>
              </w:rPr>
              <w:fldChar w:fldCharType="end"/>
            </w:r>
          </w:p>
        </w:sdtContent>
      </w:sdt>
    </w:sdtContent>
  </w:sdt>
  <w:p w14:paraId="1A0D012B" w14:textId="77777777" w:rsidR="009658F4" w:rsidRDefault="00965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5ADEF" w14:textId="77777777" w:rsidR="00182E42" w:rsidRDefault="00182E42" w:rsidP="00003CD4">
      <w:pPr>
        <w:spacing w:after="0" w:line="240" w:lineRule="auto"/>
      </w:pPr>
      <w:r>
        <w:separator/>
      </w:r>
    </w:p>
  </w:footnote>
  <w:footnote w:type="continuationSeparator" w:id="0">
    <w:p w14:paraId="141DFD64" w14:textId="77777777" w:rsidR="00182E42" w:rsidRDefault="00182E42" w:rsidP="00003CD4">
      <w:pPr>
        <w:spacing w:after="0" w:line="240" w:lineRule="auto"/>
      </w:pPr>
      <w:r>
        <w:continuationSeparator/>
      </w:r>
    </w:p>
  </w:footnote>
  <w:footnote w:id="1">
    <w:p w14:paraId="5FE3885F" w14:textId="77777777" w:rsidR="00003CD4" w:rsidRPr="009658F4" w:rsidRDefault="00003CD4" w:rsidP="00003CD4">
      <w:pPr>
        <w:rPr>
          <w:rFonts w:ascii="Georgia" w:hAnsi="Georgia"/>
          <w:sz w:val="20"/>
          <w:szCs w:val="18"/>
        </w:rPr>
      </w:pPr>
      <w:r w:rsidRPr="009658F4">
        <w:rPr>
          <w:rFonts w:ascii="Georgia" w:hAnsi="Georgia"/>
          <w:sz w:val="20"/>
          <w:szCs w:val="18"/>
          <w:vertAlign w:val="superscript"/>
        </w:rPr>
        <w:t>* </w:t>
      </w:r>
      <w:r w:rsidRPr="009658F4">
        <w:rPr>
          <w:rFonts w:ascii="Georgia" w:hAnsi="Georgia"/>
          <w:smallCaps/>
          <w:sz w:val="20"/>
          <w:szCs w:val="18"/>
        </w:rPr>
        <w:t>Justice Barrett</w:t>
      </w:r>
      <w:r w:rsidRPr="009658F4">
        <w:rPr>
          <w:rFonts w:ascii="Georgia" w:hAnsi="Georgia"/>
          <w:sz w:val="20"/>
          <w:szCs w:val="18"/>
        </w:rPr>
        <w:t xml:space="preserve"> joins Parts I, II-A, and II-B of this opinion.</w:t>
      </w:r>
    </w:p>
  </w:footnote>
  <w:footnote w:id="2">
    <w:p w14:paraId="36F3932F" w14:textId="77777777" w:rsidR="00003CD4" w:rsidRPr="009658F4" w:rsidRDefault="00003CD4" w:rsidP="00003CD4">
      <w:pPr>
        <w:rPr>
          <w:rFonts w:ascii="Georgia" w:hAnsi="Georgia"/>
          <w:sz w:val="20"/>
          <w:szCs w:val="18"/>
        </w:rPr>
      </w:pPr>
      <w:r w:rsidRPr="009658F4">
        <w:rPr>
          <w:rFonts w:ascii="Georgia" w:hAnsi="Georgia"/>
          <w:sz w:val="20"/>
          <w:szCs w:val="18"/>
          <w:vertAlign w:val="superscript"/>
        </w:rPr>
        <w:t>1 </w:t>
      </w:r>
      <w:r w:rsidRPr="009658F4">
        <w:rPr>
          <w:rFonts w:ascii="Georgia" w:hAnsi="Georgia"/>
          <w:sz w:val="20"/>
          <w:szCs w:val="18"/>
        </w:rPr>
        <w:t>The Board declined to reach the PTO examiner’s alternative ground for refusing registration—that Elster’s mark “falsely suggest[s] a connection with persons, living or dead.” 15 U. S. C. §1052(a). We focus only on the names clause and express no opinion about whether Elster’s mark fails to meet other requirements for federal registration.</w:t>
      </w:r>
    </w:p>
  </w:footnote>
  <w:footnote w:id="3">
    <w:p w14:paraId="3962306A" w14:textId="77777777" w:rsidR="00003CD4" w:rsidRPr="009658F4" w:rsidRDefault="00003CD4" w:rsidP="00003CD4">
      <w:pPr>
        <w:rPr>
          <w:rFonts w:ascii="Georgia" w:hAnsi="Georgia"/>
          <w:sz w:val="20"/>
          <w:szCs w:val="18"/>
        </w:rPr>
      </w:pPr>
      <w:r w:rsidRPr="009658F4">
        <w:rPr>
          <w:rFonts w:ascii="Georgia" w:hAnsi="Georgia"/>
          <w:sz w:val="20"/>
          <w:szCs w:val="18"/>
          <w:vertAlign w:val="superscript"/>
        </w:rPr>
        <w:t>2 </w:t>
      </w:r>
      <w:r w:rsidRPr="009658F4">
        <w:rPr>
          <w:rFonts w:ascii="Georgia" w:hAnsi="Georgia"/>
          <w:sz w:val="20"/>
          <w:szCs w:val="18"/>
        </w:rPr>
        <w:t xml:space="preserve">It is also hard to see the viewpoint discrimination that Elster alleges in practice. The PTO has refused registration of trademarks such as “Welcome President Biden,” “I Stump for Trump,” and “Obama Pajama”—all because they contained another’s name without his consent, not because of the viewpoint conveyed. See PTO, Office Action of Dec. 8, 2020, Serial No. 90226753; PTO, Office Action of Oct. 15, 2015, Serial No. 86728410; </w:t>
      </w:r>
      <w:r w:rsidRPr="009658F4">
        <w:rPr>
          <w:rFonts w:ascii="Georgia" w:hAnsi="Georgia"/>
          <w:i/>
          <w:sz w:val="20"/>
          <w:szCs w:val="18"/>
        </w:rPr>
        <w:t>In re Hoefflin</w:t>
      </w:r>
      <w:r w:rsidRPr="009658F4">
        <w:rPr>
          <w:rFonts w:ascii="Georgia" w:hAnsi="Georgia"/>
          <w:sz w:val="20"/>
          <w:szCs w:val="18"/>
        </w:rPr>
        <w:t>, 97 USPQ 2d 1174, 1177-1178 (TTAB 2010).</w:t>
      </w:r>
    </w:p>
  </w:footnote>
  <w:footnote w:id="4">
    <w:p w14:paraId="06E83125" w14:textId="77777777" w:rsidR="00003CD4" w:rsidRPr="009658F4" w:rsidRDefault="00003CD4" w:rsidP="00003CD4">
      <w:pPr>
        <w:rPr>
          <w:rFonts w:ascii="Georgia" w:hAnsi="Georgia"/>
          <w:sz w:val="20"/>
          <w:szCs w:val="18"/>
        </w:rPr>
      </w:pPr>
      <w:r w:rsidRPr="009658F4">
        <w:rPr>
          <w:rFonts w:ascii="Georgia" w:hAnsi="Georgia"/>
          <w:sz w:val="20"/>
          <w:szCs w:val="18"/>
          <w:vertAlign w:val="superscript"/>
        </w:rPr>
        <w:t>3 </w:t>
      </w:r>
      <w:bookmarkStart w:id="89" w:name="Bookmark_fnpara_4"/>
      <w:bookmarkStart w:id="90" w:name="Bookmark_I6C86HBX2D6N9J0050000400"/>
      <w:bookmarkEnd w:id="89"/>
      <w:bookmarkEnd w:id="90"/>
      <w:r w:rsidRPr="009658F4">
        <w:rPr>
          <w:rFonts w:ascii="Georgia" w:hAnsi="Georgia"/>
          <w:sz w:val="20"/>
          <w:szCs w:val="18"/>
        </w:rPr>
        <w:t xml:space="preserve">This first federal trademark law “provided for the registration of trademarks generally without regard to whether they were used in interstate or foreign commerce.” 1 McCarthy §5:3, at 188. This Court held that the law exceeded Congress’s power under the Commerce Clause. See </w:t>
      </w:r>
      <w:bookmarkStart w:id="91" w:name="Bookmark_I6C86HBX2D6N9J0040000400"/>
      <w:bookmarkEnd w:id="91"/>
      <w:r w:rsidRPr="009658F4">
        <w:rPr>
          <w:rFonts w:ascii="Georgia" w:hAnsi="Georgia"/>
          <w:i/>
          <w:sz w:val="20"/>
          <w:szCs w:val="18"/>
        </w:rPr>
        <w:t>Trade-Mark Cases</w:t>
      </w:r>
      <w:r w:rsidRPr="009658F4">
        <w:rPr>
          <w:rFonts w:ascii="Georgia" w:hAnsi="Georgia"/>
          <w:sz w:val="20"/>
          <w:szCs w:val="18"/>
        </w:rPr>
        <w:t>, 100 U. S. 82, 99, 25 L. Ed. 550, 1879 Dec. Comm'r Pat. 619 (1879). The law drew no challenge under the First Amendment.</w:t>
      </w:r>
    </w:p>
  </w:footnote>
  <w:footnote w:id="5">
    <w:p w14:paraId="14B21BBB" w14:textId="77777777" w:rsidR="00003CD4" w:rsidRPr="009658F4" w:rsidRDefault="00003CD4" w:rsidP="00003CD4">
      <w:pPr>
        <w:rPr>
          <w:rFonts w:ascii="Georgia" w:hAnsi="Georgia"/>
          <w:sz w:val="20"/>
          <w:szCs w:val="18"/>
        </w:rPr>
      </w:pPr>
      <w:r w:rsidRPr="009658F4">
        <w:rPr>
          <w:rFonts w:ascii="Georgia" w:hAnsi="Georgia"/>
          <w:sz w:val="20"/>
          <w:szCs w:val="18"/>
          <w:vertAlign w:val="superscript"/>
        </w:rPr>
        <w:t>4 </w:t>
      </w:r>
      <w:bookmarkStart w:id="187" w:name="Bookmark_fnpara_5"/>
      <w:bookmarkStart w:id="188" w:name="Bookmark_I6C86HC228T5060050000400"/>
      <w:bookmarkStart w:id="189" w:name="Bookmark_I6C86HC22SF80D0020000400"/>
      <w:bookmarkEnd w:id="187"/>
      <w:bookmarkEnd w:id="188"/>
      <w:bookmarkEnd w:id="189"/>
      <w:r w:rsidRPr="009658F4">
        <w:rPr>
          <w:rFonts w:ascii="Georgia" w:hAnsi="Georgia"/>
          <w:smallCaps/>
          <w:sz w:val="20"/>
          <w:szCs w:val="18"/>
        </w:rPr>
        <w:t>Justice Barrett</w:t>
      </w:r>
      <w:r w:rsidRPr="009658F4">
        <w:rPr>
          <w:rFonts w:ascii="Georgia" w:hAnsi="Georgia"/>
          <w:sz w:val="20"/>
          <w:szCs w:val="18"/>
        </w:rPr>
        <w:t xml:space="preserve"> takes a different approach, suggesting that a historical rule that mirrors the names clause is required. See </w:t>
      </w:r>
      <w:bookmarkStart w:id="190" w:name="Bookmark_I6C86HC228T5060040000400"/>
      <w:bookmarkEnd w:id="190"/>
      <w:r w:rsidRPr="009658F4">
        <w:rPr>
          <w:rFonts w:ascii="Georgia" w:hAnsi="Georgia"/>
          <w:i/>
          <w:sz w:val="20"/>
          <w:szCs w:val="18"/>
        </w:rPr>
        <w:t>post</w:t>
      </w:r>
      <w:r w:rsidRPr="009658F4">
        <w:rPr>
          <w:rFonts w:ascii="Georgia" w:hAnsi="Georgia"/>
          <w:sz w:val="20"/>
          <w:szCs w:val="18"/>
        </w:rPr>
        <w:t xml:space="preserve">, at 11. </w:t>
      </w:r>
      <w:bookmarkStart w:id="191" w:name="Bookmark_I4XKV2VRDG000004CNC0001N"/>
      <w:bookmarkStart w:id="192" w:name="Bookmark_I4XKV2VRPGJ00004CNC0001R"/>
      <w:bookmarkStart w:id="193" w:name="Bookmark_I6C86HC22SF80D0040000400"/>
      <w:bookmarkStart w:id="194" w:name="Bookmark_LNHNREFclscc23"/>
      <w:bookmarkEnd w:id="191"/>
      <w:bookmarkEnd w:id="192"/>
      <w:bookmarkEnd w:id="193"/>
      <w:bookmarkEnd w:id="194"/>
      <w:proofErr w:type="gramStart"/>
      <w:r w:rsidRPr="009658F4">
        <w:rPr>
          <w:rFonts w:ascii="Georgia" w:hAnsi="Georgia"/>
          <w:sz w:val="20"/>
          <w:szCs w:val="18"/>
        </w:rPr>
        <w:t>But,</w:t>
      </w:r>
      <w:proofErr w:type="gramEnd"/>
      <w:r w:rsidRPr="009658F4">
        <w:rPr>
          <w:rFonts w:ascii="Georgia" w:hAnsi="Georgia"/>
          <w:sz w:val="20"/>
          <w:szCs w:val="18"/>
        </w:rPr>
        <w:t xml:space="preserve"> history-focused approaches to constitutional scrutiny do not typically require a historical twin. Cf. </w:t>
      </w:r>
      <w:bookmarkStart w:id="195" w:name="Bookmark_I6C86HC22SF80D0010000400"/>
      <w:bookmarkEnd w:id="195"/>
      <w:r w:rsidRPr="009658F4">
        <w:rPr>
          <w:rFonts w:ascii="Georgia" w:hAnsi="Georgia"/>
          <w:i/>
          <w:sz w:val="20"/>
          <w:szCs w:val="18"/>
        </w:rPr>
        <w:t>New York State Rifle &amp; Pistol Assn., Inc.</w:t>
      </w:r>
      <w:r w:rsidRPr="009658F4">
        <w:rPr>
          <w:rFonts w:ascii="Georgia" w:hAnsi="Georgia"/>
          <w:sz w:val="20"/>
          <w:szCs w:val="18"/>
        </w:rPr>
        <w:t xml:space="preserve"> v. </w:t>
      </w:r>
      <w:r w:rsidRPr="009658F4">
        <w:rPr>
          <w:rFonts w:ascii="Georgia" w:hAnsi="Georgia"/>
          <w:i/>
          <w:sz w:val="20"/>
          <w:szCs w:val="18"/>
        </w:rPr>
        <w:t>Bruen</w:t>
      </w:r>
      <w:r w:rsidRPr="009658F4">
        <w:rPr>
          <w:rFonts w:ascii="Georgia" w:hAnsi="Georgia"/>
          <w:sz w:val="20"/>
          <w:szCs w:val="18"/>
        </w:rPr>
        <w:t xml:space="preserve">, 597 U. S. 1, 30 (2022). </w:t>
      </w:r>
      <w:bookmarkStart w:id="196" w:name="Bookmark_I6C86HC22SF80D0040000400_2"/>
      <w:bookmarkEnd w:id="196"/>
      <w:r w:rsidRPr="009658F4">
        <w:rPr>
          <w:rFonts w:ascii="Georgia" w:hAnsi="Georgia"/>
          <w:sz w:val="20"/>
          <w:szCs w:val="18"/>
        </w:rPr>
        <w:t xml:space="preserve">Nor do Justice Barrett’s examples undercut the names clause’s historical grounding, as they raise different aspects of trademarking names. For example, she relies upon cases that concern trademarks containing “the name of a famous person, long since dead.” </w:t>
      </w:r>
      <w:bookmarkStart w:id="197" w:name="Bookmark_I6C86HC22SF80D0030000400"/>
      <w:bookmarkEnd w:id="197"/>
      <w:r w:rsidRPr="009658F4">
        <w:rPr>
          <w:rFonts w:ascii="Georgia" w:hAnsi="Georgia"/>
          <w:i/>
          <w:sz w:val="20"/>
          <w:szCs w:val="18"/>
        </w:rPr>
        <w:t xml:space="preserve">Barrows </w:t>
      </w:r>
      <w:r w:rsidRPr="009658F4">
        <w:rPr>
          <w:rFonts w:ascii="Georgia" w:hAnsi="Georgia"/>
          <w:sz w:val="20"/>
          <w:szCs w:val="18"/>
        </w:rPr>
        <w:t xml:space="preserve">v. </w:t>
      </w:r>
      <w:r w:rsidRPr="009658F4">
        <w:rPr>
          <w:rFonts w:ascii="Georgia" w:hAnsi="Georgia"/>
          <w:i/>
          <w:sz w:val="20"/>
          <w:szCs w:val="18"/>
        </w:rPr>
        <w:t>Knight</w:t>
      </w:r>
      <w:r w:rsidRPr="009658F4">
        <w:rPr>
          <w:rFonts w:ascii="Georgia" w:hAnsi="Georgia"/>
          <w:sz w:val="20"/>
          <w:szCs w:val="18"/>
        </w:rPr>
        <w:t xml:space="preserve">, 6 R. I. 434, 438 (1860); see also </w:t>
      </w:r>
      <w:bookmarkStart w:id="198" w:name="Bookmark_I6C86HC22SF80D0050000400"/>
      <w:bookmarkEnd w:id="198"/>
      <w:r w:rsidRPr="009658F4">
        <w:rPr>
          <w:rFonts w:ascii="Georgia" w:hAnsi="Georgia"/>
          <w:i/>
          <w:sz w:val="20"/>
          <w:szCs w:val="18"/>
        </w:rPr>
        <w:t>Stephano Bros., Inc.</w:t>
      </w:r>
      <w:r w:rsidRPr="009658F4">
        <w:rPr>
          <w:rFonts w:ascii="Georgia" w:hAnsi="Georgia"/>
          <w:sz w:val="20"/>
          <w:szCs w:val="18"/>
        </w:rPr>
        <w:t xml:space="preserve"> v. </w:t>
      </w:r>
      <w:r w:rsidRPr="009658F4">
        <w:rPr>
          <w:rFonts w:ascii="Georgia" w:hAnsi="Georgia"/>
          <w:i/>
          <w:sz w:val="20"/>
          <w:szCs w:val="18"/>
        </w:rPr>
        <w:t>Stamatopoulos</w:t>
      </w:r>
      <w:r w:rsidRPr="009658F4">
        <w:rPr>
          <w:rFonts w:ascii="Georgia" w:hAnsi="Georgia"/>
          <w:sz w:val="20"/>
          <w:szCs w:val="18"/>
        </w:rPr>
        <w:t xml:space="preserve">, 238 F. 89, 93 (CA2 1916) (“In this case the name adopted is a famous Egyptian historical character, who lived at least 1,000 years before the Christian era”). </w:t>
      </w:r>
      <w:bookmarkStart w:id="199" w:name="Bookmark_I4XKV2VPG8M00004CNC0001K"/>
      <w:bookmarkStart w:id="200" w:name="Bookmark_I4XKV2VR7HS00004CNC0001M"/>
      <w:bookmarkStart w:id="201" w:name="Bookmark_I6C86HC22D6NB50030000400"/>
      <w:bookmarkEnd w:id="199"/>
      <w:bookmarkEnd w:id="200"/>
      <w:bookmarkEnd w:id="201"/>
      <w:r w:rsidRPr="009658F4">
        <w:rPr>
          <w:rFonts w:ascii="Georgia" w:hAnsi="Georgia"/>
          <w:sz w:val="20"/>
          <w:szCs w:val="18"/>
        </w:rPr>
        <w:t xml:space="preserve">The part of the names clause that we address concerns only “a particular </w:t>
      </w:r>
      <w:r w:rsidRPr="009658F4">
        <w:rPr>
          <w:rFonts w:ascii="Georgia" w:hAnsi="Georgia"/>
          <w:i/>
          <w:sz w:val="20"/>
          <w:szCs w:val="18"/>
        </w:rPr>
        <w:t>living</w:t>
      </w:r>
      <w:r w:rsidRPr="009658F4">
        <w:rPr>
          <w:rFonts w:ascii="Georgia" w:hAnsi="Georgia"/>
          <w:sz w:val="20"/>
          <w:szCs w:val="18"/>
        </w:rPr>
        <w:t xml:space="preserve"> individual[’s]” name. §1052(c) (emphasis added). </w:t>
      </w:r>
      <w:proofErr w:type="gramStart"/>
      <w:r w:rsidRPr="009658F4">
        <w:rPr>
          <w:rFonts w:ascii="Georgia" w:hAnsi="Georgia"/>
          <w:sz w:val="20"/>
          <w:szCs w:val="18"/>
        </w:rPr>
        <w:t>And,</w:t>
      </w:r>
      <w:proofErr w:type="gramEnd"/>
      <w:r w:rsidRPr="009658F4">
        <w:rPr>
          <w:rFonts w:ascii="Georgia" w:hAnsi="Georgia"/>
          <w:sz w:val="20"/>
          <w:szCs w:val="18"/>
        </w:rPr>
        <w:t xml:space="preserve"> her other examples concern names that had become generic or descriptive words. See </w:t>
      </w:r>
      <w:bookmarkStart w:id="202" w:name="Bookmark_I6C86HC22D6NB50020000400"/>
      <w:bookmarkEnd w:id="202"/>
      <w:proofErr w:type="spellStart"/>
      <w:r w:rsidRPr="009658F4">
        <w:rPr>
          <w:rFonts w:ascii="Georgia" w:hAnsi="Georgia"/>
          <w:i/>
          <w:sz w:val="20"/>
          <w:szCs w:val="18"/>
        </w:rPr>
        <w:t>Messerole</w:t>
      </w:r>
      <w:proofErr w:type="spellEnd"/>
      <w:r w:rsidRPr="009658F4">
        <w:rPr>
          <w:rFonts w:ascii="Georgia" w:hAnsi="Georgia"/>
          <w:i/>
          <w:sz w:val="20"/>
          <w:szCs w:val="18"/>
        </w:rPr>
        <w:t xml:space="preserve"> </w:t>
      </w:r>
      <w:r w:rsidRPr="009658F4">
        <w:rPr>
          <w:rFonts w:ascii="Georgia" w:hAnsi="Georgia"/>
          <w:sz w:val="20"/>
          <w:szCs w:val="18"/>
        </w:rPr>
        <w:t xml:space="preserve">v. </w:t>
      </w:r>
      <w:proofErr w:type="spellStart"/>
      <w:r w:rsidRPr="009658F4">
        <w:rPr>
          <w:rFonts w:ascii="Georgia" w:hAnsi="Georgia"/>
          <w:i/>
          <w:sz w:val="20"/>
          <w:szCs w:val="18"/>
        </w:rPr>
        <w:t>Tynberg</w:t>
      </w:r>
      <w:proofErr w:type="spellEnd"/>
      <w:r w:rsidRPr="009658F4">
        <w:rPr>
          <w:rFonts w:ascii="Georgia" w:hAnsi="Georgia"/>
          <w:sz w:val="20"/>
          <w:szCs w:val="18"/>
        </w:rPr>
        <w:t xml:space="preserve">, 4 Abb. Pr. (N. S.) 410, 414 (NY Ct. Com. Pl. 1868) (treating “the word ‘Bismarck’” as “a popular term and one in general use”); </w:t>
      </w:r>
      <w:bookmarkStart w:id="203" w:name="Bookmark_I6C86HC22D6NB50040000400"/>
      <w:bookmarkEnd w:id="203"/>
      <w:r w:rsidRPr="009658F4">
        <w:rPr>
          <w:rFonts w:ascii="Georgia" w:hAnsi="Georgia"/>
          <w:i/>
          <w:sz w:val="20"/>
          <w:szCs w:val="18"/>
        </w:rPr>
        <w:t xml:space="preserve">Medlar &amp; Holmes Shoe Co. </w:t>
      </w:r>
      <w:r w:rsidRPr="009658F4">
        <w:rPr>
          <w:rFonts w:ascii="Georgia" w:hAnsi="Georgia"/>
          <w:sz w:val="20"/>
          <w:szCs w:val="18"/>
        </w:rPr>
        <w:t xml:space="preserve">v. </w:t>
      </w:r>
      <w:r w:rsidRPr="009658F4">
        <w:rPr>
          <w:rFonts w:ascii="Georgia" w:hAnsi="Georgia"/>
          <w:i/>
          <w:sz w:val="20"/>
          <w:szCs w:val="18"/>
        </w:rPr>
        <w:t>Delsarte Mfg. Co.</w:t>
      </w:r>
      <w:r w:rsidRPr="009658F4">
        <w:rPr>
          <w:rFonts w:ascii="Georgia" w:hAnsi="Georgia"/>
          <w:sz w:val="20"/>
          <w:szCs w:val="18"/>
        </w:rPr>
        <w:t>, 68 N.J. Eq. 706, 46 A. 1089, 1091 (CC NJ 1900) (treating the name of the deceased French artist Delsarte as “a generic or descriptive term”).</w:t>
      </w:r>
    </w:p>
  </w:footnote>
  <w:footnote w:id="6">
    <w:p w14:paraId="0FDE8CC2" w14:textId="77777777" w:rsidR="00003CD4" w:rsidRPr="009658F4" w:rsidRDefault="00003CD4" w:rsidP="00003CD4">
      <w:pPr>
        <w:rPr>
          <w:rFonts w:ascii="Georgia" w:hAnsi="Georgia"/>
          <w:sz w:val="20"/>
          <w:szCs w:val="18"/>
        </w:rPr>
      </w:pPr>
      <w:r w:rsidRPr="009658F4">
        <w:rPr>
          <w:rFonts w:ascii="Georgia" w:hAnsi="Georgia"/>
          <w:sz w:val="20"/>
          <w:szCs w:val="18"/>
          <w:vertAlign w:val="superscript"/>
        </w:rPr>
        <w:t>3 </w:t>
      </w:r>
      <w:bookmarkStart w:id="259" w:name="Bookmark_fnpara_8"/>
      <w:bookmarkEnd w:id="259"/>
      <w:r w:rsidRPr="009658F4">
        <w:rPr>
          <w:rFonts w:ascii="Georgia" w:hAnsi="Georgia"/>
          <w:sz w:val="20"/>
          <w:szCs w:val="18"/>
        </w:rPr>
        <w:t xml:space="preserve">By the early-20th century, however, courts enforced personal-name marks even against “newcomer[s] with the same name when confusion over source [was] the likely result.” 2 McCarthy §13:8; see </w:t>
      </w:r>
      <w:bookmarkStart w:id="260" w:name="Bookmark_I6C86HC72N1R8M0010000400"/>
      <w:bookmarkEnd w:id="260"/>
      <w:r w:rsidRPr="009658F4">
        <w:rPr>
          <w:rFonts w:ascii="Georgia" w:hAnsi="Georgia"/>
          <w:i/>
          <w:sz w:val="20"/>
          <w:szCs w:val="18"/>
        </w:rPr>
        <w:t>L. E. Waterman Co.</w:t>
      </w:r>
      <w:r w:rsidRPr="009658F4">
        <w:rPr>
          <w:rFonts w:ascii="Georgia" w:hAnsi="Georgia"/>
          <w:sz w:val="20"/>
          <w:szCs w:val="18"/>
        </w:rPr>
        <w:t xml:space="preserve"> v.</w:t>
      </w:r>
      <w:r w:rsidRPr="009658F4">
        <w:rPr>
          <w:rFonts w:ascii="Georgia" w:hAnsi="Georgia"/>
          <w:i/>
          <w:sz w:val="20"/>
          <w:szCs w:val="18"/>
        </w:rPr>
        <w:t xml:space="preserve"> Modern Pen Co.</w:t>
      </w:r>
      <w:r w:rsidRPr="009658F4">
        <w:rPr>
          <w:rFonts w:ascii="Georgia" w:hAnsi="Georgia"/>
          <w:sz w:val="20"/>
          <w:szCs w:val="18"/>
        </w:rPr>
        <w:t>, 235 U. S. 88 (1914).</w:t>
      </w:r>
    </w:p>
  </w:footnote>
  <w:footnote w:id="7">
    <w:p w14:paraId="67CAAE50" w14:textId="77777777" w:rsidR="00003CD4" w:rsidRPr="009658F4" w:rsidRDefault="00003CD4" w:rsidP="00003CD4">
      <w:pPr>
        <w:rPr>
          <w:rFonts w:ascii="Georgia" w:hAnsi="Georgia"/>
          <w:sz w:val="20"/>
          <w:szCs w:val="18"/>
        </w:rPr>
      </w:pPr>
      <w:r w:rsidRPr="009658F4">
        <w:rPr>
          <w:rFonts w:ascii="Georgia" w:hAnsi="Georgia"/>
          <w:sz w:val="20"/>
          <w:szCs w:val="18"/>
          <w:vertAlign w:val="superscript"/>
        </w:rPr>
        <w:t>4 </w:t>
      </w:r>
      <w:bookmarkStart w:id="278" w:name="Bookmark_fnpara_9"/>
      <w:bookmarkEnd w:id="278"/>
      <w:r w:rsidRPr="009658F4">
        <w:rPr>
          <w:rFonts w:ascii="Georgia" w:hAnsi="Georgia"/>
          <w:sz w:val="20"/>
          <w:szCs w:val="18"/>
        </w:rPr>
        <w:t xml:space="preserve">The </w:t>
      </w:r>
      <w:r w:rsidRPr="009658F4">
        <w:rPr>
          <w:rFonts w:ascii="Georgia" w:hAnsi="Georgia"/>
          <w:i/>
          <w:sz w:val="20"/>
          <w:szCs w:val="18"/>
        </w:rPr>
        <w:t>Thaddeus</w:t>
      </w:r>
      <w:r w:rsidRPr="009658F4">
        <w:rPr>
          <w:rFonts w:ascii="Georgia" w:hAnsi="Georgia"/>
          <w:sz w:val="20"/>
          <w:szCs w:val="18"/>
        </w:rPr>
        <w:t xml:space="preserve"> Court referred specifically to the statute’s prohibition on the registration of marks that “</w:t>
      </w:r>
      <w:proofErr w:type="spellStart"/>
      <w:r w:rsidRPr="009658F4">
        <w:rPr>
          <w:rFonts w:ascii="Georgia" w:hAnsi="Georgia"/>
          <w:sz w:val="20"/>
          <w:szCs w:val="18"/>
        </w:rPr>
        <w:t>consis</w:t>
      </w:r>
      <w:proofErr w:type="spellEnd"/>
      <w:r w:rsidRPr="009658F4">
        <w:rPr>
          <w:rFonts w:ascii="Georgia" w:hAnsi="Georgia"/>
          <w:sz w:val="20"/>
          <w:szCs w:val="18"/>
        </w:rPr>
        <w:t xml:space="preserve">[t] merely of individual, firm or corporate names, not written or printed in a distinctive manner, or of designations descriptive of the character or quality of the goods with which they are used, or of geographical names or terms.” </w:t>
      </w:r>
      <w:bookmarkStart w:id="279" w:name="Bookmark_I6C86HC82SF81R0030000400"/>
      <w:bookmarkEnd w:id="279"/>
      <w:r w:rsidRPr="009658F4">
        <w:rPr>
          <w:rFonts w:ascii="Georgia" w:hAnsi="Georgia"/>
          <w:sz w:val="20"/>
          <w:szCs w:val="18"/>
        </w:rPr>
        <w:t>233 U. S., at 467.</w:t>
      </w:r>
    </w:p>
  </w:footnote>
  <w:footnote w:id="8">
    <w:p w14:paraId="658E29F9" w14:textId="77777777" w:rsidR="00003CD4" w:rsidRPr="009658F4" w:rsidRDefault="00003CD4" w:rsidP="00003CD4">
      <w:pPr>
        <w:rPr>
          <w:rFonts w:ascii="Georgia" w:hAnsi="Georgia"/>
          <w:sz w:val="20"/>
          <w:szCs w:val="18"/>
        </w:rPr>
      </w:pPr>
      <w:r w:rsidRPr="009658F4">
        <w:rPr>
          <w:rFonts w:ascii="Georgia" w:hAnsi="Georgia"/>
          <w:sz w:val="20"/>
          <w:szCs w:val="18"/>
          <w:vertAlign w:val="superscript"/>
        </w:rPr>
        <w:t>5 </w:t>
      </w:r>
      <w:bookmarkStart w:id="303" w:name="Bookmark_fnpara_10"/>
      <w:bookmarkStart w:id="304" w:name="Bookmark_I4XKV2WDB9G00004CNC00061"/>
      <w:bookmarkStart w:id="305" w:name="Bookmark_I6C86HC828T51M0010000400"/>
      <w:bookmarkEnd w:id="303"/>
      <w:bookmarkEnd w:id="304"/>
      <w:bookmarkEnd w:id="305"/>
      <w:r w:rsidRPr="009658F4">
        <w:rPr>
          <w:rFonts w:ascii="Georgia" w:hAnsi="Georgia"/>
          <w:sz w:val="20"/>
          <w:szCs w:val="18"/>
        </w:rPr>
        <w:t xml:space="preserve">The Court dismisses my examples as irrelevant because several involve the names of dead individuals. </w:t>
      </w:r>
      <w:bookmarkStart w:id="306" w:name="Bookmark_I4XKV2VVWD600004CNC0002D"/>
      <w:bookmarkStart w:id="307" w:name="Bookmark_I4XKV2VW8V000004CNC0002G"/>
      <w:bookmarkStart w:id="308" w:name="Bookmark_I6C86HC828T51M0030000400"/>
      <w:bookmarkStart w:id="309" w:name="Bookmark_I6C86HC82HM6M80050000400"/>
      <w:bookmarkEnd w:id="306"/>
      <w:bookmarkEnd w:id="307"/>
      <w:bookmarkEnd w:id="308"/>
      <w:bookmarkEnd w:id="309"/>
      <w:r w:rsidRPr="009658F4">
        <w:rPr>
          <w:rFonts w:ascii="Georgia" w:hAnsi="Georgia"/>
          <w:i/>
          <w:sz w:val="20"/>
          <w:szCs w:val="18"/>
        </w:rPr>
        <w:t>Ante</w:t>
      </w:r>
      <w:r w:rsidRPr="009658F4">
        <w:rPr>
          <w:rFonts w:ascii="Georgia" w:hAnsi="Georgia"/>
          <w:sz w:val="20"/>
          <w:szCs w:val="18"/>
        </w:rPr>
        <w:t xml:space="preserve">, at 19, n. 4. But “[t]he exclusive right to grace paper collars with Bismarck’s name was granted while he was still alive.” J. Pike, Personal Names as Trade Symbols, 3 Mo. L. Rev. 93, 101 (1938) (Pike). </w:t>
      </w:r>
      <w:bookmarkStart w:id="310" w:name="Bookmark_I6C86HC828T51M0030000400_2"/>
      <w:bookmarkEnd w:id="310"/>
      <w:r w:rsidRPr="009658F4">
        <w:rPr>
          <w:rFonts w:ascii="Georgia" w:hAnsi="Georgia"/>
          <w:sz w:val="20"/>
          <w:szCs w:val="18"/>
        </w:rPr>
        <w:t xml:space="preserve">And the other authorities either expressly recognized that the names of famous living persons could be trademarked, see </w:t>
      </w:r>
      <w:bookmarkStart w:id="311" w:name="Bookmark_I6C86HC828T51M0020000400"/>
      <w:bookmarkEnd w:id="311"/>
      <w:r w:rsidRPr="009658F4">
        <w:rPr>
          <w:rFonts w:ascii="Georgia" w:hAnsi="Georgia"/>
          <w:i/>
          <w:sz w:val="20"/>
          <w:szCs w:val="18"/>
        </w:rPr>
        <w:t>Barrows</w:t>
      </w:r>
      <w:r w:rsidRPr="009658F4">
        <w:rPr>
          <w:rFonts w:ascii="Georgia" w:hAnsi="Georgia"/>
          <w:sz w:val="20"/>
          <w:szCs w:val="18"/>
        </w:rPr>
        <w:t xml:space="preserve">, 6 R. I., at 438, or did not indicate whether the rule differed for dead versus living individuals, see </w:t>
      </w:r>
      <w:bookmarkStart w:id="312" w:name="Bookmark_I6C86HC828T51M0040000400"/>
      <w:bookmarkEnd w:id="312"/>
      <w:r w:rsidRPr="009658F4">
        <w:rPr>
          <w:rFonts w:ascii="Georgia" w:hAnsi="Georgia"/>
          <w:i/>
          <w:sz w:val="20"/>
          <w:szCs w:val="18"/>
        </w:rPr>
        <w:t>Stephano Bros.</w:t>
      </w:r>
      <w:r w:rsidRPr="009658F4">
        <w:rPr>
          <w:rFonts w:ascii="Georgia" w:hAnsi="Georgia"/>
          <w:sz w:val="20"/>
          <w:szCs w:val="18"/>
        </w:rPr>
        <w:t xml:space="preserve">, 238 F., at 92-93. Indeed, “[t]he authorities [were] somewhat meagre” as to “the rule </w:t>
      </w:r>
      <w:proofErr w:type="gramStart"/>
      <w:r w:rsidRPr="009658F4">
        <w:rPr>
          <w:rFonts w:ascii="Georgia" w:hAnsi="Georgia"/>
          <w:sz w:val="20"/>
          <w:szCs w:val="18"/>
        </w:rPr>
        <w:t>. . . .</w:t>
      </w:r>
      <w:proofErr w:type="gramEnd"/>
      <w:r w:rsidRPr="009658F4">
        <w:rPr>
          <w:rFonts w:ascii="Georgia" w:hAnsi="Georgia"/>
          <w:sz w:val="20"/>
          <w:szCs w:val="18"/>
        </w:rPr>
        <w:t xml:space="preserve"> where the notable person [was] still alive,” Pike 100, undercutting the notion that the common law contained a clear rule one way or the other.</w:t>
      </w:r>
    </w:p>
  </w:footnote>
  <w:footnote w:id="9">
    <w:p w14:paraId="19ED196A" w14:textId="77777777" w:rsidR="00003CD4" w:rsidRPr="009658F4" w:rsidRDefault="00003CD4" w:rsidP="00003CD4">
      <w:pPr>
        <w:rPr>
          <w:rFonts w:ascii="Georgia" w:hAnsi="Georgia"/>
          <w:sz w:val="20"/>
          <w:szCs w:val="18"/>
        </w:rPr>
      </w:pPr>
      <w:r w:rsidRPr="009658F4">
        <w:rPr>
          <w:rFonts w:ascii="Georgia" w:hAnsi="Georgia"/>
          <w:sz w:val="20"/>
          <w:szCs w:val="18"/>
          <w:vertAlign w:val="superscript"/>
        </w:rPr>
        <w:t>6 </w:t>
      </w:r>
      <w:bookmarkStart w:id="320" w:name="Bookmark_fnpara_11"/>
      <w:bookmarkStart w:id="321" w:name="Bookmark_I4XKV2WDSX100004CNC00064"/>
      <w:bookmarkStart w:id="322" w:name="Bookmark_I6C86HC82N1R8T0010000400"/>
      <w:bookmarkEnd w:id="320"/>
      <w:bookmarkEnd w:id="321"/>
      <w:bookmarkEnd w:id="322"/>
      <w:r w:rsidRPr="009658F4">
        <w:rPr>
          <w:rFonts w:ascii="Georgia" w:hAnsi="Georgia"/>
          <w:sz w:val="20"/>
          <w:szCs w:val="18"/>
        </w:rPr>
        <w:t xml:space="preserve">The Court characterizes my critique as a demand for a “historical twin.” </w:t>
      </w:r>
      <w:bookmarkStart w:id="323" w:name="Bookmark_I6C86HC82HM6MB0050000400"/>
      <w:bookmarkEnd w:id="323"/>
      <w:r w:rsidRPr="009658F4">
        <w:rPr>
          <w:rFonts w:ascii="Georgia" w:hAnsi="Georgia"/>
          <w:i/>
          <w:sz w:val="20"/>
          <w:szCs w:val="18"/>
        </w:rPr>
        <w:t>Ante</w:t>
      </w:r>
      <w:r w:rsidRPr="009658F4">
        <w:rPr>
          <w:rFonts w:ascii="Georgia" w:hAnsi="Georgia"/>
          <w:sz w:val="20"/>
          <w:szCs w:val="18"/>
        </w:rPr>
        <w:t xml:space="preserve">, at 19, n. 4. </w:t>
      </w:r>
      <w:bookmarkStart w:id="324" w:name="Bookmark_I4XKV2VV86C00004CNC0002B"/>
      <w:bookmarkStart w:id="325" w:name="Bookmark_I6C86HC82N1R8T0030000400"/>
      <w:bookmarkEnd w:id="324"/>
      <w:bookmarkEnd w:id="325"/>
      <w:r w:rsidRPr="009658F4">
        <w:rPr>
          <w:rFonts w:ascii="Georgia" w:hAnsi="Georgia"/>
          <w:sz w:val="20"/>
          <w:szCs w:val="18"/>
        </w:rPr>
        <w:t xml:space="preserve">On the contrary, my point is that the Court has not cleared the “historical analogue” bar it sets for itself. The existence of closely analogous historical counterexamples surely complicates the argument that “history and tradition” alone establish the clause’s constitutionality. </w:t>
      </w:r>
      <w:bookmarkStart w:id="326" w:name="Bookmark_I6C86HC82N1R8T0030000400_2"/>
      <w:bookmarkEnd w:id="326"/>
      <w:r w:rsidRPr="009658F4">
        <w:rPr>
          <w:rFonts w:ascii="Georgia" w:hAnsi="Georgia"/>
          <w:sz w:val="20"/>
          <w:szCs w:val="18"/>
        </w:rPr>
        <w:t xml:space="preserve">By presenting its evidence as conclusive, “the Court overclaims.” </w:t>
      </w:r>
      <w:bookmarkStart w:id="327" w:name="Bookmark_I6C86HC82N1R8T0020000400"/>
      <w:bookmarkEnd w:id="327"/>
      <w:r w:rsidRPr="009658F4">
        <w:rPr>
          <w:rFonts w:ascii="Georgia" w:hAnsi="Georgia"/>
          <w:i/>
          <w:sz w:val="20"/>
          <w:szCs w:val="18"/>
        </w:rPr>
        <w:t>Samia</w:t>
      </w:r>
      <w:r w:rsidRPr="009658F4">
        <w:rPr>
          <w:rFonts w:ascii="Georgia" w:hAnsi="Georgia"/>
          <w:sz w:val="20"/>
          <w:szCs w:val="18"/>
        </w:rPr>
        <w:t xml:space="preserve"> v. </w:t>
      </w:r>
      <w:r w:rsidRPr="009658F4">
        <w:rPr>
          <w:rFonts w:ascii="Georgia" w:hAnsi="Georgia"/>
          <w:i/>
          <w:sz w:val="20"/>
          <w:szCs w:val="18"/>
        </w:rPr>
        <w:t>United States</w:t>
      </w:r>
      <w:r w:rsidRPr="009658F4">
        <w:rPr>
          <w:rFonts w:ascii="Georgia" w:hAnsi="Georgia"/>
          <w:sz w:val="20"/>
          <w:szCs w:val="18"/>
        </w:rPr>
        <w:t>, 599 U. S. 635, 657 (2023) (</w:t>
      </w:r>
      <w:r w:rsidRPr="009658F4">
        <w:rPr>
          <w:rFonts w:ascii="Georgia" w:hAnsi="Georgia"/>
          <w:smallCaps/>
          <w:sz w:val="20"/>
          <w:szCs w:val="18"/>
        </w:rPr>
        <w:t>Barrett, J.</w:t>
      </w:r>
      <w:r w:rsidRPr="009658F4">
        <w:rPr>
          <w:rFonts w:ascii="Georgia" w:hAnsi="Georgia"/>
          <w:sz w:val="20"/>
          <w:szCs w:val="18"/>
        </w:rPr>
        <w:t>, concurring in part and concurring in judgment).</w:t>
      </w:r>
    </w:p>
  </w:footnote>
  <w:footnote w:id="10">
    <w:p w14:paraId="37F4B6D3" w14:textId="77777777" w:rsidR="00003CD4" w:rsidRPr="009658F4" w:rsidRDefault="00003CD4" w:rsidP="00003CD4">
      <w:pPr>
        <w:rPr>
          <w:rFonts w:ascii="Georgia" w:hAnsi="Georgia"/>
          <w:sz w:val="20"/>
          <w:szCs w:val="18"/>
        </w:rPr>
      </w:pPr>
      <w:r w:rsidRPr="009658F4">
        <w:rPr>
          <w:rFonts w:ascii="Georgia" w:hAnsi="Georgia"/>
          <w:sz w:val="20"/>
          <w:szCs w:val="18"/>
          <w:vertAlign w:val="superscript"/>
        </w:rPr>
        <w:t>3 </w:t>
      </w:r>
      <w:bookmarkStart w:id="558" w:name="Bookmark_fnpara_14"/>
      <w:bookmarkEnd w:id="558"/>
      <w:r w:rsidRPr="009658F4">
        <w:rPr>
          <w:rFonts w:ascii="Georgia" w:hAnsi="Georgia"/>
          <w:sz w:val="20"/>
          <w:szCs w:val="18"/>
        </w:rPr>
        <w:t xml:space="preserve">Other Lanham Act provisions prohibit the registration of marks that deceive or falsely suggest a connection to a person or entity. See 15 U. S. C. §1052(a). </w:t>
      </w:r>
      <w:bookmarkStart w:id="559" w:name="Bookmark_I6C86HCF2N1R9H0010000400"/>
      <w:bookmarkEnd w:id="559"/>
      <w:r w:rsidRPr="009658F4">
        <w:rPr>
          <w:rFonts w:ascii="Georgia" w:hAnsi="Georgia"/>
          <w:sz w:val="20"/>
          <w:szCs w:val="18"/>
        </w:rPr>
        <w:t xml:space="preserve">That there is some overlap between the false suggestion and names clauses does not change the fact that the names clause reasonably serves the purpose of source identification. When heightened scrutiny is not in play, Congress is free to use belts and suspenders to support an asserted interest. I therefore also agree with </w:t>
      </w:r>
      <w:r w:rsidRPr="009658F4">
        <w:rPr>
          <w:rFonts w:ascii="Georgia" w:hAnsi="Georgia"/>
          <w:smallCaps/>
          <w:sz w:val="20"/>
          <w:szCs w:val="18"/>
        </w:rPr>
        <w:t>Justice Barrett</w:t>
      </w:r>
      <w:r w:rsidRPr="009658F4">
        <w:rPr>
          <w:rFonts w:ascii="Georgia" w:hAnsi="Georgia"/>
          <w:sz w:val="20"/>
          <w:szCs w:val="18"/>
        </w:rPr>
        <w:t xml:space="preserve"> that “Congress is entitled to make [the] categorical </w:t>
      </w:r>
      <w:proofErr w:type="spellStart"/>
      <w:r w:rsidRPr="009658F4">
        <w:rPr>
          <w:rFonts w:ascii="Georgia" w:hAnsi="Georgia"/>
          <w:sz w:val="20"/>
          <w:szCs w:val="18"/>
        </w:rPr>
        <w:t>judgmen</w:t>
      </w:r>
      <w:proofErr w:type="spellEnd"/>
      <w:r w:rsidRPr="009658F4">
        <w:rPr>
          <w:rFonts w:ascii="Georgia" w:hAnsi="Georgia"/>
          <w:sz w:val="20"/>
          <w:szCs w:val="18"/>
        </w:rPr>
        <w:t xml:space="preserve">[t] . . . that, on the whole, protecting marks that include another living person’s name without consent risks undermining the goals of trademark.” </w:t>
      </w:r>
      <w:bookmarkStart w:id="560" w:name="Bookmark_I6C86HCF2SF82J0050000400"/>
      <w:bookmarkEnd w:id="560"/>
      <w:r w:rsidRPr="009658F4">
        <w:rPr>
          <w:rFonts w:ascii="Georgia" w:hAnsi="Georgia"/>
          <w:i/>
          <w:sz w:val="20"/>
          <w:szCs w:val="18"/>
        </w:rPr>
        <w:t>Ante</w:t>
      </w:r>
      <w:r w:rsidRPr="009658F4">
        <w:rPr>
          <w:rFonts w:ascii="Georgia" w:hAnsi="Georgia"/>
          <w:sz w:val="20"/>
          <w:szCs w:val="18"/>
        </w:rPr>
        <w:t>, at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84EB9"/>
    <w:multiLevelType w:val="hybridMultilevel"/>
    <w:tmpl w:val="89BC93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23733E"/>
    <w:multiLevelType w:val="hybridMultilevel"/>
    <w:tmpl w:val="E04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79D"/>
    <w:multiLevelType w:val="hybridMultilevel"/>
    <w:tmpl w:val="F594D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8273A4"/>
    <w:multiLevelType w:val="hybridMultilevel"/>
    <w:tmpl w:val="285011C4"/>
    <w:lvl w:ilvl="0" w:tplc="1DCC6E12">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AE40A63"/>
    <w:multiLevelType w:val="hybridMultilevel"/>
    <w:tmpl w:val="5D12F9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BE92379"/>
    <w:multiLevelType w:val="multilevel"/>
    <w:tmpl w:val="0A06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35AFA"/>
    <w:multiLevelType w:val="hybridMultilevel"/>
    <w:tmpl w:val="486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D6D1C"/>
    <w:multiLevelType w:val="hybridMultilevel"/>
    <w:tmpl w:val="2D66EF0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8261816"/>
    <w:multiLevelType w:val="hybridMultilevel"/>
    <w:tmpl w:val="739E07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84550AA"/>
    <w:multiLevelType w:val="hybridMultilevel"/>
    <w:tmpl w:val="A1DAB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88B4ACF"/>
    <w:multiLevelType w:val="multilevel"/>
    <w:tmpl w:val="6E9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B547C"/>
    <w:multiLevelType w:val="hybridMultilevel"/>
    <w:tmpl w:val="C27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54631"/>
    <w:multiLevelType w:val="hybridMultilevel"/>
    <w:tmpl w:val="F04E9D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8DC5483"/>
    <w:multiLevelType w:val="hybridMultilevel"/>
    <w:tmpl w:val="E92011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9591D46"/>
    <w:multiLevelType w:val="hybridMultilevel"/>
    <w:tmpl w:val="8D0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47"/>
    <w:multiLevelType w:val="hybridMultilevel"/>
    <w:tmpl w:val="DFCC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301F8"/>
    <w:multiLevelType w:val="hybridMultilevel"/>
    <w:tmpl w:val="56D21EA6"/>
    <w:lvl w:ilvl="0" w:tplc="5E508B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F610550"/>
    <w:multiLevelType w:val="hybridMultilevel"/>
    <w:tmpl w:val="2034B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4EF106A"/>
    <w:multiLevelType w:val="hybridMultilevel"/>
    <w:tmpl w:val="C63217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8D65431"/>
    <w:multiLevelType w:val="hybridMultilevel"/>
    <w:tmpl w:val="38E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65213"/>
    <w:multiLevelType w:val="hybridMultilevel"/>
    <w:tmpl w:val="D750A8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B6032AA"/>
    <w:multiLevelType w:val="hybridMultilevel"/>
    <w:tmpl w:val="CF5224E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D4B4EA7"/>
    <w:multiLevelType w:val="hybridMultilevel"/>
    <w:tmpl w:val="502E4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2F0E578D"/>
    <w:multiLevelType w:val="hybridMultilevel"/>
    <w:tmpl w:val="0E58A8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9401154"/>
    <w:multiLevelType w:val="hybridMultilevel"/>
    <w:tmpl w:val="FC088B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397F6E5A"/>
    <w:multiLevelType w:val="hybridMultilevel"/>
    <w:tmpl w:val="81226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3AD65CAB"/>
    <w:multiLevelType w:val="hybridMultilevel"/>
    <w:tmpl w:val="28629268"/>
    <w:lvl w:ilvl="0" w:tplc="04090001">
      <w:start w:val="1"/>
      <w:numFmt w:val="bullet"/>
      <w:lvlText w:val=""/>
      <w:lvlJc w:val="left"/>
      <w:pPr>
        <w:ind w:left="792" w:hanging="360"/>
      </w:pPr>
      <w:rPr>
        <w:rFonts w:ascii="Symbol" w:hAnsi="Symbol" w:hint="default"/>
      </w:rPr>
    </w:lvl>
    <w:lvl w:ilvl="1" w:tplc="3E6051B4">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B1712AD"/>
    <w:multiLevelType w:val="hybridMultilevel"/>
    <w:tmpl w:val="60CE5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3B821B52"/>
    <w:multiLevelType w:val="hybridMultilevel"/>
    <w:tmpl w:val="8F4857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3F8C165E"/>
    <w:multiLevelType w:val="hybridMultilevel"/>
    <w:tmpl w:val="874CDB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3FCD5516"/>
    <w:multiLevelType w:val="hybridMultilevel"/>
    <w:tmpl w:val="9A24DA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73099C"/>
    <w:multiLevelType w:val="hybridMultilevel"/>
    <w:tmpl w:val="A57031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4D304F9"/>
    <w:multiLevelType w:val="hybridMultilevel"/>
    <w:tmpl w:val="ED40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85764A"/>
    <w:multiLevelType w:val="hybridMultilevel"/>
    <w:tmpl w:val="7B222E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7C507A3"/>
    <w:multiLevelType w:val="hybridMultilevel"/>
    <w:tmpl w:val="6324F6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845539C"/>
    <w:multiLevelType w:val="hybridMultilevel"/>
    <w:tmpl w:val="88B6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32D5"/>
    <w:multiLevelType w:val="hybridMultilevel"/>
    <w:tmpl w:val="C09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41C8B"/>
    <w:multiLevelType w:val="hybridMultilevel"/>
    <w:tmpl w:val="8C88B5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4B391ADB"/>
    <w:multiLevelType w:val="hybridMultilevel"/>
    <w:tmpl w:val="328EF278"/>
    <w:lvl w:ilvl="0" w:tplc="9EF232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4F081EF0"/>
    <w:multiLevelType w:val="hybridMultilevel"/>
    <w:tmpl w:val="8F5C59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52194449"/>
    <w:multiLevelType w:val="hybridMultilevel"/>
    <w:tmpl w:val="6E52DC48"/>
    <w:lvl w:ilvl="0" w:tplc="99FAB11E">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55F90B9B"/>
    <w:multiLevelType w:val="hybridMultilevel"/>
    <w:tmpl w:val="D0829732"/>
    <w:lvl w:ilvl="0" w:tplc="04090001">
      <w:start w:val="1"/>
      <w:numFmt w:val="bullet"/>
      <w:lvlText w:val=""/>
      <w:lvlJc w:val="left"/>
      <w:pPr>
        <w:ind w:left="792" w:hanging="360"/>
      </w:pPr>
      <w:rPr>
        <w:rFonts w:ascii="Symbol" w:hAnsi="Symbol" w:hint="default"/>
      </w:rPr>
    </w:lvl>
    <w:lvl w:ilvl="1" w:tplc="FD404DCC">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8917C13"/>
    <w:multiLevelType w:val="hybridMultilevel"/>
    <w:tmpl w:val="EEC23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B36249"/>
    <w:multiLevelType w:val="hybridMultilevel"/>
    <w:tmpl w:val="F536D4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5A7618F4"/>
    <w:multiLevelType w:val="hybridMultilevel"/>
    <w:tmpl w:val="06CAD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C0C080A"/>
    <w:multiLevelType w:val="hybridMultilevel"/>
    <w:tmpl w:val="1002A2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5CB427A0"/>
    <w:multiLevelType w:val="hybridMultilevel"/>
    <w:tmpl w:val="D99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851092"/>
    <w:multiLevelType w:val="hybridMultilevel"/>
    <w:tmpl w:val="E5A81800"/>
    <w:lvl w:ilvl="0" w:tplc="7EC83F7C">
      <w:numFmt w:val="bullet"/>
      <w:lvlText w:val="•"/>
      <w:lvlJc w:val="left"/>
      <w:pPr>
        <w:ind w:left="792" w:hanging="360"/>
      </w:pPr>
      <w:rPr>
        <w:rFonts w:ascii="Cambria" w:eastAsia="Calibri" w:hAnsi="Cambria"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612C1D2D"/>
    <w:multiLevelType w:val="hybridMultilevel"/>
    <w:tmpl w:val="DA5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6029B"/>
    <w:multiLevelType w:val="hybridMultilevel"/>
    <w:tmpl w:val="3A309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4073E59"/>
    <w:multiLevelType w:val="hybridMultilevel"/>
    <w:tmpl w:val="410CF4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64EC778D"/>
    <w:multiLevelType w:val="hybridMultilevel"/>
    <w:tmpl w:val="78748E3A"/>
    <w:lvl w:ilvl="0" w:tplc="04090001">
      <w:start w:val="1"/>
      <w:numFmt w:val="bullet"/>
      <w:lvlText w:val=""/>
      <w:lvlJc w:val="left"/>
      <w:pPr>
        <w:ind w:left="792" w:hanging="360"/>
      </w:pPr>
      <w:rPr>
        <w:rFonts w:ascii="Symbol" w:hAnsi="Symbol" w:hint="default"/>
      </w:rPr>
    </w:lvl>
    <w:lvl w:ilvl="1" w:tplc="CCC8BBC6">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15:restartNumberingAfterBreak="0">
    <w:nsid w:val="66BA3DAE"/>
    <w:multiLevelType w:val="hybridMultilevel"/>
    <w:tmpl w:val="D95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32ED4"/>
    <w:multiLevelType w:val="hybridMultilevel"/>
    <w:tmpl w:val="4DB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2523ED"/>
    <w:multiLevelType w:val="hybridMultilevel"/>
    <w:tmpl w:val="DAF452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6D5242D8"/>
    <w:multiLevelType w:val="multilevel"/>
    <w:tmpl w:val="19AA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D2188"/>
    <w:multiLevelType w:val="hybridMultilevel"/>
    <w:tmpl w:val="438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724809"/>
    <w:multiLevelType w:val="hybridMultilevel"/>
    <w:tmpl w:val="7780C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6F0E2DD3"/>
    <w:multiLevelType w:val="hybridMultilevel"/>
    <w:tmpl w:val="4A2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E1A81"/>
    <w:multiLevelType w:val="hybridMultilevel"/>
    <w:tmpl w:val="1056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5B156E"/>
    <w:multiLevelType w:val="hybridMultilevel"/>
    <w:tmpl w:val="4A180616"/>
    <w:lvl w:ilvl="0" w:tplc="ADF885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4A53806"/>
    <w:multiLevelType w:val="hybridMultilevel"/>
    <w:tmpl w:val="E65037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559310E"/>
    <w:multiLevelType w:val="hybridMultilevel"/>
    <w:tmpl w:val="6A6A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A15BCE"/>
    <w:multiLevelType w:val="hybridMultilevel"/>
    <w:tmpl w:val="222C77BC"/>
    <w:lvl w:ilvl="0" w:tplc="04090001">
      <w:start w:val="1"/>
      <w:numFmt w:val="bullet"/>
      <w:lvlText w:val=""/>
      <w:lvlJc w:val="left"/>
      <w:pPr>
        <w:ind w:left="792" w:hanging="360"/>
      </w:pPr>
      <w:rPr>
        <w:rFonts w:ascii="Symbol" w:hAnsi="Symbol" w:hint="default"/>
      </w:rPr>
    </w:lvl>
    <w:lvl w:ilvl="1" w:tplc="E1D68F02">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 w15:restartNumberingAfterBreak="0">
    <w:nsid w:val="76F30920"/>
    <w:multiLevelType w:val="hybridMultilevel"/>
    <w:tmpl w:val="79B8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15:restartNumberingAfterBreak="0">
    <w:nsid w:val="7F6C3508"/>
    <w:multiLevelType w:val="hybridMultilevel"/>
    <w:tmpl w:val="8974BA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4164663">
    <w:abstractNumId w:val="45"/>
  </w:num>
  <w:num w:numId="2" w16cid:durableId="87389589">
    <w:abstractNumId w:val="24"/>
  </w:num>
  <w:num w:numId="3" w16cid:durableId="659501241">
    <w:abstractNumId w:val="0"/>
  </w:num>
  <w:num w:numId="4" w16cid:durableId="1387029198">
    <w:abstractNumId w:val="59"/>
  </w:num>
  <w:num w:numId="5" w16cid:durableId="396519674">
    <w:abstractNumId w:val="20"/>
  </w:num>
  <w:num w:numId="6" w16cid:durableId="762409789">
    <w:abstractNumId w:val="30"/>
  </w:num>
  <w:num w:numId="7" w16cid:durableId="186916907">
    <w:abstractNumId w:val="33"/>
  </w:num>
  <w:num w:numId="8" w16cid:durableId="1602369685">
    <w:abstractNumId w:val="53"/>
  </w:num>
  <w:num w:numId="9" w16cid:durableId="647127347">
    <w:abstractNumId w:val="54"/>
  </w:num>
  <w:num w:numId="10" w16cid:durableId="1220632107">
    <w:abstractNumId w:val="57"/>
  </w:num>
  <w:num w:numId="11" w16cid:durableId="1741755792">
    <w:abstractNumId w:val="13"/>
  </w:num>
  <w:num w:numId="12" w16cid:durableId="950279756">
    <w:abstractNumId w:val="66"/>
  </w:num>
  <w:num w:numId="13" w16cid:durableId="1947927468">
    <w:abstractNumId w:val="25"/>
  </w:num>
  <w:num w:numId="14" w16cid:durableId="1320496178">
    <w:abstractNumId w:val="14"/>
  </w:num>
  <w:num w:numId="15" w16cid:durableId="2007173233">
    <w:abstractNumId w:val="46"/>
  </w:num>
  <w:num w:numId="16" w16cid:durableId="1111507248">
    <w:abstractNumId w:val="58"/>
  </w:num>
  <w:num w:numId="17" w16cid:durableId="1221408092">
    <w:abstractNumId w:val="60"/>
  </w:num>
  <w:num w:numId="18" w16cid:durableId="203712722">
    <w:abstractNumId w:val="63"/>
  </w:num>
  <w:num w:numId="19" w16cid:durableId="1410805463">
    <w:abstractNumId w:val="42"/>
  </w:num>
  <w:num w:numId="20" w16cid:durableId="417406946">
    <w:abstractNumId w:val="32"/>
  </w:num>
  <w:num w:numId="21" w16cid:durableId="1402369868">
    <w:abstractNumId w:val="8"/>
  </w:num>
  <w:num w:numId="22" w16cid:durableId="1294822637">
    <w:abstractNumId w:val="47"/>
  </w:num>
  <w:num w:numId="23" w16cid:durableId="141772137">
    <w:abstractNumId w:val="44"/>
  </w:num>
  <w:num w:numId="24" w16cid:durableId="1502354178">
    <w:abstractNumId w:val="3"/>
  </w:num>
  <w:num w:numId="25" w16cid:durableId="1220477138">
    <w:abstractNumId w:val="15"/>
  </w:num>
  <w:num w:numId="26" w16cid:durableId="2101947328">
    <w:abstractNumId w:val="26"/>
  </w:num>
  <w:num w:numId="27" w16cid:durableId="514459451">
    <w:abstractNumId w:val="34"/>
  </w:num>
  <w:num w:numId="28" w16cid:durableId="2027360656">
    <w:abstractNumId w:val="4"/>
  </w:num>
  <w:num w:numId="29" w16cid:durableId="674038603">
    <w:abstractNumId w:val="36"/>
  </w:num>
  <w:num w:numId="30" w16cid:durableId="263154492">
    <w:abstractNumId w:val="29"/>
  </w:num>
  <w:num w:numId="31" w16cid:durableId="197669646">
    <w:abstractNumId w:val="22"/>
  </w:num>
  <w:num w:numId="32" w16cid:durableId="1158695189">
    <w:abstractNumId w:val="21"/>
  </w:num>
  <w:num w:numId="33" w16cid:durableId="379332153">
    <w:abstractNumId w:val="27"/>
  </w:num>
  <w:num w:numId="34" w16cid:durableId="1486774316">
    <w:abstractNumId w:val="52"/>
  </w:num>
  <w:num w:numId="35" w16cid:durableId="1188638900">
    <w:abstractNumId w:val="64"/>
  </w:num>
  <w:num w:numId="36" w16cid:durableId="189298484">
    <w:abstractNumId w:val="62"/>
  </w:num>
  <w:num w:numId="37" w16cid:durableId="1491868992">
    <w:abstractNumId w:val="19"/>
  </w:num>
  <w:num w:numId="38" w16cid:durableId="498739075">
    <w:abstractNumId w:val="50"/>
  </w:num>
  <w:num w:numId="39" w16cid:durableId="631864787">
    <w:abstractNumId w:val="40"/>
  </w:num>
  <w:num w:numId="40" w16cid:durableId="1165246301">
    <w:abstractNumId w:val="10"/>
  </w:num>
  <w:num w:numId="41" w16cid:durableId="34427852">
    <w:abstractNumId w:val="38"/>
  </w:num>
  <w:num w:numId="42" w16cid:durableId="7803443">
    <w:abstractNumId w:val="18"/>
  </w:num>
  <w:num w:numId="43" w16cid:durableId="1924802620">
    <w:abstractNumId w:val="35"/>
  </w:num>
  <w:num w:numId="44" w16cid:durableId="379090213">
    <w:abstractNumId w:val="55"/>
  </w:num>
  <w:num w:numId="45" w16cid:durableId="2084985156">
    <w:abstractNumId w:val="5"/>
  </w:num>
  <w:num w:numId="46" w16cid:durableId="1099332068">
    <w:abstractNumId w:val="65"/>
  </w:num>
  <w:num w:numId="47" w16cid:durableId="1328021998">
    <w:abstractNumId w:val="31"/>
  </w:num>
  <w:num w:numId="48" w16cid:durableId="1696542502">
    <w:abstractNumId w:val="1"/>
  </w:num>
  <w:num w:numId="49" w16cid:durableId="456333330">
    <w:abstractNumId w:val="51"/>
  </w:num>
  <w:num w:numId="50" w16cid:durableId="1007437737">
    <w:abstractNumId w:val="7"/>
  </w:num>
  <w:num w:numId="51" w16cid:durableId="1442384772">
    <w:abstractNumId w:val="48"/>
  </w:num>
  <w:num w:numId="52" w16cid:durableId="945842540">
    <w:abstractNumId w:val="56"/>
  </w:num>
  <w:num w:numId="53" w16cid:durableId="1931429483">
    <w:abstractNumId w:val="11"/>
  </w:num>
  <w:num w:numId="54" w16cid:durableId="343748175">
    <w:abstractNumId w:val="6"/>
  </w:num>
  <w:num w:numId="55" w16cid:durableId="343286677">
    <w:abstractNumId w:val="9"/>
  </w:num>
  <w:num w:numId="56" w16cid:durableId="172495038">
    <w:abstractNumId w:val="61"/>
  </w:num>
  <w:num w:numId="57" w16cid:durableId="708915505">
    <w:abstractNumId w:val="43"/>
  </w:num>
  <w:num w:numId="58" w16cid:durableId="181862554">
    <w:abstractNumId w:val="49"/>
  </w:num>
  <w:num w:numId="59" w16cid:durableId="1010136997">
    <w:abstractNumId w:val="37"/>
  </w:num>
  <w:num w:numId="60" w16cid:durableId="975648653">
    <w:abstractNumId w:val="2"/>
  </w:num>
  <w:num w:numId="61" w16cid:durableId="1587417292">
    <w:abstractNumId w:val="28"/>
  </w:num>
  <w:num w:numId="62" w16cid:durableId="1419904971">
    <w:abstractNumId w:val="23"/>
  </w:num>
  <w:num w:numId="63" w16cid:durableId="1815760357">
    <w:abstractNumId w:val="12"/>
  </w:num>
  <w:num w:numId="64" w16cid:durableId="1639263211">
    <w:abstractNumId w:val="16"/>
  </w:num>
  <w:num w:numId="65" w16cid:durableId="139153081">
    <w:abstractNumId w:val="41"/>
  </w:num>
  <w:num w:numId="66" w16cid:durableId="521818105">
    <w:abstractNumId w:val="39"/>
  </w:num>
  <w:num w:numId="67" w16cid:durableId="17577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D4"/>
    <w:rsid w:val="00003CD4"/>
    <w:rsid w:val="000A4AD4"/>
    <w:rsid w:val="000C53B3"/>
    <w:rsid w:val="00182E42"/>
    <w:rsid w:val="004C3121"/>
    <w:rsid w:val="00731777"/>
    <w:rsid w:val="009658F4"/>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413B"/>
  <w15:chartTrackingRefBased/>
  <w15:docId w15:val="{0125F580-DF0D-4987-995B-2CAB8D8D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D4"/>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003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3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3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03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03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03CD4"/>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003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3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3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03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03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03CD4"/>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003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CD4"/>
    <w:rPr>
      <w:rFonts w:eastAsiaTheme="majorEastAsia" w:cstheme="majorBidi"/>
      <w:color w:val="272727" w:themeColor="text1" w:themeTint="D8"/>
    </w:rPr>
  </w:style>
  <w:style w:type="paragraph" w:styleId="Title">
    <w:name w:val="Title"/>
    <w:basedOn w:val="Normal"/>
    <w:next w:val="Normal"/>
    <w:link w:val="TitleChar"/>
    <w:uiPriority w:val="10"/>
    <w:qFormat/>
    <w:rsid w:val="00003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CD4"/>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CD4"/>
    <w:pPr>
      <w:spacing w:before="160"/>
      <w:jc w:val="center"/>
    </w:pPr>
    <w:rPr>
      <w:i/>
      <w:iCs/>
      <w:color w:val="404040" w:themeColor="text1" w:themeTint="BF"/>
    </w:rPr>
  </w:style>
  <w:style w:type="character" w:customStyle="1" w:styleId="QuoteChar">
    <w:name w:val="Quote Char"/>
    <w:basedOn w:val="DefaultParagraphFont"/>
    <w:link w:val="Quote"/>
    <w:uiPriority w:val="29"/>
    <w:rsid w:val="00003CD4"/>
    <w:rPr>
      <w:i/>
      <w:iCs/>
      <w:color w:val="404040" w:themeColor="text1" w:themeTint="BF"/>
    </w:rPr>
  </w:style>
  <w:style w:type="paragraph" w:styleId="ListParagraph">
    <w:name w:val="List Paragraph"/>
    <w:basedOn w:val="Normal"/>
    <w:uiPriority w:val="34"/>
    <w:qFormat/>
    <w:rsid w:val="00003CD4"/>
    <w:pPr>
      <w:ind w:left="720"/>
      <w:contextualSpacing/>
    </w:pPr>
  </w:style>
  <w:style w:type="character" w:styleId="IntenseEmphasis">
    <w:name w:val="Intense Emphasis"/>
    <w:basedOn w:val="DefaultParagraphFont"/>
    <w:uiPriority w:val="21"/>
    <w:qFormat/>
    <w:rsid w:val="00003CD4"/>
    <w:rPr>
      <w:i/>
      <w:iCs/>
      <w:color w:val="0F4761" w:themeColor="accent1" w:themeShade="BF"/>
    </w:rPr>
  </w:style>
  <w:style w:type="paragraph" w:styleId="IntenseQuote">
    <w:name w:val="Intense Quote"/>
    <w:basedOn w:val="Normal"/>
    <w:next w:val="Normal"/>
    <w:link w:val="IntenseQuoteChar"/>
    <w:uiPriority w:val="30"/>
    <w:qFormat/>
    <w:rsid w:val="00003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CD4"/>
    <w:rPr>
      <w:i/>
      <w:iCs/>
      <w:color w:val="0F4761" w:themeColor="accent1" w:themeShade="BF"/>
    </w:rPr>
  </w:style>
  <w:style w:type="character" w:styleId="IntenseReference">
    <w:name w:val="Intense Reference"/>
    <w:basedOn w:val="DefaultParagraphFont"/>
    <w:uiPriority w:val="32"/>
    <w:qFormat/>
    <w:rsid w:val="00003CD4"/>
    <w:rPr>
      <w:b/>
      <w:bCs/>
      <w:smallCaps/>
      <w:color w:val="0F4761" w:themeColor="accent1" w:themeShade="BF"/>
      <w:spacing w:val="5"/>
    </w:rPr>
  </w:style>
  <w:style w:type="paragraph" w:customStyle="1" w:styleId="OpinionCitation">
    <w:name w:val="Opinion Citation"/>
    <w:basedOn w:val="Normal"/>
    <w:link w:val="OpinionCitationChar"/>
    <w:qFormat/>
    <w:rsid w:val="00003CD4"/>
    <w:pPr>
      <w:keepNext/>
      <w:spacing w:after="120"/>
      <w:ind w:firstLine="0"/>
    </w:pPr>
    <w:rPr>
      <w:b/>
    </w:rPr>
  </w:style>
  <w:style w:type="character" w:customStyle="1" w:styleId="OpinionCitationChar">
    <w:name w:val="Opinion Citation Char"/>
    <w:link w:val="OpinionCitation"/>
    <w:rsid w:val="00003CD4"/>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003CD4"/>
    <w:pPr>
      <w:ind w:left="576" w:right="576" w:firstLine="0"/>
    </w:pPr>
  </w:style>
  <w:style w:type="character" w:customStyle="1" w:styleId="BlockquoteChar">
    <w:name w:val="Blockquote Char"/>
    <w:link w:val="Blockquote"/>
    <w:rsid w:val="00003CD4"/>
    <w:rPr>
      <w:rFonts w:ascii="Cambria" w:eastAsia="Calibri" w:hAnsi="Cambria" w:cs="Times New Roman"/>
      <w:kern w:val="0"/>
      <w:szCs w:val="20"/>
      <w14:ligatures w14:val="none"/>
    </w:rPr>
  </w:style>
  <w:style w:type="paragraph" w:styleId="FootnoteText">
    <w:name w:val="footnote text"/>
    <w:basedOn w:val="Normal"/>
    <w:link w:val="FootnoteTextChar"/>
    <w:uiPriority w:val="99"/>
    <w:unhideWhenUsed/>
    <w:qFormat/>
    <w:rsid w:val="00003CD4"/>
  </w:style>
  <w:style w:type="character" w:customStyle="1" w:styleId="FootnoteTextChar">
    <w:name w:val="Footnote Text Char"/>
    <w:basedOn w:val="DefaultParagraphFont"/>
    <w:link w:val="FootnoteText"/>
    <w:uiPriority w:val="99"/>
    <w:rsid w:val="00003CD4"/>
    <w:rPr>
      <w:rFonts w:ascii="Cambria" w:eastAsia="Calibri" w:hAnsi="Cambria" w:cs="Times New Roman"/>
      <w:kern w:val="0"/>
      <w:szCs w:val="20"/>
      <w14:ligatures w14:val="none"/>
    </w:rPr>
  </w:style>
  <w:style w:type="character" w:styleId="FootnoteReference">
    <w:name w:val="footnote reference"/>
    <w:uiPriority w:val="99"/>
    <w:semiHidden/>
    <w:unhideWhenUsed/>
    <w:rsid w:val="00003CD4"/>
    <w:rPr>
      <w:vertAlign w:val="superscript"/>
    </w:rPr>
  </w:style>
  <w:style w:type="paragraph" w:styleId="BalloonText">
    <w:name w:val="Balloon Text"/>
    <w:basedOn w:val="Normal"/>
    <w:link w:val="BalloonTextChar"/>
    <w:uiPriority w:val="99"/>
    <w:semiHidden/>
    <w:unhideWhenUsed/>
    <w:rsid w:val="00003C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CD4"/>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003CD4"/>
    <w:pPr>
      <w:ind w:firstLine="0"/>
    </w:pPr>
  </w:style>
  <w:style w:type="character" w:customStyle="1" w:styleId="NormalNoIndentChar">
    <w:name w:val="Normal No Indent Char"/>
    <w:link w:val="NormalNoIndent"/>
    <w:rsid w:val="00003CD4"/>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003CD4"/>
    <w:pPr>
      <w:tabs>
        <w:tab w:val="center" w:pos="4680"/>
        <w:tab w:val="right" w:pos="9360"/>
      </w:tabs>
    </w:pPr>
  </w:style>
  <w:style w:type="character" w:customStyle="1" w:styleId="HeaderChar">
    <w:name w:val="Header Char"/>
    <w:basedOn w:val="DefaultParagraphFont"/>
    <w:link w:val="Header"/>
    <w:uiPriority w:val="99"/>
    <w:rsid w:val="00003CD4"/>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003CD4"/>
    <w:pPr>
      <w:tabs>
        <w:tab w:val="center" w:pos="4680"/>
        <w:tab w:val="right" w:pos="9360"/>
      </w:tabs>
    </w:pPr>
  </w:style>
  <w:style w:type="character" w:customStyle="1" w:styleId="FooterChar">
    <w:name w:val="Footer Char"/>
    <w:basedOn w:val="DefaultParagraphFont"/>
    <w:link w:val="Footer"/>
    <w:uiPriority w:val="99"/>
    <w:rsid w:val="00003CD4"/>
    <w:rPr>
      <w:rFonts w:ascii="Cambria" w:eastAsia="Calibri" w:hAnsi="Cambria" w:cs="Times New Roman"/>
      <w:kern w:val="0"/>
      <w:szCs w:val="20"/>
      <w14:ligatures w14:val="none"/>
    </w:rPr>
  </w:style>
  <w:style w:type="paragraph" w:customStyle="1" w:styleId="CommentsandQuestions">
    <w:name w:val="Comments and Questions"/>
    <w:basedOn w:val="Normal"/>
    <w:link w:val="CommentsandQuestionsChar"/>
    <w:qFormat/>
    <w:rsid w:val="00003CD4"/>
    <w:pPr>
      <w:keepNext/>
      <w:spacing w:before="120" w:after="120"/>
      <w:ind w:firstLine="0"/>
      <w:jc w:val="center"/>
    </w:pPr>
    <w:rPr>
      <w:b/>
    </w:rPr>
  </w:style>
  <w:style w:type="character" w:customStyle="1" w:styleId="CommentsandQuestionsChar">
    <w:name w:val="Comments and Questions Char"/>
    <w:link w:val="CommentsandQuestions"/>
    <w:rsid w:val="00003CD4"/>
    <w:rPr>
      <w:rFonts w:ascii="Cambria" w:eastAsia="Calibri" w:hAnsi="Cambria" w:cs="Times New Roman"/>
      <w:b/>
      <w:kern w:val="0"/>
      <w:szCs w:val="20"/>
      <w14:ligatures w14:val="none"/>
    </w:rPr>
  </w:style>
  <w:style w:type="paragraph" w:styleId="ListBullet">
    <w:name w:val="List Bullet"/>
    <w:basedOn w:val="Normal"/>
    <w:uiPriority w:val="99"/>
    <w:unhideWhenUsed/>
    <w:rsid w:val="00003CD4"/>
    <w:pPr>
      <w:numPr>
        <w:numId w:val="3"/>
      </w:numPr>
      <w:contextualSpacing/>
    </w:pPr>
  </w:style>
  <w:style w:type="paragraph" w:customStyle="1" w:styleId="Dashbreak">
    <w:name w:val="Dash break"/>
    <w:basedOn w:val="NormalNoIndent"/>
    <w:link w:val="DashbreakChar"/>
    <w:qFormat/>
    <w:rsid w:val="00003CD4"/>
    <w:pPr>
      <w:spacing w:before="240" w:after="240"/>
      <w:jc w:val="center"/>
    </w:pPr>
  </w:style>
  <w:style w:type="character" w:customStyle="1" w:styleId="DashbreakChar">
    <w:name w:val="Dash break Char"/>
    <w:basedOn w:val="NormalNoIndentChar"/>
    <w:link w:val="Dashbreak"/>
    <w:rsid w:val="00003CD4"/>
    <w:rPr>
      <w:rFonts w:ascii="Cambria" w:eastAsia="Calibri" w:hAnsi="Cambria" w:cs="Times New Roman"/>
      <w:kern w:val="0"/>
      <w:szCs w:val="20"/>
      <w14:ligatures w14:val="none"/>
    </w:rPr>
  </w:style>
  <w:style w:type="paragraph" w:styleId="BodyText">
    <w:name w:val="Body Text"/>
    <w:basedOn w:val="Normal"/>
    <w:link w:val="BodyTextChar"/>
    <w:uiPriority w:val="99"/>
    <w:semiHidden/>
    <w:unhideWhenUsed/>
    <w:rsid w:val="00003CD4"/>
    <w:pPr>
      <w:spacing w:after="120"/>
    </w:pPr>
  </w:style>
  <w:style w:type="character" w:customStyle="1" w:styleId="BodyTextChar">
    <w:name w:val="Body Text Char"/>
    <w:basedOn w:val="DefaultParagraphFont"/>
    <w:link w:val="BodyText"/>
    <w:uiPriority w:val="99"/>
    <w:semiHidden/>
    <w:rsid w:val="00003CD4"/>
    <w:rPr>
      <w:rFonts w:ascii="Cambria" w:eastAsia="Calibri" w:hAnsi="Cambria" w:cs="Times New Roman"/>
      <w:kern w:val="0"/>
      <w:szCs w:val="20"/>
      <w14:ligatures w14:val="none"/>
    </w:rPr>
  </w:style>
  <w:style w:type="paragraph" w:customStyle="1" w:styleId="ReferenceLine">
    <w:name w:val="Reference Line"/>
    <w:basedOn w:val="BodyText"/>
    <w:rsid w:val="00003CD4"/>
  </w:style>
  <w:style w:type="character" w:styleId="Hyperlink">
    <w:name w:val="Hyperlink"/>
    <w:uiPriority w:val="99"/>
    <w:unhideWhenUsed/>
    <w:rsid w:val="00003CD4"/>
    <w:rPr>
      <w:color w:val="0000FF"/>
      <w:u w:val="single"/>
    </w:rPr>
  </w:style>
  <w:style w:type="paragraph" w:styleId="EndnoteText">
    <w:name w:val="endnote text"/>
    <w:basedOn w:val="Normal"/>
    <w:link w:val="EndnoteTextChar"/>
    <w:uiPriority w:val="99"/>
    <w:semiHidden/>
    <w:unhideWhenUsed/>
    <w:rsid w:val="00003CD4"/>
  </w:style>
  <w:style w:type="character" w:customStyle="1" w:styleId="EndnoteTextChar">
    <w:name w:val="Endnote Text Char"/>
    <w:basedOn w:val="DefaultParagraphFont"/>
    <w:link w:val="EndnoteText"/>
    <w:uiPriority w:val="99"/>
    <w:semiHidden/>
    <w:rsid w:val="00003CD4"/>
    <w:rPr>
      <w:rFonts w:ascii="Cambria" w:eastAsia="Calibri" w:hAnsi="Cambria" w:cs="Times New Roman"/>
      <w:kern w:val="0"/>
      <w:szCs w:val="20"/>
      <w14:ligatures w14:val="none"/>
    </w:rPr>
  </w:style>
  <w:style w:type="character" w:styleId="EndnoteReference">
    <w:name w:val="endnote reference"/>
    <w:uiPriority w:val="99"/>
    <w:semiHidden/>
    <w:unhideWhenUsed/>
    <w:rsid w:val="00003CD4"/>
    <w:rPr>
      <w:vertAlign w:val="superscript"/>
    </w:rPr>
  </w:style>
  <w:style w:type="paragraph" w:styleId="TOCHeading">
    <w:name w:val="TOC Heading"/>
    <w:basedOn w:val="Heading1"/>
    <w:next w:val="Normal"/>
    <w:uiPriority w:val="39"/>
    <w:semiHidden/>
    <w:unhideWhenUsed/>
    <w:qFormat/>
    <w:rsid w:val="00003CD4"/>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003CD4"/>
    <w:pPr>
      <w:tabs>
        <w:tab w:val="left" w:pos="440"/>
        <w:tab w:val="right" w:leader="dot" w:pos="8784"/>
      </w:tabs>
      <w:ind w:left="540" w:hanging="540"/>
      <w:jc w:val="center"/>
    </w:pPr>
  </w:style>
  <w:style w:type="paragraph" w:styleId="TOC2">
    <w:name w:val="toc 2"/>
    <w:basedOn w:val="Normal"/>
    <w:next w:val="Normal"/>
    <w:autoRedefine/>
    <w:uiPriority w:val="39"/>
    <w:unhideWhenUsed/>
    <w:rsid w:val="00003CD4"/>
    <w:pPr>
      <w:tabs>
        <w:tab w:val="left" w:pos="810"/>
        <w:tab w:val="right" w:leader="dot" w:pos="8784"/>
      </w:tabs>
    </w:pPr>
  </w:style>
  <w:style w:type="paragraph" w:styleId="TOC3">
    <w:name w:val="toc 3"/>
    <w:basedOn w:val="Normal"/>
    <w:next w:val="Normal"/>
    <w:autoRedefine/>
    <w:uiPriority w:val="39"/>
    <w:unhideWhenUsed/>
    <w:rsid w:val="00003CD4"/>
    <w:pPr>
      <w:tabs>
        <w:tab w:val="left" w:pos="1260"/>
        <w:tab w:val="right" w:leader="dot" w:pos="8784"/>
      </w:tabs>
      <w:ind w:left="1260" w:hanging="450"/>
    </w:pPr>
  </w:style>
  <w:style w:type="paragraph" w:styleId="TOC4">
    <w:name w:val="toc 4"/>
    <w:basedOn w:val="Normal"/>
    <w:next w:val="Normal"/>
    <w:autoRedefine/>
    <w:uiPriority w:val="39"/>
    <w:unhideWhenUsed/>
    <w:rsid w:val="00003CD4"/>
    <w:pPr>
      <w:tabs>
        <w:tab w:val="left" w:pos="1260"/>
        <w:tab w:val="left" w:pos="1710"/>
        <w:tab w:val="right" w:leader="dot" w:pos="8784"/>
      </w:tabs>
      <w:ind w:left="1699" w:hanging="432"/>
    </w:pPr>
  </w:style>
  <w:style w:type="paragraph" w:styleId="TOC5">
    <w:name w:val="toc 5"/>
    <w:basedOn w:val="Normal"/>
    <w:next w:val="Normal"/>
    <w:autoRedefine/>
    <w:uiPriority w:val="39"/>
    <w:unhideWhenUsed/>
    <w:rsid w:val="00003CD4"/>
    <w:pPr>
      <w:tabs>
        <w:tab w:val="left" w:pos="2160"/>
        <w:tab w:val="right" w:leader="dot" w:pos="8784"/>
      </w:tabs>
      <w:ind w:left="2160" w:hanging="450"/>
    </w:pPr>
  </w:style>
  <w:style w:type="paragraph" w:styleId="TOC6">
    <w:name w:val="toc 6"/>
    <w:basedOn w:val="Normal"/>
    <w:next w:val="Normal"/>
    <w:autoRedefine/>
    <w:uiPriority w:val="39"/>
    <w:unhideWhenUsed/>
    <w:rsid w:val="00003CD4"/>
    <w:pPr>
      <w:tabs>
        <w:tab w:val="left" w:pos="2610"/>
        <w:tab w:val="right" w:leader="dot" w:pos="8784"/>
      </w:tabs>
      <w:ind w:left="2610" w:hanging="450"/>
    </w:pPr>
  </w:style>
  <w:style w:type="character" w:styleId="LineNumber">
    <w:name w:val="line number"/>
    <w:uiPriority w:val="99"/>
    <w:semiHidden/>
    <w:unhideWhenUsed/>
    <w:rsid w:val="00003CD4"/>
  </w:style>
  <w:style w:type="paragraph" w:customStyle="1" w:styleId="FootNote">
    <w:name w:val="_FootNote"/>
    <w:basedOn w:val="Normal"/>
    <w:link w:val="FootNoteChar"/>
    <w:rsid w:val="00003CD4"/>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003CD4"/>
    <w:rPr>
      <w:rFonts w:ascii="NewCenturySchlbk" w:eastAsia="Times New Roman" w:hAnsi="NewCenturySchlbk" w:cs="Times New Roman"/>
      <w:kern w:val="0"/>
      <w:sz w:val="16"/>
      <w:szCs w:val="24"/>
      <w14:ligatures w14:val="none"/>
    </w:rPr>
  </w:style>
  <w:style w:type="character" w:customStyle="1" w:styleId="NoterefInNote">
    <w:name w:val="_NoterefInNote"/>
    <w:rsid w:val="00003CD4"/>
    <w:rPr>
      <w:rFonts w:ascii="NewCenturySchlbk" w:hAnsi="NewCenturySchlbk" w:hint="default"/>
      <w:sz w:val="16"/>
      <w:vertAlign w:val="baseline"/>
    </w:rPr>
  </w:style>
  <w:style w:type="paragraph" w:customStyle="1" w:styleId="Centered">
    <w:name w:val="Centered"/>
    <w:basedOn w:val="Normal"/>
    <w:link w:val="CenteredChar"/>
    <w:qFormat/>
    <w:rsid w:val="00003CD4"/>
    <w:pPr>
      <w:ind w:firstLine="0"/>
      <w:jc w:val="center"/>
    </w:pPr>
    <w:rPr>
      <w:i/>
      <w:iCs/>
    </w:rPr>
  </w:style>
  <w:style w:type="character" w:customStyle="1" w:styleId="CenteredChar">
    <w:name w:val="Centered Char"/>
    <w:link w:val="Centered"/>
    <w:rsid w:val="00003CD4"/>
    <w:rPr>
      <w:rFonts w:ascii="Cambria" w:eastAsia="Calibri" w:hAnsi="Cambria" w:cs="Times New Roman"/>
      <w:i/>
      <w:iCs/>
      <w:kern w:val="0"/>
      <w:szCs w:val="20"/>
      <w14:ligatures w14:val="none"/>
    </w:rPr>
  </w:style>
  <w:style w:type="paragraph" w:customStyle="1" w:styleId="Opinionheading">
    <w:name w:val="Opinion heading"/>
    <w:basedOn w:val="NormalNoIndent"/>
    <w:link w:val="OpinionheadingChar"/>
    <w:qFormat/>
    <w:rsid w:val="00003CD4"/>
    <w:rPr>
      <w:i/>
    </w:rPr>
  </w:style>
  <w:style w:type="character" w:customStyle="1" w:styleId="OpinionheadingChar">
    <w:name w:val="Opinion heading Char"/>
    <w:link w:val="Opinionheading"/>
    <w:rsid w:val="00003CD4"/>
    <w:rPr>
      <w:rFonts w:ascii="Cambria" w:eastAsia="Calibri" w:hAnsi="Cambria" w:cs="Times New Roman"/>
      <w:i/>
      <w:kern w:val="0"/>
      <w:szCs w:val="20"/>
      <w14:ligatures w14:val="none"/>
    </w:rPr>
  </w:style>
  <w:style w:type="paragraph" w:styleId="TOC8">
    <w:name w:val="toc 8"/>
    <w:basedOn w:val="Normal"/>
    <w:next w:val="Normal"/>
    <w:autoRedefine/>
    <w:uiPriority w:val="39"/>
    <w:unhideWhenUsed/>
    <w:rsid w:val="00003CD4"/>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003CD4"/>
    <w:pPr>
      <w:tabs>
        <w:tab w:val="right" w:leader="dot" w:pos="8784"/>
      </w:tabs>
      <w:ind w:left="1757" w:firstLine="0"/>
    </w:pPr>
    <w:rPr>
      <w:i/>
    </w:rPr>
  </w:style>
  <w:style w:type="paragraph" w:styleId="TOC9">
    <w:name w:val="toc 9"/>
    <w:basedOn w:val="Normal"/>
    <w:next w:val="Normal"/>
    <w:autoRedefine/>
    <w:uiPriority w:val="39"/>
    <w:unhideWhenUsed/>
    <w:rsid w:val="00003CD4"/>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003CD4"/>
    <w:pPr>
      <w:ind w:firstLine="432"/>
    </w:pPr>
  </w:style>
  <w:style w:type="character" w:customStyle="1" w:styleId="BlockquoteindentChar">
    <w:name w:val="Blockquote indent Char"/>
    <w:basedOn w:val="BlockquoteChar"/>
    <w:link w:val="Blockquoteindent"/>
    <w:rsid w:val="00003CD4"/>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003CD4"/>
    <w:pPr>
      <w:jc w:val="center"/>
    </w:pPr>
  </w:style>
  <w:style w:type="character" w:customStyle="1" w:styleId="Normal-CenteredChar">
    <w:name w:val="*Normal-Centered Char"/>
    <w:basedOn w:val="NormalNoIndentChar"/>
    <w:link w:val="Normal-Centered"/>
    <w:rsid w:val="00003CD4"/>
    <w:rPr>
      <w:rFonts w:ascii="Cambria" w:eastAsia="Calibri" w:hAnsi="Cambria" w:cs="Times New Roman"/>
      <w:kern w:val="0"/>
      <w:szCs w:val="20"/>
      <w14:ligatures w14:val="none"/>
    </w:rPr>
  </w:style>
  <w:style w:type="character" w:styleId="Emphasis">
    <w:name w:val="Emphasis"/>
    <w:uiPriority w:val="20"/>
    <w:qFormat/>
    <w:rsid w:val="00003CD4"/>
    <w:rPr>
      <w:i/>
      <w:iCs/>
    </w:rPr>
  </w:style>
  <w:style w:type="character" w:customStyle="1" w:styleId="cosearchterm">
    <w:name w:val="co_searchterm"/>
    <w:rsid w:val="00003CD4"/>
  </w:style>
  <w:style w:type="paragraph" w:customStyle="1" w:styleId="CommentsandQuestions0">
    <w:name w:val="CommentsandQuestions"/>
    <w:basedOn w:val="Normal-Centered"/>
    <w:rsid w:val="00003CD4"/>
    <w:rPr>
      <w:b/>
    </w:rPr>
  </w:style>
  <w:style w:type="character" w:styleId="FollowedHyperlink">
    <w:name w:val="FollowedHyperlink"/>
    <w:uiPriority w:val="99"/>
    <w:semiHidden/>
    <w:unhideWhenUsed/>
    <w:rsid w:val="00003CD4"/>
    <w:rPr>
      <w:color w:val="954F72"/>
      <w:u w:val="single"/>
    </w:rPr>
  </w:style>
  <w:style w:type="paragraph" w:customStyle="1" w:styleId="Dashedline">
    <w:name w:val="Dashed line"/>
    <w:basedOn w:val="CommentsandQuestions"/>
    <w:qFormat/>
    <w:rsid w:val="00003CD4"/>
    <w:pPr>
      <w:spacing w:after="240"/>
    </w:pPr>
  </w:style>
  <w:style w:type="character" w:styleId="CommentReference">
    <w:name w:val="annotation reference"/>
    <w:semiHidden/>
    <w:rsid w:val="00003CD4"/>
    <w:rPr>
      <w:sz w:val="16"/>
      <w:szCs w:val="16"/>
    </w:rPr>
  </w:style>
  <w:style w:type="paragraph" w:styleId="CommentText">
    <w:name w:val="annotation text"/>
    <w:basedOn w:val="Normal"/>
    <w:link w:val="CommentTextChar"/>
    <w:semiHidden/>
    <w:rsid w:val="00003CD4"/>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003CD4"/>
    <w:rPr>
      <w:rFonts w:ascii="Times New Roman" w:eastAsia="Times New Roman" w:hAnsi="Times New Roman" w:cs="Times New Roman"/>
      <w:kern w:val="0"/>
      <w:szCs w:val="20"/>
      <w14:ligatures w14:val="none"/>
    </w:rPr>
  </w:style>
  <w:style w:type="character" w:customStyle="1" w:styleId="ptext-">
    <w:name w:val="ptext-"/>
    <w:rsid w:val="00003CD4"/>
  </w:style>
  <w:style w:type="paragraph" w:customStyle="1" w:styleId="NormalCentered">
    <w:name w:val="NormalCentered"/>
    <w:basedOn w:val="Normal"/>
    <w:link w:val="NormalCenteredChar"/>
    <w:qFormat/>
    <w:rsid w:val="00003CD4"/>
    <w:pPr>
      <w:ind w:firstLine="0"/>
      <w:jc w:val="center"/>
    </w:pPr>
  </w:style>
  <w:style w:type="character" w:customStyle="1" w:styleId="NormalCenteredChar">
    <w:name w:val="NormalCentered Char"/>
    <w:link w:val="NormalCentered"/>
    <w:rsid w:val="00003CD4"/>
    <w:rPr>
      <w:rFonts w:ascii="Cambria" w:eastAsia="Calibri" w:hAnsi="Cambria" w:cs="Times New Roman"/>
      <w:kern w:val="0"/>
      <w:szCs w:val="20"/>
      <w14:ligatures w14:val="none"/>
    </w:rPr>
  </w:style>
  <w:style w:type="paragraph" w:customStyle="1" w:styleId="Blockquoteindentnoindent">
    <w:name w:val="Blockquoteindentnoindent"/>
    <w:basedOn w:val="Blockquoteindent"/>
    <w:link w:val="BlockquoteindentnoindentChar"/>
    <w:qFormat/>
    <w:rsid w:val="00003CD4"/>
    <w:pPr>
      <w:ind w:hanging="36"/>
    </w:pPr>
  </w:style>
  <w:style w:type="paragraph" w:customStyle="1" w:styleId="NormCntrItal">
    <w:name w:val="NormCntrItal"/>
    <w:basedOn w:val="NormalCentered"/>
    <w:qFormat/>
    <w:rsid w:val="00003CD4"/>
    <w:pPr>
      <w:keepNext/>
      <w:keepLines/>
    </w:pPr>
    <w:rPr>
      <w:i/>
      <w:sz w:val="20"/>
    </w:rPr>
  </w:style>
  <w:style w:type="character" w:customStyle="1" w:styleId="ssrfcpassagedeactivated">
    <w:name w:val="ss_rfcpassage_deactivated"/>
    <w:rsid w:val="00003CD4"/>
  </w:style>
  <w:style w:type="character" w:customStyle="1" w:styleId="costarpage">
    <w:name w:val="co_starpage"/>
    <w:rsid w:val="00003CD4"/>
  </w:style>
  <w:style w:type="paragraph" w:customStyle="1" w:styleId="CenteredBold">
    <w:name w:val="Centered Bold"/>
    <w:basedOn w:val="Centered"/>
    <w:link w:val="CenteredBoldChar"/>
    <w:qFormat/>
    <w:rsid w:val="00003CD4"/>
    <w:rPr>
      <w:b/>
      <w:i w:val="0"/>
    </w:rPr>
  </w:style>
  <w:style w:type="character" w:customStyle="1" w:styleId="CenteredBoldChar">
    <w:name w:val="Centered Bold Char"/>
    <w:link w:val="CenteredBold"/>
    <w:rsid w:val="00003CD4"/>
    <w:rPr>
      <w:rFonts w:ascii="Cambria" w:eastAsia="Calibri" w:hAnsi="Cambria" w:cs="Times New Roman"/>
      <w:b/>
      <w:iCs/>
      <w:kern w:val="0"/>
      <w:szCs w:val="20"/>
      <w14:ligatures w14:val="none"/>
    </w:rPr>
  </w:style>
  <w:style w:type="paragraph" w:styleId="CommentSubject">
    <w:name w:val="annotation subject"/>
    <w:basedOn w:val="CommentText"/>
    <w:next w:val="CommentText"/>
    <w:link w:val="CommentSubjectChar"/>
    <w:uiPriority w:val="99"/>
    <w:semiHidden/>
    <w:unhideWhenUsed/>
    <w:rsid w:val="00003CD4"/>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003CD4"/>
    <w:rPr>
      <w:rFonts w:ascii="Cambria" w:eastAsia="Calibri" w:hAnsi="Cambria" w:cs="Times New Roman"/>
      <w:b/>
      <w:bCs/>
      <w:kern w:val="0"/>
      <w:szCs w:val="20"/>
      <w14:ligatures w14:val="none"/>
    </w:rPr>
  </w:style>
  <w:style w:type="paragraph" w:styleId="Revision">
    <w:name w:val="Revision"/>
    <w:hidden/>
    <w:uiPriority w:val="99"/>
    <w:semiHidden/>
    <w:rsid w:val="00003CD4"/>
    <w:pPr>
      <w:spacing w:after="0" w:line="240" w:lineRule="auto"/>
    </w:pPr>
    <w:rPr>
      <w:rFonts w:ascii="Cambria" w:eastAsia="Calibri" w:hAnsi="Cambria" w:cs="Times New Roman"/>
      <w:kern w:val="0"/>
      <w:szCs w:val="20"/>
      <w14:ligatures w14:val="none"/>
    </w:rPr>
  </w:style>
  <w:style w:type="paragraph" w:customStyle="1" w:styleId="Normal-centered0">
    <w:name w:val="Normal-centered"/>
    <w:basedOn w:val="Normal"/>
    <w:qFormat/>
    <w:rsid w:val="00003CD4"/>
    <w:pPr>
      <w:ind w:firstLine="0"/>
      <w:jc w:val="center"/>
    </w:pPr>
    <w:rPr>
      <w:noProof/>
    </w:rPr>
  </w:style>
  <w:style w:type="character" w:customStyle="1" w:styleId="cosearchdetaillevel1">
    <w:name w:val="co_search_detaillevel_1"/>
    <w:rsid w:val="00003CD4"/>
  </w:style>
  <w:style w:type="table" w:styleId="TableGrid">
    <w:name w:val="Table Grid"/>
    <w:basedOn w:val="TableNormal"/>
    <w:uiPriority w:val="59"/>
    <w:rsid w:val="00003CD4"/>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003CD4"/>
    <w:pPr>
      <w:ind w:firstLine="432"/>
    </w:pPr>
  </w:style>
  <w:style w:type="paragraph" w:customStyle="1" w:styleId="doubleblockquote">
    <w:name w:val="doubleblockquote"/>
    <w:basedOn w:val="Blockquoteindent"/>
    <w:qFormat/>
    <w:rsid w:val="00003CD4"/>
    <w:pPr>
      <w:ind w:left="1008" w:right="1008"/>
    </w:pPr>
  </w:style>
  <w:style w:type="paragraph" w:customStyle="1" w:styleId="CntrdNoItal">
    <w:name w:val="CntrdNoItal"/>
    <w:basedOn w:val="Centered"/>
    <w:qFormat/>
    <w:rsid w:val="00003CD4"/>
    <w:rPr>
      <w:i w:val="0"/>
    </w:rPr>
  </w:style>
  <w:style w:type="paragraph" w:customStyle="1" w:styleId="NoIndentItalics">
    <w:name w:val="NoIndentItalics"/>
    <w:basedOn w:val="NormalNoIndent"/>
    <w:qFormat/>
    <w:rsid w:val="00003CD4"/>
    <w:rPr>
      <w:i/>
      <w:iCs/>
    </w:rPr>
  </w:style>
  <w:style w:type="paragraph" w:customStyle="1" w:styleId="HalfBlock">
    <w:name w:val="HalfBlock"/>
    <w:basedOn w:val="NormalNoIndent"/>
    <w:qFormat/>
    <w:rsid w:val="00003CD4"/>
    <w:pPr>
      <w:ind w:left="432"/>
    </w:pPr>
  </w:style>
  <w:style w:type="character" w:customStyle="1" w:styleId="ssleftalign">
    <w:name w:val="ss_leftalign"/>
    <w:rsid w:val="00003CD4"/>
  </w:style>
  <w:style w:type="character" w:customStyle="1" w:styleId="UnresolvedMention1">
    <w:name w:val="Unresolved Mention1"/>
    <w:uiPriority w:val="99"/>
    <w:semiHidden/>
    <w:unhideWhenUsed/>
    <w:rsid w:val="00003CD4"/>
    <w:rPr>
      <w:color w:val="605E5C"/>
      <w:shd w:val="clear" w:color="auto" w:fill="E1DFDD"/>
    </w:rPr>
  </w:style>
  <w:style w:type="paragraph" w:customStyle="1" w:styleId="Footer-V-Date">
    <w:name w:val="Footer-V-Date"/>
    <w:basedOn w:val="NormalNoIndent"/>
    <w:link w:val="Footer-V-DateChar"/>
    <w:qFormat/>
    <w:rsid w:val="00003CD4"/>
    <w:rPr>
      <w:sz w:val="16"/>
      <w:szCs w:val="16"/>
    </w:rPr>
  </w:style>
  <w:style w:type="paragraph" w:customStyle="1" w:styleId="DoubleBlockQuote0">
    <w:name w:val="DoubleBlockQuote"/>
    <w:basedOn w:val="Blockquoteindent"/>
    <w:link w:val="DoubleBlockQuoteChar"/>
    <w:qFormat/>
    <w:rsid w:val="00003CD4"/>
    <w:pPr>
      <w:ind w:left="1152" w:right="1152" w:firstLine="0"/>
    </w:pPr>
  </w:style>
  <w:style w:type="character" w:customStyle="1" w:styleId="Footer-V-DateChar">
    <w:name w:val="Footer-V-Date Char"/>
    <w:link w:val="Footer-V-Date"/>
    <w:rsid w:val="00003CD4"/>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003CD4"/>
    <w:pPr>
      <w:ind w:left="1008" w:firstLine="0"/>
    </w:pPr>
  </w:style>
  <w:style w:type="character" w:customStyle="1" w:styleId="DoubleBlockQuoteChar">
    <w:name w:val="DoubleBlockQuote Char"/>
    <w:basedOn w:val="BlockquoteindentChar"/>
    <w:link w:val="DoubleBlockQuote0"/>
    <w:rsid w:val="00003CD4"/>
    <w:rPr>
      <w:rFonts w:ascii="Cambria" w:eastAsia="Calibri" w:hAnsi="Cambria" w:cs="Times New Roman"/>
      <w:kern w:val="0"/>
      <w:szCs w:val="20"/>
      <w14:ligatures w14:val="none"/>
    </w:rPr>
  </w:style>
  <w:style w:type="character" w:customStyle="1" w:styleId="BlockquoteindentnoindentChar">
    <w:name w:val="Blockquoteindentnoindent Char"/>
    <w:basedOn w:val="BlockquoteindentChar"/>
    <w:link w:val="Blockquoteindentnoindent"/>
    <w:rsid w:val="00003CD4"/>
    <w:rPr>
      <w:rFonts w:ascii="Cambria" w:eastAsia="Calibri" w:hAnsi="Cambria" w:cs="Times New Roman"/>
      <w:kern w:val="0"/>
      <w:szCs w:val="20"/>
      <w14:ligatures w14:val="none"/>
    </w:rPr>
  </w:style>
  <w:style w:type="character" w:customStyle="1" w:styleId="DoubleindentblockquoteChar">
    <w:name w:val="Doubleindentblockquote Char"/>
    <w:basedOn w:val="BlockquoteindentnoindentChar"/>
    <w:link w:val="Doubleindentblockquote"/>
    <w:rsid w:val="00003CD4"/>
    <w:rPr>
      <w:rFonts w:ascii="Cambria" w:eastAsia="Calibri" w:hAnsi="Cambria" w:cs="Times New Roman"/>
      <w:kern w:val="0"/>
      <w:szCs w:val="20"/>
      <w14:ligatures w14:val="none"/>
    </w:rPr>
  </w:style>
  <w:style w:type="paragraph" w:customStyle="1" w:styleId="TimeProgression">
    <w:name w:val="TimeProgression"/>
    <w:basedOn w:val="Blockquote"/>
    <w:link w:val="TimeProgressionChar"/>
    <w:qFormat/>
    <w:rsid w:val="00003CD4"/>
    <w:pPr>
      <w:ind w:left="1350" w:hanging="774"/>
    </w:pPr>
  </w:style>
  <w:style w:type="character" w:customStyle="1" w:styleId="TimeProgressionChar">
    <w:name w:val="TimeProgression Char"/>
    <w:basedOn w:val="BlockquoteChar"/>
    <w:link w:val="TimeProgression"/>
    <w:rsid w:val="00003CD4"/>
    <w:rPr>
      <w:rFonts w:ascii="Cambria" w:eastAsia="Calibri" w:hAnsi="Cambria" w:cs="Times New Roman"/>
      <w:kern w:val="0"/>
      <w:szCs w:val="20"/>
      <w14:ligatures w14:val="none"/>
    </w:rPr>
  </w:style>
  <w:style w:type="paragraph" w:customStyle="1" w:styleId="Pagenumber">
    <w:name w:val="Pagenumber"/>
    <w:basedOn w:val="Normal-Centered"/>
    <w:link w:val="PagenumberChar"/>
    <w:qFormat/>
    <w:rsid w:val="00003CD4"/>
    <w:rPr>
      <w:sz w:val="20"/>
    </w:rPr>
  </w:style>
  <w:style w:type="character" w:customStyle="1" w:styleId="PagenumberChar">
    <w:name w:val="Pagenumber Char"/>
    <w:basedOn w:val="Normal-CenteredChar"/>
    <w:link w:val="Pagenumber"/>
    <w:rsid w:val="00003CD4"/>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003CD4"/>
    <w:rPr>
      <w:sz w:val="20"/>
    </w:rPr>
  </w:style>
  <w:style w:type="character" w:customStyle="1" w:styleId="Header10Char">
    <w:name w:val="Header10 Char"/>
    <w:basedOn w:val="CenteredChar"/>
    <w:link w:val="Header10"/>
    <w:rsid w:val="00003CD4"/>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003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11062</Words>
  <Characters>63059</Characters>
  <Application>Microsoft Office Word</Application>
  <DocSecurity>0</DocSecurity>
  <Lines>525</Lines>
  <Paragraphs>147</Paragraphs>
  <ScaleCrop>false</ScaleCrop>
  <Company/>
  <LinksUpToDate>false</LinksUpToDate>
  <CharactersWithSpaces>73974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2024-07-15T21:02:00Z</dcterms:created>
  <dcterms:modified xsi:type="dcterms:W3CDTF">2024-07-24T22:49:00Z</dcterms:modified>
</cp:coreProperties>
</file>