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7658E" w14:textId="77777777" w:rsidR="009D7088" w:rsidRPr="009329C0" w:rsidRDefault="009D7088" w:rsidP="009D7088">
      <w:pPr>
        <w:rPr>
          <w:rFonts w:ascii="Georgia" w:hAnsi="Georgia"/>
        </w:rPr>
      </w:pPr>
    </w:p>
    <w:p w14:paraId="54CFC2D7" w14:textId="77777777" w:rsidR="009D7088" w:rsidRPr="009329C0" w:rsidRDefault="009D7088" w:rsidP="009D7088">
      <w:pPr>
        <w:pStyle w:val="Normal-Centered"/>
        <w:rPr>
          <w:rFonts w:ascii="Georgia" w:hAnsi="Georgia"/>
        </w:rPr>
      </w:pPr>
      <w:r w:rsidRPr="009329C0">
        <w:rPr>
          <w:rFonts w:ascii="Georgia" w:hAnsi="Georgia"/>
          <w:noProof/>
        </w:rPr>
        <w:drawing>
          <wp:inline distT="0" distB="0" distL="0" distR="0" wp14:anchorId="11BD3DDE" wp14:editId="23FB2AF1">
            <wp:extent cx="2298065" cy="4874260"/>
            <wp:effectExtent l="0" t="0" r="0" b="0"/>
            <wp:docPr id="175" name="Picture 1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4"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065" cy="4874260"/>
                    </a:xfrm>
                    <a:prstGeom prst="rect">
                      <a:avLst/>
                    </a:prstGeom>
                    <a:noFill/>
                    <a:ln>
                      <a:noFill/>
                    </a:ln>
                  </pic:spPr>
                </pic:pic>
              </a:graphicData>
            </a:graphic>
          </wp:inline>
        </w:drawing>
      </w:r>
    </w:p>
    <w:p w14:paraId="41728C2B" w14:textId="77777777" w:rsidR="009D7088" w:rsidRPr="009329C0" w:rsidRDefault="009D7088" w:rsidP="009D7088">
      <w:pPr>
        <w:rPr>
          <w:rFonts w:ascii="Georgia" w:hAnsi="Georgia"/>
        </w:rPr>
      </w:pPr>
    </w:p>
    <w:p w14:paraId="62783432" w14:textId="77777777" w:rsidR="009D7088" w:rsidRPr="009329C0" w:rsidRDefault="009D7088" w:rsidP="009329C0">
      <w:pPr>
        <w:pStyle w:val="Heading7"/>
        <w:jc w:val="center"/>
        <w:rPr>
          <w:rFonts w:ascii="Georgia" w:hAnsi="Georgia"/>
          <w:b/>
          <w:bCs/>
          <w:color w:val="000000" w:themeColor="text1"/>
          <w:sz w:val="32"/>
          <w:szCs w:val="32"/>
        </w:rPr>
      </w:pPr>
      <w:bookmarkStart w:id="0" w:name="_Toc171715894"/>
      <w:r w:rsidRPr="009329C0">
        <w:rPr>
          <w:rFonts w:ascii="Georgia" w:hAnsi="Georgia"/>
          <w:b/>
          <w:bCs/>
          <w:color w:val="000000" w:themeColor="text1"/>
          <w:sz w:val="32"/>
          <w:szCs w:val="32"/>
        </w:rPr>
        <w:t>White v. Samsung Electronics America, Inc.</w:t>
      </w:r>
      <w:bookmarkEnd w:id="0"/>
    </w:p>
    <w:p w14:paraId="3877558E" w14:textId="77777777" w:rsidR="009D7088" w:rsidRPr="009329C0" w:rsidRDefault="009D7088" w:rsidP="009329C0">
      <w:pPr>
        <w:pStyle w:val="OpinionCitation"/>
        <w:jc w:val="center"/>
        <w:rPr>
          <w:rFonts w:ascii="Georgia" w:hAnsi="Georgia"/>
        </w:rPr>
      </w:pPr>
      <w:r w:rsidRPr="009329C0">
        <w:rPr>
          <w:rFonts w:ascii="Georgia" w:hAnsi="Georgia"/>
        </w:rPr>
        <w:t>971 F.2d 1395 (9th Cir. 1992)</w:t>
      </w:r>
    </w:p>
    <w:p w14:paraId="5519F7EF" w14:textId="77777777" w:rsidR="009D7088" w:rsidRPr="009329C0" w:rsidRDefault="009D7088" w:rsidP="009D7088">
      <w:pPr>
        <w:pStyle w:val="NormalNoIndent"/>
        <w:rPr>
          <w:rFonts w:ascii="Georgia" w:hAnsi="Georgia"/>
        </w:rPr>
      </w:pPr>
      <w:r w:rsidRPr="009329C0">
        <w:rPr>
          <w:rFonts w:ascii="Georgia" w:hAnsi="Georgia"/>
        </w:rPr>
        <w:t>GOODWIN, Senior Circuit Judge:</w:t>
      </w:r>
    </w:p>
    <w:p w14:paraId="60497360" w14:textId="7AB7B488" w:rsidR="009D7088" w:rsidRPr="009329C0" w:rsidRDefault="009D7088" w:rsidP="009D7088">
      <w:pPr>
        <w:rPr>
          <w:rFonts w:ascii="Georgia" w:hAnsi="Georgia"/>
        </w:rPr>
      </w:pPr>
      <w:r w:rsidRPr="009329C0">
        <w:rPr>
          <w:rFonts w:ascii="Georgia" w:hAnsi="Georgia"/>
        </w:rPr>
        <w:t>This case involves a promotional “fame and fortune” dispute. In running a particular advertisement without Vanna White’s permission, defendants Samsung Electronics America, Inc. (Samsung) and David Deutsch Associates, Inc. (Deutsch) attempted to capitalize on White’s fame to enhance their fortune. White sued, alleging infringement of various intellectual property rights, but the district court granted summary judgment in favor of the defendants. We affirm in part, reverse in part, and remand.</w:t>
      </w:r>
    </w:p>
    <w:p w14:paraId="7CDC04C2" w14:textId="7495BA11" w:rsidR="009D7088" w:rsidRPr="009329C0" w:rsidRDefault="009D7088" w:rsidP="009D7088">
      <w:pPr>
        <w:rPr>
          <w:rFonts w:ascii="Georgia" w:hAnsi="Georgia"/>
        </w:rPr>
      </w:pPr>
      <w:r w:rsidRPr="009329C0">
        <w:rPr>
          <w:rFonts w:ascii="Georgia" w:hAnsi="Georgia"/>
        </w:rPr>
        <w:lastRenderedPageBreak/>
        <w:t>Plaintiff Vanna White is the hostess of “Wheel of Fortune,” one of the most popular game shows in television history. An estimated forty million people watch the program daily. Capitalizing on the fame which her participation in the show has bestowed on her, White markets her identity to various advertisers.</w:t>
      </w:r>
    </w:p>
    <w:p w14:paraId="1FAF9358" w14:textId="2F101756" w:rsidR="009D7088" w:rsidRPr="009329C0" w:rsidRDefault="009D7088" w:rsidP="009D7088">
      <w:pPr>
        <w:rPr>
          <w:rFonts w:ascii="Georgia" w:hAnsi="Georgia"/>
        </w:rPr>
      </w:pPr>
      <w:r w:rsidRPr="009329C0">
        <w:rPr>
          <w:rFonts w:ascii="Georgia" w:hAnsi="Georgia"/>
        </w:rPr>
        <w:t>The dispute in this case arose out of a series of advertisements prepared for Samsung by Deutsch. The series ran in at least half a dozen publications with widespread, and in some cases national, circulation. Each of the advertisements in the series followed the same theme. Each depicted a current item from popular culture and a Samsung electronic product. Each was set in the twenty-first century and conveyed the message that the Samsung product would still be in use by that time. By hypothesizing outrageous future outcomes for the cultural items, the ads created humorous effects. For example, one lampooned current popular notions of an unhealthy diet by depicting a raw steak with the caption: “Revealed to be health food. 2010 A.D.” Another depicted irreverent “news”-show host Morton Downey Jr. in front of an American flag with the caption: “Presidential candidate. 2008 A.D.”</w:t>
      </w:r>
    </w:p>
    <w:p w14:paraId="2DB45D07" w14:textId="175C0D25" w:rsidR="009D7088" w:rsidRPr="009329C0" w:rsidRDefault="009D7088" w:rsidP="009D7088">
      <w:pPr>
        <w:rPr>
          <w:rFonts w:ascii="Georgia" w:hAnsi="Georgia"/>
        </w:rPr>
      </w:pPr>
      <w:r w:rsidRPr="009329C0">
        <w:rPr>
          <w:rFonts w:ascii="Georgia" w:hAnsi="Georgia"/>
        </w:rPr>
        <w:t>The advertisement which prompted the current dispute was for Samsung video-cassette recorders (VCRs). The ad depicted a robot, dressed in a wig, gown, and jewelry which Deutsch consciously selected to resemble White’s hair and dress. The robot was posed next to a game board which is instantly recognizable as the Wheel of Fortune game show set, in a stance for which White is famous. The caption of the ad read: “Longest-running game show. 2012 A.D.” Defendants referred to the ad as the “Vanna White” ad. Unlike the other celebrities used in the campaign, White neither consented to the ads nor was she paid.</w:t>
      </w:r>
    </w:p>
    <w:p w14:paraId="7B61A903" w14:textId="4171022F" w:rsidR="009D7088" w:rsidRPr="009329C0" w:rsidRDefault="009D7088" w:rsidP="009D7088">
      <w:pPr>
        <w:rPr>
          <w:rFonts w:ascii="Georgia" w:hAnsi="Georgia"/>
        </w:rPr>
      </w:pPr>
      <w:r w:rsidRPr="009329C0">
        <w:rPr>
          <w:rFonts w:ascii="Georgia" w:hAnsi="Georgia"/>
        </w:rPr>
        <w:t>Following the circulation of the robot ad, White sued Samsung and Deutsch in federal district court under: (1) California Civil Code § 3344; (2) the California common law right of publicity; and (3) § 43(a) of the Lanham Act, 15 U.S.C. § 1125(a). The district court granted summary judgment against White on each of her claims. White now appeals.</w:t>
      </w:r>
    </w:p>
    <w:p w14:paraId="6C9DBF44" w14:textId="77777777" w:rsidR="009D7088" w:rsidRPr="009329C0" w:rsidRDefault="009D7088" w:rsidP="009D7088">
      <w:pPr>
        <w:pStyle w:val="Centered"/>
        <w:rPr>
          <w:rFonts w:ascii="Georgia" w:hAnsi="Georgia"/>
        </w:rPr>
      </w:pPr>
      <w:r w:rsidRPr="009329C0">
        <w:rPr>
          <w:rFonts w:ascii="Georgia" w:hAnsi="Georgia"/>
        </w:rPr>
        <w:t>I. Section 3344</w:t>
      </w:r>
    </w:p>
    <w:p w14:paraId="7ABF722F" w14:textId="276D9254" w:rsidR="009D7088" w:rsidRPr="009329C0" w:rsidRDefault="009D7088" w:rsidP="009D7088">
      <w:pPr>
        <w:rPr>
          <w:rFonts w:ascii="Georgia" w:hAnsi="Georgia"/>
        </w:rPr>
      </w:pPr>
      <w:r w:rsidRPr="009329C0">
        <w:rPr>
          <w:rFonts w:ascii="Georgia" w:hAnsi="Georgia"/>
        </w:rPr>
        <w:t>White first argues that the district court erred in rejecting her claim under section 3344. Section 3344(a) provides, in pertinent part, that “[a]ny person who knowingly uses another’s name, voice, signature, photograph, or likeness, in any manner, . . . for purposes of advertising or selling, . . . without such person’s prior consent . . . shall be liable for any damages sustained by the person or persons injured as a result thereof.”</w:t>
      </w:r>
    </w:p>
    <w:p w14:paraId="1D8C773A" w14:textId="31935E68" w:rsidR="009D7088" w:rsidRPr="009329C0" w:rsidRDefault="009D7088" w:rsidP="009D7088">
      <w:pPr>
        <w:rPr>
          <w:rFonts w:ascii="Georgia" w:hAnsi="Georgia"/>
        </w:rPr>
      </w:pPr>
      <w:r w:rsidRPr="009329C0">
        <w:rPr>
          <w:rFonts w:ascii="Georgia" w:hAnsi="Georgia"/>
        </w:rPr>
        <w:t xml:space="preserve">White argues that the Samsung advertisement used her “likeness” in contravention of section 3344. In </w:t>
      </w:r>
      <w:r w:rsidRPr="009329C0">
        <w:rPr>
          <w:rFonts w:ascii="Georgia" w:hAnsi="Georgia"/>
          <w:i/>
          <w:iCs/>
        </w:rPr>
        <w:t>Midler v. Ford Motor Co.,</w:t>
      </w:r>
      <w:r w:rsidRPr="009329C0">
        <w:rPr>
          <w:rFonts w:ascii="Georgia" w:hAnsi="Georgia"/>
        </w:rPr>
        <w:t xml:space="preserve"> 849 F.2d 460 (9th Cir. 1988), this court rejected Bette Midler’s section 3344 claim concerning a Ford television commercial in which a Midler “sound-alike” sang a song which Midler </w:t>
      </w:r>
      <w:r w:rsidRPr="009329C0">
        <w:rPr>
          <w:rFonts w:ascii="Georgia" w:hAnsi="Georgia"/>
        </w:rPr>
        <w:lastRenderedPageBreak/>
        <w:t>had made famous. In rejecting Midler’s claim, this court noted that “[t]he defendants did not use Midler’s name or anything else whose use is prohibited by the statute. The voice they used was [another person’s], not hers. The term ‘</w:t>
      </w:r>
      <w:proofErr w:type="gramStart"/>
      <w:r w:rsidRPr="009329C0">
        <w:rPr>
          <w:rFonts w:ascii="Georgia" w:hAnsi="Georgia"/>
        </w:rPr>
        <w:t>likeness’</w:t>
      </w:r>
      <w:proofErr w:type="gramEnd"/>
      <w:r w:rsidRPr="009329C0">
        <w:rPr>
          <w:rFonts w:ascii="Georgia" w:hAnsi="Georgia"/>
        </w:rPr>
        <w:t xml:space="preserve"> refers to a visual image not a vocal imitation.” </w:t>
      </w:r>
      <w:r w:rsidRPr="009329C0">
        <w:rPr>
          <w:rFonts w:ascii="Georgia" w:hAnsi="Georgia"/>
          <w:i/>
          <w:iCs/>
        </w:rPr>
        <w:t>Id.</w:t>
      </w:r>
      <w:r w:rsidRPr="009329C0">
        <w:rPr>
          <w:rFonts w:ascii="Georgia" w:hAnsi="Georgia"/>
        </w:rPr>
        <w:t xml:space="preserve"> at 463.</w:t>
      </w:r>
    </w:p>
    <w:p w14:paraId="30C6B32E" w14:textId="7D9996F7" w:rsidR="009D7088" w:rsidRPr="009329C0" w:rsidRDefault="009D7088" w:rsidP="009D7088">
      <w:pPr>
        <w:rPr>
          <w:rFonts w:ascii="Georgia" w:hAnsi="Georgia"/>
        </w:rPr>
      </w:pPr>
      <w:r w:rsidRPr="009329C0">
        <w:rPr>
          <w:rFonts w:ascii="Georgia" w:hAnsi="Georgia"/>
        </w:rPr>
        <w:t>In this case, Samsung and Deutsch used a robot with mechanical features, and not, for example, a manikin molded to White’s precise features. Without deciding for all purposes when a caricature or impressionistic resemblance might become a “likeness,” we agree with the district court that the robot at issue here was not White’s “likeness” within the meaning of section 3344. Accordingly, we affirm the court’s dismissal of White’s section 3344 claim.</w:t>
      </w:r>
    </w:p>
    <w:p w14:paraId="51D4ADA6" w14:textId="77777777" w:rsidR="009D7088" w:rsidRPr="009329C0" w:rsidRDefault="009D7088" w:rsidP="009D7088">
      <w:pPr>
        <w:pStyle w:val="Centered"/>
        <w:rPr>
          <w:rFonts w:ascii="Georgia" w:hAnsi="Georgia"/>
        </w:rPr>
      </w:pPr>
      <w:r w:rsidRPr="009329C0">
        <w:rPr>
          <w:rFonts w:ascii="Georgia" w:hAnsi="Georgia"/>
        </w:rPr>
        <w:t>II. Right of Publicity</w:t>
      </w:r>
    </w:p>
    <w:p w14:paraId="67168D26" w14:textId="0841841C" w:rsidR="009D7088" w:rsidRPr="009329C0" w:rsidRDefault="009D7088" w:rsidP="009D7088">
      <w:pPr>
        <w:rPr>
          <w:rFonts w:ascii="Georgia" w:hAnsi="Georgia"/>
        </w:rPr>
      </w:pPr>
      <w:r w:rsidRPr="009329C0">
        <w:rPr>
          <w:rFonts w:ascii="Georgia" w:hAnsi="Georgia"/>
        </w:rPr>
        <w:t xml:space="preserve">White next argues that the district court erred in granting summary judgment to defendants on White’s common law right of publicity claim. In </w:t>
      </w:r>
      <w:r w:rsidRPr="009329C0">
        <w:rPr>
          <w:rFonts w:ascii="Georgia" w:hAnsi="Georgia"/>
          <w:i/>
          <w:iCs/>
        </w:rPr>
        <w:t>Eastwood v. Superior Court,</w:t>
      </w:r>
      <w:r w:rsidRPr="009329C0">
        <w:rPr>
          <w:rFonts w:ascii="Georgia" w:hAnsi="Georgia"/>
        </w:rPr>
        <w:t xml:space="preserve"> 149 Cal.App.3d 409, 198 Cal.Rptr. 342 (1983), the California court of appeal stated that the common law right of publicity cause of action “may be pleaded by alleging (1) the defendant’s use of the plaintiff’s identity; (2) the appropriation of plaintiff’s name or likeness to defendant’s advantage, commercially or otherwise; (3) lack of consent; and (4) resulting injury.” </w:t>
      </w:r>
      <w:r w:rsidRPr="009329C0">
        <w:rPr>
          <w:rFonts w:ascii="Georgia" w:hAnsi="Georgia"/>
          <w:i/>
          <w:iCs/>
        </w:rPr>
        <w:t>Id.</w:t>
      </w:r>
      <w:r w:rsidRPr="009329C0">
        <w:rPr>
          <w:rFonts w:ascii="Georgia" w:hAnsi="Georgia"/>
        </w:rPr>
        <w:t xml:space="preserve"> at 417, 198 Cal.Rptr. 342 (citing Prosser, Law of Torts (4th ed. 1971) § 117, pp. 804–807). The district court dismissed White’s claim for failure to satisfy </w:t>
      </w:r>
      <w:r w:rsidRPr="009329C0">
        <w:rPr>
          <w:rFonts w:ascii="Georgia" w:hAnsi="Georgia"/>
          <w:i/>
          <w:iCs/>
        </w:rPr>
        <w:t>Eastwood’s</w:t>
      </w:r>
      <w:r w:rsidRPr="009329C0">
        <w:rPr>
          <w:rFonts w:ascii="Georgia" w:hAnsi="Georgia"/>
        </w:rPr>
        <w:t xml:space="preserve"> second prong, reasoning </w:t>
      </w:r>
      <w:proofErr w:type="gramStart"/>
      <w:r w:rsidRPr="009329C0">
        <w:rPr>
          <w:rFonts w:ascii="Georgia" w:hAnsi="Georgia"/>
        </w:rPr>
        <w:t>that defendants</w:t>
      </w:r>
      <w:proofErr w:type="gramEnd"/>
      <w:r w:rsidRPr="009329C0">
        <w:rPr>
          <w:rFonts w:ascii="Georgia" w:hAnsi="Georgia"/>
        </w:rPr>
        <w:t xml:space="preserve"> had not appropriated White’s “name or likeness” with their robot ad. We agree that the robot ad did not make use of White’s name or likeness. However, the common law right of publicity is not so confined.</w:t>
      </w:r>
    </w:p>
    <w:p w14:paraId="6731CE75" w14:textId="5475DBBF" w:rsidR="009D7088" w:rsidRPr="009329C0" w:rsidRDefault="009D7088" w:rsidP="009D7088">
      <w:pPr>
        <w:rPr>
          <w:rFonts w:ascii="Georgia" w:hAnsi="Georgia"/>
        </w:rPr>
      </w:pPr>
      <w:r w:rsidRPr="009329C0">
        <w:rPr>
          <w:rFonts w:ascii="Georgia" w:hAnsi="Georgia"/>
        </w:rPr>
        <w:t xml:space="preserve">The </w:t>
      </w:r>
      <w:r w:rsidRPr="009329C0">
        <w:rPr>
          <w:rFonts w:ascii="Georgia" w:hAnsi="Georgia"/>
          <w:i/>
          <w:iCs/>
        </w:rPr>
        <w:t>Eastwood</w:t>
      </w:r>
      <w:r w:rsidRPr="009329C0">
        <w:rPr>
          <w:rFonts w:ascii="Georgia" w:hAnsi="Georgia"/>
        </w:rPr>
        <w:t xml:space="preserve"> court did not hold that the right of publicity cause of action could be pleaded only by alleging an appropriation of name or likeness. </w:t>
      </w:r>
      <w:r w:rsidRPr="009329C0">
        <w:rPr>
          <w:rFonts w:ascii="Georgia" w:hAnsi="Georgia"/>
          <w:i/>
          <w:iCs/>
        </w:rPr>
        <w:t>Eastwood</w:t>
      </w:r>
      <w:r w:rsidRPr="009329C0">
        <w:rPr>
          <w:rFonts w:ascii="Georgia" w:hAnsi="Georgia"/>
        </w:rPr>
        <w:t xml:space="preserve"> involved an unauthorized use of photographs of Clint Eastwood and of his name. Accordingly, the </w:t>
      </w:r>
      <w:r w:rsidRPr="009329C0">
        <w:rPr>
          <w:rFonts w:ascii="Georgia" w:hAnsi="Georgia"/>
          <w:i/>
          <w:iCs/>
        </w:rPr>
        <w:t>Eastwood</w:t>
      </w:r>
      <w:r w:rsidRPr="009329C0">
        <w:rPr>
          <w:rFonts w:ascii="Georgia" w:hAnsi="Georgia"/>
        </w:rPr>
        <w:t xml:space="preserve"> court had no occasion to consider the extent beyond the use of name or likeness to which the right of publicity reaches. That court held only that the right of publicity cause of action “may be” pleaded by alleging, </w:t>
      </w:r>
      <w:r w:rsidRPr="009329C0">
        <w:rPr>
          <w:rFonts w:ascii="Georgia" w:hAnsi="Georgia"/>
          <w:i/>
          <w:iCs/>
        </w:rPr>
        <w:t>inter alia,</w:t>
      </w:r>
      <w:r w:rsidRPr="009329C0">
        <w:rPr>
          <w:rFonts w:ascii="Georgia" w:hAnsi="Georgia"/>
        </w:rPr>
        <w:t xml:space="preserve"> appropriation of name or likeness, not that the action may be pleaded </w:t>
      </w:r>
      <w:r w:rsidRPr="009329C0">
        <w:rPr>
          <w:rFonts w:ascii="Georgia" w:hAnsi="Georgia"/>
          <w:i/>
          <w:iCs/>
        </w:rPr>
        <w:t>only</w:t>
      </w:r>
      <w:r w:rsidRPr="009329C0">
        <w:rPr>
          <w:rFonts w:ascii="Georgia" w:hAnsi="Georgia"/>
        </w:rPr>
        <w:t xml:space="preserve"> in those terms.</w:t>
      </w:r>
    </w:p>
    <w:p w14:paraId="7CCA4EAB" w14:textId="487C035B" w:rsidR="009D7088" w:rsidRPr="009329C0" w:rsidRDefault="009D7088" w:rsidP="009D7088">
      <w:pPr>
        <w:rPr>
          <w:rFonts w:ascii="Georgia" w:hAnsi="Georgia"/>
        </w:rPr>
      </w:pPr>
      <w:r w:rsidRPr="009329C0">
        <w:rPr>
          <w:rFonts w:ascii="Georgia" w:hAnsi="Georgia"/>
        </w:rPr>
        <w:t xml:space="preserve">The “name or likeness” formulation referred to in </w:t>
      </w:r>
      <w:r w:rsidRPr="009329C0">
        <w:rPr>
          <w:rFonts w:ascii="Georgia" w:hAnsi="Georgia"/>
          <w:i/>
          <w:iCs/>
        </w:rPr>
        <w:t>Eastwood</w:t>
      </w:r>
      <w:r w:rsidRPr="009329C0">
        <w:rPr>
          <w:rFonts w:ascii="Georgia" w:hAnsi="Georgia"/>
        </w:rPr>
        <w:t xml:space="preserve"> originated not as an element of the right of publicity cause of action, but as a description of the types of cases in which the cause of action had been recognized. The source of this formulation is Prosser, </w:t>
      </w:r>
      <w:r w:rsidRPr="009329C0">
        <w:rPr>
          <w:rFonts w:ascii="Georgia" w:hAnsi="Georgia"/>
          <w:i/>
          <w:iCs/>
        </w:rPr>
        <w:t>Privacy,</w:t>
      </w:r>
      <w:r w:rsidRPr="009329C0">
        <w:rPr>
          <w:rFonts w:ascii="Georgia" w:hAnsi="Georgia"/>
        </w:rPr>
        <w:t xml:space="preserve"> 48 Cal.L.Rev. 383, 401–07 (1960), one of the earliest and most enduring articulations of the common law right of publicity cause of action. In looking at the case law to that point, Prosser recognized that right of publicity cases involved one of two basic factual scenarios: name appropriation, and picture or other likeness appropriation. </w:t>
      </w:r>
      <w:r w:rsidRPr="009329C0">
        <w:rPr>
          <w:rFonts w:ascii="Georgia" w:hAnsi="Georgia"/>
          <w:i/>
          <w:iCs/>
        </w:rPr>
        <w:t>Id.</w:t>
      </w:r>
      <w:r w:rsidRPr="009329C0">
        <w:rPr>
          <w:rFonts w:ascii="Georgia" w:hAnsi="Georgia"/>
        </w:rPr>
        <w:t xml:space="preserve"> at 401–02, nn. 156–57.</w:t>
      </w:r>
    </w:p>
    <w:p w14:paraId="7838F319" w14:textId="58999326" w:rsidR="009D7088" w:rsidRPr="009329C0" w:rsidRDefault="009D7088" w:rsidP="009D7088">
      <w:pPr>
        <w:rPr>
          <w:rFonts w:ascii="Georgia" w:hAnsi="Georgia"/>
        </w:rPr>
      </w:pPr>
      <w:r w:rsidRPr="009329C0">
        <w:rPr>
          <w:rFonts w:ascii="Georgia" w:hAnsi="Georgia"/>
        </w:rPr>
        <w:lastRenderedPageBreak/>
        <w:t xml:space="preserve">Even though Prosser focused on appropriations of name or likeness in discussing the right of publicity, he noted that “[i]t is not impossible that there might be appropriation of the plaintiff’s identity, as by impersonation, without the use of either his name or his likeness, and that this would be an invasion of his right of privacy.” </w:t>
      </w:r>
      <w:r w:rsidRPr="009329C0">
        <w:rPr>
          <w:rFonts w:ascii="Georgia" w:hAnsi="Georgia"/>
          <w:i/>
          <w:iCs/>
        </w:rPr>
        <w:t>Id.</w:t>
      </w:r>
      <w:r w:rsidRPr="009329C0">
        <w:rPr>
          <w:rFonts w:ascii="Georgia" w:hAnsi="Georgia"/>
        </w:rPr>
        <w:t xml:space="preserve"> at 401, n. 155.</w:t>
      </w:r>
      <w:r w:rsidRPr="009329C0">
        <w:rPr>
          <w:rStyle w:val="FootnoteReference"/>
          <w:rFonts w:ascii="Georgia" w:hAnsi="Georgia"/>
        </w:rPr>
        <w:footnoteReference w:customMarkFollows="1" w:id="1"/>
        <w:t>1</w:t>
      </w:r>
      <w:r w:rsidRPr="009329C0">
        <w:rPr>
          <w:rFonts w:ascii="Georgia" w:hAnsi="Georgia"/>
        </w:rPr>
        <w:t xml:space="preserve"> At the time Prosser wrote, he noted however, that “[n]o such case appears to have arisen.” </w:t>
      </w:r>
      <w:r w:rsidRPr="009329C0">
        <w:rPr>
          <w:rFonts w:ascii="Georgia" w:hAnsi="Georgia"/>
          <w:i/>
          <w:iCs/>
        </w:rPr>
        <w:t>Id.</w:t>
      </w:r>
    </w:p>
    <w:p w14:paraId="3BD30563" w14:textId="16AEF186" w:rsidR="009D7088" w:rsidRPr="009329C0" w:rsidRDefault="009D7088" w:rsidP="009D7088">
      <w:pPr>
        <w:rPr>
          <w:rFonts w:ascii="Georgia" w:hAnsi="Georgia"/>
        </w:rPr>
      </w:pPr>
      <w:r w:rsidRPr="009329C0">
        <w:rPr>
          <w:rFonts w:ascii="Georgia" w:hAnsi="Georgia"/>
        </w:rPr>
        <w:t xml:space="preserve">Since Prosser’s early formulation, the case law has borne out his insight that the right of publicity is not limited to the appropriation of name or likeness. In </w:t>
      </w:r>
      <w:r w:rsidRPr="009329C0">
        <w:rPr>
          <w:rFonts w:ascii="Georgia" w:hAnsi="Georgia"/>
          <w:i/>
          <w:iCs/>
        </w:rPr>
        <w:t>Motschenbacher v. R.J. Reynolds Tobacco Co.,</w:t>
      </w:r>
      <w:r w:rsidRPr="009329C0">
        <w:rPr>
          <w:rFonts w:ascii="Georgia" w:hAnsi="Georgia"/>
        </w:rPr>
        <w:t xml:space="preserve"> 498 F.2d 821 (9th Cir. 1974), the defendant had used a photograph of the plaintiff’s race car in a television commercial. Although the plaintiff appeared driving the car in the photograph, his features were not visible. Even though the defendant had not appropriated the plaintiff’s name or likeness, this court held that plaintiff’s California right of publicity claim should reach the jury.</w:t>
      </w:r>
    </w:p>
    <w:p w14:paraId="298271D2" w14:textId="5074578D" w:rsidR="009D7088" w:rsidRPr="009329C0" w:rsidRDefault="009D7088" w:rsidP="009D7088">
      <w:pPr>
        <w:rPr>
          <w:rFonts w:ascii="Georgia" w:hAnsi="Georgia"/>
        </w:rPr>
      </w:pPr>
      <w:r w:rsidRPr="009329C0">
        <w:rPr>
          <w:rFonts w:ascii="Georgia" w:hAnsi="Georgia"/>
        </w:rPr>
        <w:t xml:space="preserve">In </w:t>
      </w:r>
      <w:r w:rsidRPr="009329C0">
        <w:rPr>
          <w:rFonts w:ascii="Georgia" w:hAnsi="Georgia"/>
          <w:i/>
          <w:iCs/>
        </w:rPr>
        <w:t>Midler,</w:t>
      </w:r>
      <w:r w:rsidRPr="009329C0">
        <w:rPr>
          <w:rFonts w:ascii="Georgia" w:hAnsi="Georgia"/>
        </w:rPr>
        <w:t xml:space="preserve"> this court held that, even though the defendants had not used Midler’s name or likeness, Midler had stated a claim for violation of her California common law right of publicity because “the defendants . . . for their own profit in selling their product did appropriate part of her identity” by using a Midler sound-alike. </w:t>
      </w:r>
      <w:r w:rsidRPr="009329C0">
        <w:rPr>
          <w:rFonts w:ascii="Georgia" w:hAnsi="Georgia"/>
          <w:i/>
          <w:iCs/>
        </w:rPr>
        <w:t>Id.</w:t>
      </w:r>
      <w:r w:rsidRPr="009329C0">
        <w:rPr>
          <w:rFonts w:ascii="Georgia" w:hAnsi="Georgia"/>
        </w:rPr>
        <w:t xml:space="preserve"> at 463–64.</w:t>
      </w:r>
    </w:p>
    <w:p w14:paraId="0C554A60" w14:textId="1A4FAD11" w:rsidR="009D7088" w:rsidRPr="009329C0" w:rsidRDefault="009D7088" w:rsidP="009D7088">
      <w:pPr>
        <w:rPr>
          <w:rFonts w:ascii="Georgia" w:hAnsi="Georgia"/>
        </w:rPr>
      </w:pPr>
      <w:r w:rsidRPr="009329C0">
        <w:rPr>
          <w:rFonts w:ascii="Georgia" w:hAnsi="Georgia"/>
        </w:rPr>
        <w:t xml:space="preserve">In </w:t>
      </w:r>
      <w:r w:rsidRPr="009329C0">
        <w:rPr>
          <w:rFonts w:ascii="Georgia" w:hAnsi="Georgia"/>
          <w:i/>
          <w:iCs/>
        </w:rPr>
        <w:t>Carson v. Here’s Johnny Portable Toilets, Inc.,</w:t>
      </w:r>
      <w:r w:rsidRPr="009329C0">
        <w:rPr>
          <w:rFonts w:ascii="Georgia" w:hAnsi="Georgia"/>
        </w:rPr>
        <w:t xml:space="preserve"> 698 F.2d 831 (6th Cir. 1983), the defendant had marketed portable toilets under the brand name “Here’s Johnny”—Johnny Carson’s signature “Tonight Show” introduction—without Carson’s permission. The district court had dismissed Carson’s Michigan common law right of publicity claim because the defendants had not used Carson’s “name or likeness.” </w:t>
      </w:r>
      <w:r w:rsidRPr="009329C0">
        <w:rPr>
          <w:rFonts w:ascii="Georgia" w:hAnsi="Georgia"/>
          <w:i/>
          <w:iCs/>
        </w:rPr>
        <w:t>Id.</w:t>
      </w:r>
      <w:r w:rsidRPr="009329C0">
        <w:rPr>
          <w:rFonts w:ascii="Georgia" w:hAnsi="Georgia"/>
        </w:rPr>
        <w:t xml:space="preserve"> at 835. In reversing the district court, the sixth circuit found “the district court’s conception of the right of publicity . . . too narrow” and held that the right was implicated because the defendant had appropriated Carson’s identity by using, </w:t>
      </w:r>
      <w:r w:rsidRPr="009329C0">
        <w:rPr>
          <w:rFonts w:ascii="Georgia" w:hAnsi="Georgia"/>
          <w:i/>
          <w:iCs/>
        </w:rPr>
        <w:t>inter alia,</w:t>
      </w:r>
      <w:r w:rsidRPr="009329C0">
        <w:rPr>
          <w:rFonts w:ascii="Georgia" w:hAnsi="Georgia"/>
        </w:rPr>
        <w:t xml:space="preserve"> the phrase “Here’s Johnny.” </w:t>
      </w:r>
      <w:r w:rsidRPr="009329C0">
        <w:rPr>
          <w:rFonts w:ascii="Georgia" w:hAnsi="Georgia"/>
          <w:i/>
          <w:iCs/>
        </w:rPr>
        <w:t>Id.</w:t>
      </w:r>
      <w:r w:rsidRPr="009329C0">
        <w:rPr>
          <w:rFonts w:ascii="Georgia" w:hAnsi="Georgia"/>
        </w:rPr>
        <w:t xml:space="preserve"> at 835–37.</w:t>
      </w:r>
    </w:p>
    <w:p w14:paraId="3F130A7C" w14:textId="7DAF2DC7" w:rsidR="009D7088" w:rsidRPr="009329C0" w:rsidRDefault="009D7088" w:rsidP="009D7088">
      <w:pPr>
        <w:rPr>
          <w:rFonts w:ascii="Georgia" w:hAnsi="Georgia"/>
        </w:rPr>
      </w:pPr>
      <w:r w:rsidRPr="009329C0">
        <w:rPr>
          <w:rFonts w:ascii="Georgia" w:hAnsi="Georgia"/>
        </w:rPr>
        <w:t xml:space="preserve">These cases teach not only that the common law right of publicity reaches means of appropriation other than name or likeness, but that the specific means of appropriation are relevant only for determining whether the defendant has in fact appropriated the plaintiff’s identity. The right of publicity does not require that appropriations of identity be accomplished through </w:t>
      </w:r>
      <w:proofErr w:type="gramStart"/>
      <w:r w:rsidRPr="009329C0">
        <w:rPr>
          <w:rFonts w:ascii="Georgia" w:hAnsi="Georgia"/>
        </w:rPr>
        <w:t>particular means</w:t>
      </w:r>
      <w:proofErr w:type="gramEnd"/>
      <w:r w:rsidRPr="009329C0">
        <w:rPr>
          <w:rFonts w:ascii="Georgia" w:hAnsi="Georgia"/>
        </w:rPr>
        <w:t xml:space="preserve"> to be actionable. It is noteworthy that the </w:t>
      </w:r>
      <w:r w:rsidRPr="009329C0">
        <w:rPr>
          <w:rFonts w:ascii="Georgia" w:hAnsi="Georgia"/>
          <w:i/>
          <w:iCs/>
        </w:rPr>
        <w:t>Midler</w:t>
      </w:r>
      <w:r w:rsidRPr="009329C0">
        <w:rPr>
          <w:rFonts w:ascii="Georgia" w:hAnsi="Georgia"/>
        </w:rPr>
        <w:t xml:space="preserve"> and </w:t>
      </w:r>
      <w:r w:rsidRPr="009329C0">
        <w:rPr>
          <w:rFonts w:ascii="Georgia" w:hAnsi="Georgia"/>
          <w:i/>
          <w:iCs/>
        </w:rPr>
        <w:t>Carson</w:t>
      </w:r>
      <w:r w:rsidRPr="009329C0">
        <w:rPr>
          <w:rFonts w:ascii="Georgia" w:hAnsi="Georgia"/>
        </w:rPr>
        <w:t xml:space="preserve"> defendants not only avoided using the plaintiff’s name or likeness, but they also avoided appropriating the celebrity’s voice, signature, and photograph. The photograph in </w:t>
      </w:r>
      <w:r w:rsidRPr="009329C0">
        <w:rPr>
          <w:rFonts w:ascii="Georgia" w:hAnsi="Georgia"/>
          <w:i/>
          <w:iCs/>
        </w:rPr>
        <w:t>Motschenbacher</w:t>
      </w:r>
      <w:r w:rsidRPr="009329C0">
        <w:rPr>
          <w:rFonts w:ascii="Georgia" w:hAnsi="Georgia"/>
        </w:rPr>
        <w:t xml:space="preserve"> did include the plaintiff, but because the plaintiff was not visible </w:t>
      </w:r>
      <w:r w:rsidRPr="009329C0">
        <w:rPr>
          <w:rFonts w:ascii="Georgia" w:hAnsi="Georgia"/>
        </w:rPr>
        <w:lastRenderedPageBreak/>
        <w:t>the driver could have been an actor or dummy and the analysis in the case would have been the same.</w:t>
      </w:r>
    </w:p>
    <w:p w14:paraId="58860712" w14:textId="447C2BDF" w:rsidR="009D7088" w:rsidRPr="009329C0" w:rsidRDefault="009D7088" w:rsidP="009D7088">
      <w:pPr>
        <w:rPr>
          <w:rFonts w:ascii="Georgia" w:hAnsi="Georgia"/>
        </w:rPr>
      </w:pPr>
      <w:r w:rsidRPr="009329C0">
        <w:rPr>
          <w:rFonts w:ascii="Georgia" w:hAnsi="Georgia"/>
        </w:rPr>
        <w:t xml:space="preserve">Although the defendants in these cases avoided the most obvious means of appropriating the plaintiffs’ identities, each of their actions directly implicated the commercial interests which the right of publicity is designed to protect. As the </w:t>
      </w:r>
      <w:r w:rsidRPr="009329C0">
        <w:rPr>
          <w:rFonts w:ascii="Georgia" w:hAnsi="Georgia"/>
          <w:i/>
          <w:iCs/>
        </w:rPr>
        <w:t>Carson</w:t>
      </w:r>
      <w:r w:rsidRPr="009329C0">
        <w:rPr>
          <w:rFonts w:ascii="Georgia" w:hAnsi="Georgia"/>
        </w:rPr>
        <w:t xml:space="preserve"> court explained:</w:t>
      </w:r>
    </w:p>
    <w:p w14:paraId="28CA1715" w14:textId="77777777" w:rsidR="009D7088" w:rsidRPr="009329C0" w:rsidRDefault="009D7088" w:rsidP="009D7088">
      <w:pPr>
        <w:pStyle w:val="Blockquote"/>
        <w:rPr>
          <w:rFonts w:ascii="Georgia" w:hAnsi="Georgia"/>
        </w:rPr>
      </w:pPr>
      <w:r w:rsidRPr="009329C0">
        <w:rPr>
          <w:rFonts w:ascii="Georgia" w:hAnsi="Georgia"/>
        </w:rPr>
        <w:t>[t]he right of publicity has developed to protect the commercial interest of celebrities in their identities. The theory of the right is that a celebrity’s identity can be valuable in the promotion of products, and the celebrity has an interest that may be protected from the unauthorized commercial exploitation of that identity </w:t>
      </w:r>
      <w:proofErr w:type="gramStart"/>
      <w:r w:rsidRPr="009329C0">
        <w:rPr>
          <w:rFonts w:ascii="Georgia" w:hAnsi="Georgia"/>
        </w:rPr>
        <w:t>. . . .</w:t>
      </w:r>
      <w:proofErr w:type="gramEnd"/>
      <w:r w:rsidRPr="009329C0">
        <w:rPr>
          <w:rFonts w:ascii="Georgia" w:hAnsi="Georgia"/>
        </w:rPr>
        <w:t xml:space="preserve"> If the celebrity’s identity is commercially exploited, there has been an invasion of his right </w:t>
      </w:r>
      <w:proofErr w:type="gramStart"/>
      <w:r w:rsidRPr="009329C0">
        <w:rPr>
          <w:rFonts w:ascii="Georgia" w:hAnsi="Georgia"/>
        </w:rPr>
        <w:t>whether or not</w:t>
      </w:r>
      <w:proofErr w:type="gramEnd"/>
      <w:r w:rsidRPr="009329C0">
        <w:rPr>
          <w:rFonts w:ascii="Georgia" w:hAnsi="Georgia"/>
        </w:rPr>
        <w:t xml:space="preserve"> his “name or likeness” is used.</w:t>
      </w:r>
    </w:p>
    <w:p w14:paraId="6BE4366D" w14:textId="77777777" w:rsidR="009D7088" w:rsidRPr="009329C0" w:rsidRDefault="009D7088" w:rsidP="009D7088">
      <w:pPr>
        <w:pStyle w:val="NormalNoIndent"/>
        <w:rPr>
          <w:rFonts w:ascii="Georgia" w:hAnsi="Georgia"/>
        </w:rPr>
      </w:pPr>
      <w:r w:rsidRPr="009329C0">
        <w:rPr>
          <w:rFonts w:ascii="Georgia" w:hAnsi="Georgia"/>
          <w:i/>
          <w:iCs/>
        </w:rPr>
        <w:t>Carson,</w:t>
      </w:r>
      <w:r w:rsidRPr="009329C0">
        <w:rPr>
          <w:rFonts w:ascii="Georgia" w:hAnsi="Georgia"/>
        </w:rPr>
        <w:t xml:space="preserve"> 698 F.2d at 835. It is not important </w:t>
      </w:r>
      <w:r w:rsidRPr="009329C0">
        <w:rPr>
          <w:rFonts w:ascii="Georgia" w:hAnsi="Georgia"/>
          <w:i/>
          <w:iCs/>
        </w:rPr>
        <w:t>how</w:t>
      </w:r>
      <w:r w:rsidRPr="009329C0">
        <w:rPr>
          <w:rFonts w:ascii="Georgia" w:hAnsi="Georgia"/>
        </w:rPr>
        <w:t xml:space="preserve"> the defendant has appropriated the plaintiff’s identity, but </w:t>
      </w:r>
      <w:r w:rsidRPr="009329C0">
        <w:rPr>
          <w:rFonts w:ascii="Georgia" w:hAnsi="Georgia"/>
          <w:i/>
          <w:iCs/>
        </w:rPr>
        <w:t>whether</w:t>
      </w:r>
      <w:r w:rsidRPr="009329C0">
        <w:rPr>
          <w:rFonts w:ascii="Georgia" w:hAnsi="Georgia"/>
        </w:rPr>
        <w:t xml:space="preserve"> the defendant has done so. </w:t>
      </w:r>
      <w:r w:rsidRPr="009329C0">
        <w:rPr>
          <w:rFonts w:ascii="Georgia" w:hAnsi="Georgia"/>
          <w:i/>
          <w:iCs/>
        </w:rPr>
        <w:t>Motschenbacher, Midler,</w:t>
      </w:r>
      <w:r w:rsidRPr="009329C0">
        <w:rPr>
          <w:rFonts w:ascii="Georgia" w:hAnsi="Georgia"/>
        </w:rPr>
        <w:t xml:space="preserve"> and </w:t>
      </w:r>
      <w:r w:rsidRPr="009329C0">
        <w:rPr>
          <w:rFonts w:ascii="Georgia" w:hAnsi="Georgia"/>
          <w:i/>
          <w:iCs/>
        </w:rPr>
        <w:t>Carson</w:t>
      </w:r>
      <w:r w:rsidRPr="009329C0">
        <w:rPr>
          <w:rFonts w:ascii="Georgia" w:hAnsi="Georgia"/>
        </w:rPr>
        <w:t xml:space="preserve"> teach the impossibility of treating the right of publicity as guarding only against a laundry list of specific means of appropriating identity. A rule which says that the right of publicity can be infringed only </w:t>
      </w:r>
      <w:proofErr w:type="gramStart"/>
      <w:r w:rsidRPr="009329C0">
        <w:rPr>
          <w:rFonts w:ascii="Georgia" w:hAnsi="Georgia"/>
        </w:rPr>
        <w:t>through the use of</w:t>
      </w:r>
      <w:proofErr w:type="gramEnd"/>
      <w:r w:rsidRPr="009329C0">
        <w:rPr>
          <w:rFonts w:ascii="Georgia" w:hAnsi="Georgia"/>
        </w:rPr>
        <w:t xml:space="preserve"> nine different methods of appropriating identity merely challenges the clever advertising strategist to come up with the tenth.</w:t>
      </w:r>
    </w:p>
    <w:p w14:paraId="2D08DD79" w14:textId="6AABD829" w:rsidR="009D7088" w:rsidRPr="009329C0" w:rsidRDefault="009D7088" w:rsidP="009D7088">
      <w:pPr>
        <w:rPr>
          <w:rFonts w:ascii="Georgia" w:hAnsi="Georgia"/>
        </w:rPr>
      </w:pPr>
      <w:r w:rsidRPr="009329C0">
        <w:rPr>
          <w:rFonts w:ascii="Georgia" w:hAnsi="Georgia"/>
        </w:rPr>
        <w:t>Indeed, if we treated the means of appropriation as dispositive in our analysis of the right of publicity, we would not only weaken the right but effectively eviscerate it. The right would fail to protect those plaintiffs most in need of its protection. Advertisers use celebrities to promote their products. The more popular the celebrity, the greater the number of people who recognize her, and the greater the visibility for the product. The identities of the most popular celebrities are not only the most attractive for advertisers, but also the easiest to evoke without resorting to obvious means such as name, likeness, or voice.</w:t>
      </w:r>
    </w:p>
    <w:p w14:paraId="482537C2" w14:textId="5D90880A" w:rsidR="009D7088" w:rsidRPr="009329C0" w:rsidRDefault="009D7088" w:rsidP="009D7088">
      <w:pPr>
        <w:rPr>
          <w:rFonts w:ascii="Georgia" w:hAnsi="Georgia"/>
        </w:rPr>
      </w:pPr>
      <w:r w:rsidRPr="009329C0">
        <w:rPr>
          <w:rFonts w:ascii="Georgia" w:hAnsi="Georgia"/>
        </w:rPr>
        <w:t xml:space="preserve">Consider a hypothetical advertisement which depicts a mechanical robot with male features, an </w:t>
      </w:r>
      <w:proofErr w:type="gramStart"/>
      <w:r w:rsidRPr="009329C0">
        <w:rPr>
          <w:rFonts w:ascii="Georgia" w:hAnsi="Georgia"/>
        </w:rPr>
        <w:t>African–American</w:t>
      </w:r>
      <w:proofErr w:type="gramEnd"/>
      <w:r w:rsidRPr="009329C0">
        <w:rPr>
          <w:rFonts w:ascii="Georgia" w:hAnsi="Georgia"/>
        </w:rPr>
        <w:t xml:space="preserve"> complexion, and a bald head. The robot is wearing black hightop Air Jordan basketball sneakers, and a red basketball uniform with black trim, baggy shorts, and the number 23 (though not revealing “Bulls” or “Jordan” lettering). The ad depicts the robot dunking a basketball one-handed, stiff-armed, legs extended like open scissors, and tongue hanging out. Now envision that this ad is run on television during professional basketball games. Considered individually, the robot’s physical attributes, its dress, and its stance tell us little. Taken together, they lead to the only conclusion that any sports viewer who has registered a discernible pulse in the past five years would reach: the ad is about Michael Jordan.</w:t>
      </w:r>
    </w:p>
    <w:p w14:paraId="56D8EE48" w14:textId="0CBFDE19" w:rsidR="009D7088" w:rsidRPr="009329C0" w:rsidRDefault="009D7088" w:rsidP="009D7088">
      <w:pPr>
        <w:rPr>
          <w:rFonts w:ascii="Georgia" w:hAnsi="Georgia"/>
        </w:rPr>
      </w:pPr>
      <w:r w:rsidRPr="009329C0">
        <w:rPr>
          <w:rFonts w:ascii="Georgia" w:hAnsi="Georgia"/>
        </w:rPr>
        <w:lastRenderedPageBreak/>
        <w:t>Viewed separately, the individual aspects of the advertisement in the present case say little. Viewed together, they leave little doubt about the celebrity the ad is meant to depict. The female-shaped robot is wearing a long gown, blond wig, and large jewelry. Vanna White dresses exactly like this at times, but so do many other women. The robot is in the process of turning a block letter on a game-board. Vanna White dresses like this while turning letters on a game-board but perhaps similarly attired Scrabble-playing women do this as well. The robot is standing on what looks to be the Wheel of Fortune game show set. Vanna White dresses like this, turns letters, and does this on the Wheel of Fortune game show. She is the only one. Indeed, defendants themselves referred to their ad as the “Vanna White” ad. We are not surprised.</w:t>
      </w:r>
    </w:p>
    <w:p w14:paraId="5B3A3412" w14:textId="37B81F3A" w:rsidR="009D7088" w:rsidRPr="009329C0" w:rsidRDefault="009D7088" w:rsidP="009D7088">
      <w:pPr>
        <w:rPr>
          <w:rFonts w:ascii="Georgia" w:hAnsi="Georgia"/>
        </w:rPr>
      </w:pPr>
      <w:r w:rsidRPr="009329C0">
        <w:rPr>
          <w:rFonts w:ascii="Georgia" w:hAnsi="Georgia"/>
        </w:rPr>
        <w:t>Television and other media create marketable celebrity identity value. Considerable energy and ingenuity are expended by those who have achieved celebrity value to exploit it for profit. The law protects the celebrity’s sole right to exploit this value whether the celebrity has achieved her fame out of rare ability, dumb luck, or a combination thereof. We decline Samsung and Deutch’s invitation to permit the evisceration of the common law right of publicity through means as facile as those in this case. Because White has alleged facts showing that Samsung and Deutsch had appropriated her identity, the district court erred by rejecting, on summary judgment, White’s common law right of publicity claim.</w:t>
      </w:r>
    </w:p>
    <w:p w14:paraId="62EC704D" w14:textId="77777777" w:rsidR="009D7088" w:rsidRPr="009329C0" w:rsidRDefault="009D7088" w:rsidP="009D7088">
      <w:pPr>
        <w:pStyle w:val="Centered"/>
        <w:rPr>
          <w:rFonts w:ascii="Georgia" w:hAnsi="Georgia"/>
        </w:rPr>
      </w:pPr>
      <w:r w:rsidRPr="009329C0">
        <w:rPr>
          <w:rFonts w:ascii="Georgia" w:hAnsi="Georgia"/>
        </w:rPr>
        <w:t>III. The Lanham Act</w:t>
      </w:r>
    </w:p>
    <w:p w14:paraId="239D2B0B" w14:textId="2D92CC1D" w:rsidR="009D7088" w:rsidRPr="009329C0" w:rsidRDefault="009D7088" w:rsidP="009D7088">
      <w:pPr>
        <w:rPr>
          <w:rFonts w:ascii="Georgia" w:hAnsi="Georgia"/>
        </w:rPr>
      </w:pPr>
      <w:r w:rsidRPr="009329C0">
        <w:rPr>
          <w:rFonts w:ascii="Georgia" w:hAnsi="Georgia"/>
        </w:rPr>
        <w:t>White’s final argument is that the district court erred in denying her claim under § 43(a) of the Lanham Act, 15 U.S.C. § 1125(a). The version of section 43(a) applicable to this case</w:t>
      </w:r>
      <w:r w:rsidRPr="009329C0">
        <w:rPr>
          <w:rStyle w:val="FootnoteReference"/>
          <w:rFonts w:ascii="Georgia" w:hAnsi="Georgia"/>
        </w:rPr>
        <w:footnoteReference w:customMarkFollows="1" w:id="2"/>
        <w:t>2</w:t>
      </w:r>
      <w:r w:rsidRPr="009329C0">
        <w:rPr>
          <w:rFonts w:ascii="Georgia" w:hAnsi="Georgia"/>
        </w:rPr>
        <w:t xml:space="preserve"> provides, in pertinent part, that “[a]ny person who shall . . . use, in connection with any goods or services . . . any false description or representation . . . shall be liable to a civil action . . . by any person who believes that he is or is likely to be damaged by the use of any such false description or designation.” 15 U.S.C. § 1125(a).</w:t>
      </w:r>
    </w:p>
    <w:p w14:paraId="5F88FC24" w14:textId="73AD386B" w:rsidR="009D7088" w:rsidRPr="009329C0" w:rsidRDefault="009D7088" w:rsidP="009D7088">
      <w:pPr>
        <w:rPr>
          <w:rFonts w:ascii="Georgia" w:hAnsi="Georgia"/>
        </w:rPr>
      </w:pPr>
      <w:r w:rsidRPr="009329C0">
        <w:rPr>
          <w:rFonts w:ascii="Georgia" w:hAnsi="Georgia"/>
        </w:rPr>
        <w:t xml:space="preserve">To prevail on her Lanham Act claim, White is required to show that in running the robot ad, Samsung and Deutsch created a likelihood of confusion, </w:t>
      </w:r>
      <w:r w:rsidRPr="009329C0">
        <w:rPr>
          <w:rFonts w:ascii="Georgia" w:hAnsi="Georgia"/>
          <w:i/>
          <w:iCs/>
        </w:rPr>
        <w:t>Academy of Motion Picture Arts v. Creative House,</w:t>
      </w:r>
      <w:r w:rsidRPr="009329C0">
        <w:rPr>
          <w:rFonts w:ascii="Georgia" w:hAnsi="Georgia"/>
        </w:rPr>
        <w:t xml:space="preserve"> 944 F.2d 1446, 1454 (9th Cir. 1991); </w:t>
      </w:r>
      <w:r w:rsidRPr="009329C0">
        <w:rPr>
          <w:rFonts w:ascii="Georgia" w:hAnsi="Georgia"/>
          <w:i/>
          <w:iCs/>
        </w:rPr>
        <w:t>Toho Co. Ltd. v. Sears Roebuck &amp; Co.,</w:t>
      </w:r>
      <w:r w:rsidRPr="009329C0">
        <w:rPr>
          <w:rFonts w:ascii="Georgia" w:hAnsi="Georgia"/>
        </w:rPr>
        <w:t xml:space="preserve"> 645 F.2d 788, 790 (9th Cir. 1981) </w:t>
      </w:r>
      <w:r w:rsidRPr="009329C0">
        <w:rPr>
          <w:rFonts w:ascii="Georgia" w:hAnsi="Georgia"/>
          <w:i/>
          <w:iCs/>
        </w:rPr>
        <w:t>New West Corp. v. NYM Co. of California,</w:t>
      </w:r>
      <w:r w:rsidRPr="009329C0">
        <w:rPr>
          <w:rFonts w:ascii="Georgia" w:hAnsi="Georgia"/>
        </w:rPr>
        <w:t xml:space="preserve"> 595 F.2d 1194, 1201 (9th Cir. 1979), over whether White was endorsing Samsung’s VCRs. </w:t>
      </w:r>
      <w:r w:rsidRPr="009329C0">
        <w:rPr>
          <w:rFonts w:ascii="Georgia" w:hAnsi="Georgia"/>
          <w:i/>
          <w:iCs/>
        </w:rPr>
        <w:t>HMH Publishing Co. v. Brincat,</w:t>
      </w:r>
      <w:r w:rsidRPr="009329C0">
        <w:rPr>
          <w:rFonts w:ascii="Georgia" w:hAnsi="Georgia"/>
        </w:rPr>
        <w:t xml:space="preserve"> 504 F.2d 713 (9th Cir. 1974); </w:t>
      </w:r>
      <w:r w:rsidRPr="009329C0">
        <w:rPr>
          <w:rFonts w:ascii="Georgia" w:hAnsi="Georgia"/>
          <w:i/>
          <w:iCs/>
        </w:rPr>
        <w:t>Allen v. National Video, Inc.,</w:t>
      </w:r>
      <w:r w:rsidRPr="009329C0">
        <w:rPr>
          <w:rFonts w:ascii="Georgia" w:hAnsi="Georgia"/>
        </w:rPr>
        <w:t xml:space="preserve"> 610 F.Supp. 612 (D.C.N.Y. 1985).</w:t>
      </w:r>
    </w:p>
    <w:p w14:paraId="253DE54B" w14:textId="575A5070" w:rsidR="009D7088" w:rsidRPr="009329C0" w:rsidRDefault="009D7088" w:rsidP="009D7088">
      <w:pPr>
        <w:rPr>
          <w:rFonts w:ascii="Georgia" w:hAnsi="Georgia"/>
        </w:rPr>
      </w:pPr>
      <w:r w:rsidRPr="009329C0">
        <w:rPr>
          <w:rFonts w:ascii="Georgia" w:hAnsi="Georgia"/>
        </w:rPr>
        <w:t xml:space="preserve">This circuit recognizes several different multi-factor tests for determining whether a likelihood of confusion exists. </w:t>
      </w:r>
      <w:r w:rsidRPr="009329C0">
        <w:rPr>
          <w:rFonts w:ascii="Georgia" w:hAnsi="Georgia"/>
          <w:i/>
          <w:iCs/>
        </w:rPr>
        <w:t>See Academy,</w:t>
      </w:r>
      <w:r w:rsidRPr="009329C0">
        <w:rPr>
          <w:rFonts w:ascii="Georgia" w:hAnsi="Georgia"/>
        </w:rPr>
        <w:t xml:space="preserve"> 944 F.2d at 1454, n. 3. None </w:t>
      </w:r>
      <w:r w:rsidRPr="009329C0">
        <w:rPr>
          <w:rFonts w:ascii="Georgia" w:hAnsi="Georgia"/>
        </w:rPr>
        <w:lastRenderedPageBreak/>
        <w:t xml:space="preserve">of these tests is correct to the exclusion of the others. </w:t>
      </w:r>
      <w:r w:rsidRPr="009329C0">
        <w:rPr>
          <w:rFonts w:ascii="Georgia" w:hAnsi="Georgia"/>
          <w:i/>
          <w:iCs/>
        </w:rPr>
        <w:t>Eclipse Associates Ltd. v. Data General Corp.,</w:t>
      </w:r>
      <w:r w:rsidRPr="009329C0">
        <w:rPr>
          <w:rFonts w:ascii="Georgia" w:hAnsi="Georgia"/>
        </w:rPr>
        <w:t xml:space="preserve"> 894 F.2d 1114, 1118 (9th Cir. 1990). Normally, in reviewing the district court’s decision, this court will look to the </w:t>
      </w:r>
      <w:proofErr w:type="gramStart"/>
      <w:r w:rsidRPr="009329C0">
        <w:rPr>
          <w:rFonts w:ascii="Georgia" w:hAnsi="Georgia"/>
        </w:rPr>
        <w:t>particular test</w:t>
      </w:r>
      <w:proofErr w:type="gramEnd"/>
      <w:r w:rsidRPr="009329C0">
        <w:rPr>
          <w:rFonts w:ascii="Georgia" w:hAnsi="Georgia"/>
        </w:rPr>
        <w:t xml:space="preserve"> that the district court used. </w:t>
      </w:r>
      <w:r w:rsidRPr="009329C0">
        <w:rPr>
          <w:rFonts w:ascii="Georgia" w:hAnsi="Georgia"/>
          <w:i/>
          <w:iCs/>
        </w:rPr>
        <w:t>Academy,</w:t>
      </w:r>
      <w:r w:rsidRPr="009329C0">
        <w:rPr>
          <w:rFonts w:ascii="Georgia" w:hAnsi="Georgia"/>
        </w:rPr>
        <w:t xml:space="preserve"> 944 F.2d at 1454, n. 3; </w:t>
      </w:r>
      <w:r w:rsidRPr="009329C0">
        <w:rPr>
          <w:rFonts w:ascii="Georgia" w:hAnsi="Georgia"/>
          <w:i/>
          <w:iCs/>
        </w:rPr>
        <w:t>Eclipse,</w:t>
      </w:r>
      <w:r w:rsidRPr="009329C0">
        <w:rPr>
          <w:rFonts w:ascii="Georgia" w:hAnsi="Georgia"/>
        </w:rPr>
        <w:t xml:space="preserve"> 894 F.2d at 1117–1118. However, because the district court in this case apparently did not use any of the multi-factor tests in making its likelihood of confusion determination, and because this case involves an appeal from summary judgment and we review de novo the district court’s determination, we will look for guidance to the 8–factor test enunciated in </w:t>
      </w:r>
      <w:r w:rsidRPr="009329C0">
        <w:rPr>
          <w:rFonts w:ascii="Georgia" w:hAnsi="Georgia"/>
          <w:i/>
          <w:iCs/>
        </w:rPr>
        <w:t>AMF, Inc. v. Sleekcraft Boats,</w:t>
      </w:r>
      <w:r w:rsidRPr="009329C0">
        <w:rPr>
          <w:rFonts w:ascii="Georgia" w:hAnsi="Georgia"/>
        </w:rPr>
        <w:t xml:space="preserve"> 599 F.2d 341 (9th Cir. 1979). According to </w:t>
      </w:r>
      <w:r w:rsidRPr="009329C0">
        <w:rPr>
          <w:rFonts w:ascii="Georgia" w:hAnsi="Georgia"/>
          <w:i/>
          <w:iCs/>
        </w:rPr>
        <w:t>AMF,</w:t>
      </w:r>
      <w:r w:rsidRPr="009329C0">
        <w:rPr>
          <w:rFonts w:ascii="Georgia" w:hAnsi="Georgia"/>
        </w:rPr>
        <w:t xml:space="preserve"> factors relevant to a likelihood of confusion include:</w:t>
      </w:r>
    </w:p>
    <w:p w14:paraId="52923D85" w14:textId="77777777" w:rsidR="009D7088" w:rsidRPr="009329C0" w:rsidRDefault="009D7088" w:rsidP="009D7088">
      <w:pPr>
        <w:rPr>
          <w:rFonts w:ascii="Georgia" w:hAnsi="Georgia"/>
        </w:rPr>
      </w:pPr>
      <w:r w:rsidRPr="009329C0">
        <w:rPr>
          <w:rFonts w:ascii="Georgia" w:hAnsi="Georgia"/>
        </w:rPr>
        <w:t xml:space="preserve">(1) strength of the plaintiff’s </w:t>
      </w:r>
      <w:proofErr w:type="gramStart"/>
      <w:r w:rsidRPr="009329C0">
        <w:rPr>
          <w:rFonts w:ascii="Georgia" w:hAnsi="Georgia"/>
        </w:rPr>
        <w:t>mark;</w:t>
      </w:r>
      <w:proofErr w:type="gramEnd"/>
    </w:p>
    <w:p w14:paraId="4F4EF7E6" w14:textId="77777777" w:rsidR="009D7088" w:rsidRPr="009329C0" w:rsidRDefault="009D7088" w:rsidP="009D7088">
      <w:pPr>
        <w:rPr>
          <w:rFonts w:ascii="Georgia" w:hAnsi="Georgia"/>
        </w:rPr>
      </w:pPr>
      <w:r w:rsidRPr="009329C0">
        <w:rPr>
          <w:rFonts w:ascii="Georgia" w:hAnsi="Georgia"/>
        </w:rPr>
        <w:t xml:space="preserve">(2) relatedness of the </w:t>
      </w:r>
      <w:proofErr w:type="gramStart"/>
      <w:r w:rsidRPr="009329C0">
        <w:rPr>
          <w:rFonts w:ascii="Georgia" w:hAnsi="Georgia"/>
        </w:rPr>
        <w:t>goods;</w:t>
      </w:r>
      <w:proofErr w:type="gramEnd"/>
    </w:p>
    <w:p w14:paraId="23891191" w14:textId="77777777" w:rsidR="009D7088" w:rsidRPr="009329C0" w:rsidRDefault="009D7088" w:rsidP="009D7088">
      <w:pPr>
        <w:rPr>
          <w:rFonts w:ascii="Georgia" w:hAnsi="Georgia"/>
        </w:rPr>
      </w:pPr>
      <w:r w:rsidRPr="009329C0">
        <w:rPr>
          <w:rFonts w:ascii="Georgia" w:hAnsi="Georgia"/>
        </w:rPr>
        <w:t xml:space="preserve">(3) similarity of the </w:t>
      </w:r>
      <w:proofErr w:type="gramStart"/>
      <w:r w:rsidRPr="009329C0">
        <w:rPr>
          <w:rFonts w:ascii="Georgia" w:hAnsi="Georgia"/>
        </w:rPr>
        <w:t>marks;</w:t>
      </w:r>
      <w:proofErr w:type="gramEnd"/>
    </w:p>
    <w:p w14:paraId="5C73A770" w14:textId="77777777" w:rsidR="009D7088" w:rsidRPr="009329C0" w:rsidRDefault="009D7088" w:rsidP="009D7088">
      <w:pPr>
        <w:rPr>
          <w:rFonts w:ascii="Georgia" w:hAnsi="Georgia"/>
        </w:rPr>
      </w:pPr>
      <w:r w:rsidRPr="009329C0">
        <w:rPr>
          <w:rFonts w:ascii="Georgia" w:hAnsi="Georgia"/>
        </w:rPr>
        <w:t xml:space="preserve">(4) evidence of actual </w:t>
      </w:r>
      <w:proofErr w:type="gramStart"/>
      <w:r w:rsidRPr="009329C0">
        <w:rPr>
          <w:rFonts w:ascii="Georgia" w:hAnsi="Georgia"/>
        </w:rPr>
        <w:t>confusion;</w:t>
      </w:r>
      <w:proofErr w:type="gramEnd"/>
    </w:p>
    <w:p w14:paraId="5BEB63A1" w14:textId="77777777" w:rsidR="009D7088" w:rsidRPr="009329C0" w:rsidRDefault="009D7088" w:rsidP="009D7088">
      <w:pPr>
        <w:rPr>
          <w:rFonts w:ascii="Georgia" w:hAnsi="Georgia"/>
        </w:rPr>
      </w:pPr>
      <w:r w:rsidRPr="009329C0">
        <w:rPr>
          <w:rFonts w:ascii="Georgia" w:hAnsi="Georgia"/>
        </w:rPr>
        <w:t xml:space="preserve">(5) marketing channels </w:t>
      </w:r>
      <w:proofErr w:type="gramStart"/>
      <w:r w:rsidRPr="009329C0">
        <w:rPr>
          <w:rFonts w:ascii="Georgia" w:hAnsi="Georgia"/>
        </w:rPr>
        <w:t>used;</w:t>
      </w:r>
      <w:proofErr w:type="gramEnd"/>
    </w:p>
    <w:p w14:paraId="7059FF90" w14:textId="77777777" w:rsidR="009D7088" w:rsidRPr="009329C0" w:rsidRDefault="009D7088" w:rsidP="009D7088">
      <w:pPr>
        <w:rPr>
          <w:rFonts w:ascii="Georgia" w:hAnsi="Georgia"/>
        </w:rPr>
      </w:pPr>
      <w:r w:rsidRPr="009329C0">
        <w:rPr>
          <w:rFonts w:ascii="Georgia" w:hAnsi="Georgia"/>
        </w:rPr>
        <w:t xml:space="preserve">(6) likely degree of purchaser </w:t>
      </w:r>
      <w:proofErr w:type="gramStart"/>
      <w:r w:rsidRPr="009329C0">
        <w:rPr>
          <w:rFonts w:ascii="Georgia" w:hAnsi="Georgia"/>
        </w:rPr>
        <w:t>care;</w:t>
      </w:r>
      <w:proofErr w:type="gramEnd"/>
    </w:p>
    <w:p w14:paraId="47AE1C9E" w14:textId="77777777" w:rsidR="009D7088" w:rsidRPr="009329C0" w:rsidRDefault="009D7088" w:rsidP="009D7088">
      <w:pPr>
        <w:rPr>
          <w:rFonts w:ascii="Georgia" w:hAnsi="Georgia"/>
        </w:rPr>
      </w:pPr>
      <w:r w:rsidRPr="009329C0">
        <w:rPr>
          <w:rFonts w:ascii="Georgia" w:hAnsi="Georgia"/>
        </w:rPr>
        <w:t xml:space="preserve">(7) defendant’s intent in selecting the </w:t>
      </w:r>
      <w:proofErr w:type="gramStart"/>
      <w:r w:rsidRPr="009329C0">
        <w:rPr>
          <w:rFonts w:ascii="Georgia" w:hAnsi="Georgia"/>
        </w:rPr>
        <w:t>mark;</w:t>
      </w:r>
      <w:proofErr w:type="gramEnd"/>
    </w:p>
    <w:p w14:paraId="7D8CA30D" w14:textId="77777777" w:rsidR="009D7088" w:rsidRPr="009329C0" w:rsidRDefault="009D7088" w:rsidP="009D7088">
      <w:pPr>
        <w:rPr>
          <w:rFonts w:ascii="Georgia" w:hAnsi="Georgia"/>
        </w:rPr>
      </w:pPr>
      <w:r w:rsidRPr="009329C0">
        <w:rPr>
          <w:rFonts w:ascii="Georgia" w:hAnsi="Georgia"/>
        </w:rPr>
        <w:t>(8) likelihood of expansion of the product lines.</w:t>
      </w:r>
    </w:p>
    <w:p w14:paraId="175818C5" w14:textId="77777777" w:rsidR="009D7088" w:rsidRPr="009329C0" w:rsidRDefault="009D7088" w:rsidP="009D7088">
      <w:pPr>
        <w:pStyle w:val="NormalNoIndent"/>
        <w:rPr>
          <w:rFonts w:ascii="Georgia" w:hAnsi="Georgia"/>
        </w:rPr>
      </w:pPr>
      <w:r w:rsidRPr="009329C0">
        <w:rPr>
          <w:rFonts w:ascii="Georgia" w:hAnsi="Georgia"/>
        </w:rPr>
        <w:t xml:space="preserve">599 F.2d at 348–49. We turn now to consider White’s claim </w:t>
      </w:r>
      <w:proofErr w:type="gramStart"/>
      <w:r w:rsidRPr="009329C0">
        <w:rPr>
          <w:rFonts w:ascii="Georgia" w:hAnsi="Georgia"/>
        </w:rPr>
        <w:t>in light of</w:t>
      </w:r>
      <w:proofErr w:type="gramEnd"/>
      <w:r w:rsidRPr="009329C0">
        <w:rPr>
          <w:rFonts w:ascii="Georgia" w:hAnsi="Georgia"/>
        </w:rPr>
        <w:t xml:space="preserve"> each factor.</w:t>
      </w:r>
    </w:p>
    <w:p w14:paraId="29BAF889" w14:textId="1F89D5DA" w:rsidR="009D7088" w:rsidRPr="009329C0" w:rsidRDefault="009D7088" w:rsidP="009D7088">
      <w:pPr>
        <w:rPr>
          <w:rFonts w:ascii="Georgia" w:hAnsi="Georgia"/>
        </w:rPr>
      </w:pPr>
      <w:r w:rsidRPr="009329C0">
        <w:rPr>
          <w:rFonts w:ascii="Georgia" w:hAnsi="Georgia"/>
        </w:rPr>
        <w:t xml:space="preserve">In cases involving confusion over endorsement by a celebrity plaintiff, “mark” means the celebrity’s persona. </w:t>
      </w:r>
      <w:r w:rsidRPr="009329C0">
        <w:rPr>
          <w:rFonts w:ascii="Georgia" w:hAnsi="Georgia"/>
          <w:i/>
          <w:iCs/>
        </w:rPr>
        <w:t>See Allen,</w:t>
      </w:r>
      <w:r w:rsidRPr="009329C0">
        <w:rPr>
          <w:rFonts w:ascii="Georgia" w:hAnsi="Georgia"/>
        </w:rPr>
        <w:t xml:space="preserve"> 610 F.Supp. at 627. The “strength” of the mark refers to the level of recognition the celebrity enjoys among members of society. </w:t>
      </w:r>
      <w:r w:rsidRPr="009329C0">
        <w:rPr>
          <w:rFonts w:ascii="Georgia" w:hAnsi="Georgia"/>
          <w:i/>
          <w:iCs/>
        </w:rPr>
        <w:t>See Academy,</w:t>
      </w:r>
      <w:r w:rsidRPr="009329C0">
        <w:rPr>
          <w:rFonts w:ascii="Georgia" w:hAnsi="Georgia"/>
        </w:rPr>
        <w:t xml:space="preserve"> 944 F.2d at 1455. If Vanna White is unknown to the segment of the public at whom Samsung’s robot ad was directed, then that segment could not be confused as to whether she was endorsing Samsung VCRs. Conversely, if White is well-known, this would allow the possibility of a likelihood of confusion. For the purposes of the </w:t>
      </w:r>
      <w:r w:rsidRPr="009329C0">
        <w:rPr>
          <w:rFonts w:ascii="Georgia" w:hAnsi="Georgia"/>
          <w:i/>
          <w:iCs/>
        </w:rPr>
        <w:t>Sleekcraft</w:t>
      </w:r>
      <w:r w:rsidRPr="009329C0">
        <w:rPr>
          <w:rFonts w:ascii="Georgia" w:hAnsi="Georgia"/>
        </w:rPr>
        <w:t xml:space="preserve"> test, White’s “mark,” or celebrity identity, is strong.</w:t>
      </w:r>
    </w:p>
    <w:p w14:paraId="04DD77BD" w14:textId="05DDC080" w:rsidR="009D7088" w:rsidRPr="009329C0" w:rsidRDefault="009D7088" w:rsidP="009D7088">
      <w:pPr>
        <w:rPr>
          <w:rFonts w:ascii="Georgia" w:hAnsi="Georgia"/>
        </w:rPr>
      </w:pPr>
      <w:r w:rsidRPr="009329C0">
        <w:rPr>
          <w:rFonts w:ascii="Georgia" w:hAnsi="Georgia"/>
        </w:rPr>
        <w:t>In cases concerning confusion over celebrity endorsement, the plaintiff’s “goods” concern the reasons for or source of the plaintiff’s fame. Because White’s fame is based on her televised performances, her “goods” are closely related to Samsung’s VCRs. Indeed, the ad itself reinforced the relationship by informing its readers that they would be taping the “longest-running game show” on Samsung’s VCRs well into the future.</w:t>
      </w:r>
    </w:p>
    <w:p w14:paraId="3F474A94" w14:textId="272E99BC" w:rsidR="009D7088" w:rsidRPr="009329C0" w:rsidRDefault="009D7088" w:rsidP="009D7088">
      <w:pPr>
        <w:rPr>
          <w:rFonts w:ascii="Georgia" w:hAnsi="Georgia"/>
        </w:rPr>
      </w:pPr>
      <w:r w:rsidRPr="009329C0">
        <w:rPr>
          <w:rFonts w:ascii="Georgia" w:hAnsi="Georgia"/>
        </w:rPr>
        <w:t xml:space="preserve">The third factor, “similarity of the marks,” both supports and contradicts a finding of likelihood of confusion. On the one hand, </w:t>
      </w:r>
      <w:proofErr w:type="gramStart"/>
      <w:r w:rsidRPr="009329C0">
        <w:rPr>
          <w:rFonts w:ascii="Georgia" w:hAnsi="Georgia"/>
        </w:rPr>
        <w:t>all of</w:t>
      </w:r>
      <w:proofErr w:type="gramEnd"/>
      <w:r w:rsidRPr="009329C0">
        <w:rPr>
          <w:rFonts w:ascii="Georgia" w:hAnsi="Georgia"/>
        </w:rPr>
        <w:t xml:space="preserve"> the aspects of the robot ad identify White; on the other, the figure is quite clearly a robot, not a human. This ambiguity means that we must look to the other factors for resolution.</w:t>
      </w:r>
    </w:p>
    <w:p w14:paraId="2D04DD18" w14:textId="41CC93B8" w:rsidR="009D7088" w:rsidRPr="009329C0" w:rsidRDefault="009D7088" w:rsidP="009D7088">
      <w:pPr>
        <w:rPr>
          <w:rFonts w:ascii="Georgia" w:hAnsi="Georgia"/>
        </w:rPr>
      </w:pPr>
      <w:r w:rsidRPr="009329C0">
        <w:rPr>
          <w:rFonts w:ascii="Georgia" w:hAnsi="Georgia"/>
        </w:rPr>
        <w:lastRenderedPageBreak/>
        <w:t>The fourth factor does not favor White’s claim because she has presented no evidence of actual confusion.</w:t>
      </w:r>
    </w:p>
    <w:p w14:paraId="2EA2A694" w14:textId="604BCC30" w:rsidR="009D7088" w:rsidRPr="009329C0" w:rsidRDefault="009D7088" w:rsidP="009D7088">
      <w:pPr>
        <w:rPr>
          <w:rFonts w:ascii="Georgia" w:hAnsi="Georgia"/>
        </w:rPr>
      </w:pPr>
      <w:r w:rsidRPr="009329C0">
        <w:rPr>
          <w:rFonts w:ascii="Georgia" w:hAnsi="Georgia"/>
        </w:rPr>
        <w:t>Fifth, however, White has appeared in the same stance as the robot from the ad in numerous magazines, including the covers of some. Magazines were used as the marketing channels for the robot ad. This factor cuts toward a likelihood of confusion.</w:t>
      </w:r>
    </w:p>
    <w:p w14:paraId="30DD52D5" w14:textId="56E53F2D" w:rsidR="009D7088" w:rsidRPr="009329C0" w:rsidRDefault="009D7088" w:rsidP="009D7088">
      <w:pPr>
        <w:rPr>
          <w:rFonts w:ascii="Georgia" w:hAnsi="Georgia"/>
        </w:rPr>
      </w:pPr>
      <w:r w:rsidRPr="009329C0">
        <w:rPr>
          <w:rFonts w:ascii="Georgia" w:hAnsi="Georgia"/>
        </w:rPr>
        <w:t>Sixth, consumers are not likely to be particularly careful in determining who endorses VCRs, making confusion as to their endorsement more likely.</w:t>
      </w:r>
    </w:p>
    <w:p w14:paraId="35BF91C4" w14:textId="33B59736" w:rsidR="009D7088" w:rsidRPr="009329C0" w:rsidRDefault="009D7088" w:rsidP="009D7088">
      <w:pPr>
        <w:rPr>
          <w:rFonts w:ascii="Georgia" w:hAnsi="Georgia"/>
        </w:rPr>
      </w:pPr>
      <w:r w:rsidRPr="009329C0">
        <w:rPr>
          <w:rFonts w:ascii="Georgia" w:hAnsi="Georgia"/>
        </w:rPr>
        <w:t xml:space="preserve">Concerning the seventh factor, “defendant’s intent,” the district court found that, in running the robot ad, the defendants had intended a spoof of the “Wheel of Fortune.” The relevant question is whether the defendants “intended to profit by confusing consumers” concerning the endorsement of Samsung VCRs. </w:t>
      </w:r>
      <w:r w:rsidRPr="009329C0">
        <w:rPr>
          <w:rFonts w:ascii="Georgia" w:hAnsi="Georgia"/>
          <w:i/>
          <w:iCs/>
        </w:rPr>
        <w:t>Toho,</w:t>
      </w:r>
      <w:r w:rsidRPr="009329C0">
        <w:rPr>
          <w:rFonts w:ascii="Georgia" w:hAnsi="Georgia"/>
        </w:rPr>
        <w:t xml:space="preserve"> 645 F.2d 788. We do not disagree that defendants intended to spoof Vanna White and “Wheel of Fortune.” That does not preclude, however, the possibility that defendants also intended to confuse consumers regarding endorsement. The robot ad was one of a series of ads run by defendants which followed the same theme. Another ad in the series depicted Morton Downey Jr. as a presidential candidate in the year 2008. Doubtless, defendants intended to spoof presidential elections and Mr. Downey through this ad. Consumers, however, would likely believe, and would be correct in so believing, that Mr. Downey was paid for his permission and was endorsing Samsung products. Looking at the series of </w:t>
      </w:r>
      <w:proofErr w:type="gramStart"/>
      <w:r w:rsidRPr="009329C0">
        <w:rPr>
          <w:rFonts w:ascii="Georgia" w:hAnsi="Georgia"/>
        </w:rPr>
        <w:t>advertisements as a whole, a</w:t>
      </w:r>
      <w:proofErr w:type="gramEnd"/>
      <w:r w:rsidRPr="009329C0">
        <w:rPr>
          <w:rFonts w:ascii="Georgia" w:hAnsi="Georgia"/>
        </w:rPr>
        <w:t xml:space="preserve"> jury could reasonably conclude that beneath the surface humor of the series lay an intent to persuade consumers that celebrity Vanna White, like celebrity Downey, was endorsing Samsung products.</w:t>
      </w:r>
    </w:p>
    <w:p w14:paraId="1147E49F" w14:textId="5876C1BE" w:rsidR="009D7088" w:rsidRPr="009329C0" w:rsidRDefault="009D7088" w:rsidP="009D7088">
      <w:pPr>
        <w:rPr>
          <w:rFonts w:ascii="Georgia" w:hAnsi="Georgia"/>
        </w:rPr>
      </w:pPr>
      <w:r w:rsidRPr="009329C0">
        <w:rPr>
          <w:rFonts w:ascii="Georgia" w:hAnsi="Georgia"/>
        </w:rPr>
        <w:t>Finally, the eighth factor, “likelihood of expansion of the product lines,” does not appear apposite to a celebrity endorsement case such as this.</w:t>
      </w:r>
    </w:p>
    <w:p w14:paraId="0E1A6821" w14:textId="0908D4E5" w:rsidR="009D7088" w:rsidRPr="009329C0" w:rsidRDefault="009D7088" w:rsidP="009D7088">
      <w:pPr>
        <w:rPr>
          <w:rFonts w:ascii="Georgia" w:hAnsi="Georgia"/>
        </w:rPr>
      </w:pPr>
      <w:r w:rsidRPr="009329C0">
        <w:rPr>
          <w:rFonts w:ascii="Georgia" w:hAnsi="Georgia"/>
        </w:rPr>
        <w:t xml:space="preserve">Application of the </w:t>
      </w:r>
      <w:r w:rsidRPr="009329C0">
        <w:rPr>
          <w:rFonts w:ascii="Georgia" w:hAnsi="Georgia"/>
          <w:i/>
          <w:iCs/>
        </w:rPr>
        <w:t>Sleekcraft</w:t>
      </w:r>
      <w:r w:rsidRPr="009329C0">
        <w:rPr>
          <w:rFonts w:ascii="Georgia" w:hAnsi="Georgia"/>
        </w:rPr>
        <w:t xml:space="preserve"> factors to this case indicates that the district court erred in rejecting White’s Lanham Act claim at the summary judgment stage. In so concluding, we emphasize two facts, however. First, construing the motion papers in White’s favor, as we must, we hold only that White has raised a genuine issue of material fact concerning a likelihood of confusion as to her endorsement. </w:t>
      </w:r>
      <w:r w:rsidRPr="009329C0">
        <w:rPr>
          <w:rFonts w:ascii="Georgia" w:hAnsi="Georgia"/>
          <w:i/>
          <w:iCs/>
        </w:rPr>
        <w:t>Cohen v. Paramount Pictures Corp.,</w:t>
      </w:r>
      <w:r w:rsidRPr="009329C0">
        <w:rPr>
          <w:rFonts w:ascii="Georgia" w:hAnsi="Georgia"/>
        </w:rPr>
        <w:t xml:space="preserve"> 845 F.2d 851, 852–53 (9th Cir. 1988). Whether White’s Lanham Act claim should succeed is a matter for the jury. Second, we stress that we reach this conclusion </w:t>
      </w:r>
      <w:proofErr w:type="gramStart"/>
      <w:r w:rsidRPr="009329C0">
        <w:rPr>
          <w:rFonts w:ascii="Georgia" w:hAnsi="Georgia"/>
        </w:rPr>
        <w:t>in light of</w:t>
      </w:r>
      <w:proofErr w:type="gramEnd"/>
      <w:r w:rsidRPr="009329C0">
        <w:rPr>
          <w:rFonts w:ascii="Georgia" w:hAnsi="Georgia"/>
        </w:rPr>
        <w:t xml:space="preserve"> the peculiar facts of this case. </w:t>
      </w:r>
      <w:proofErr w:type="gramStart"/>
      <w:r w:rsidRPr="009329C0">
        <w:rPr>
          <w:rFonts w:ascii="Georgia" w:hAnsi="Georgia"/>
        </w:rPr>
        <w:t>In particular, we</w:t>
      </w:r>
      <w:proofErr w:type="gramEnd"/>
      <w:r w:rsidRPr="009329C0">
        <w:rPr>
          <w:rFonts w:ascii="Georgia" w:hAnsi="Georgia"/>
        </w:rPr>
        <w:t xml:space="preserve"> note that the robot ad identifies White and was part of a series of ads in which other celebrities participated and were paid for their endorsement of Samsung’s products.</w:t>
      </w:r>
    </w:p>
    <w:p w14:paraId="26196E97" w14:textId="77777777" w:rsidR="009D7088" w:rsidRPr="009329C0" w:rsidRDefault="009D7088" w:rsidP="009D7088">
      <w:pPr>
        <w:pStyle w:val="Centered"/>
        <w:rPr>
          <w:rFonts w:ascii="Georgia" w:hAnsi="Georgia"/>
        </w:rPr>
      </w:pPr>
      <w:r w:rsidRPr="009329C0">
        <w:rPr>
          <w:rFonts w:ascii="Georgia" w:hAnsi="Georgia"/>
        </w:rPr>
        <w:t>IV. The Parody Defense</w:t>
      </w:r>
    </w:p>
    <w:p w14:paraId="38B45DF7" w14:textId="32DBFF74" w:rsidR="009D7088" w:rsidRPr="009329C0" w:rsidRDefault="009D7088" w:rsidP="009D7088">
      <w:pPr>
        <w:rPr>
          <w:rFonts w:ascii="Georgia" w:hAnsi="Georgia"/>
        </w:rPr>
      </w:pPr>
      <w:r w:rsidRPr="009329C0">
        <w:rPr>
          <w:rFonts w:ascii="Georgia" w:hAnsi="Georgia"/>
        </w:rPr>
        <w:t xml:space="preserve">In defense, defendants cite </w:t>
      </w:r>
      <w:proofErr w:type="gramStart"/>
      <w:r w:rsidRPr="009329C0">
        <w:rPr>
          <w:rFonts w:ascii="Georgia" w:hAnsi="Georgia"/>
        </w:rPr>
        <w:t>a number of</w:t>
      </w:r>
      <w:proofErr w:type="gramEnd"/>
      <w:r w:rsidRPr="009329C0">
        <w:rPr>
          <w:rFonts w:ascii="Georgia" w:hAnsi="Georgia"/>
        </w:rPr>
        <w:t xml:space="preserve"> cases for the proposition that their robot ad constituted protected speech. The only cases they cite which are even </w:t>
      </w:r>
      <w:r w:rsidRPr="009329C0">
        <w:rPr>
          <w:rFonts w:ascii="Georgia" w:hAnsi="Georgia"/>
        </w:rPr>
        <w:lastRenderedPageBreak/>
        <w:t xml:space="preserve">remotely relevant to this case are </w:t>
      </w:r>
      <w:r w:rsidRPr="009329C0">
        <w:rPr>
          <w:rFonts w:ascii="Georgia" w:hAnsi="Georgia"/>
          <w:i/>
          <w:iCs/>
        </w:rPr>
        <w:t>Hustler Magazine v. Falwell,</w:t>
      </w:r>
      <w:r w:rsidRPr="009329C0">
        <w:rPr>
          <w:rFonts w:ascii="Georgia" w:hAnsi="Georgia"/>
        </w:rPr>
        <w:t xml:space="preserve"> 485 U.S. 46, 108 S.Ct. 876, 99 L.Ed.2d 41 (1988) and </w:t>
      </w:r>
      <w:r w:rsidRPr="009329C0">
        <w:rPr>
          <w:rFonts w:ascii="Georgia" w:hAnsi="Georgia"/>
          <w:i/>
          <w:iCs/>
        </w:rPr>
        <w:t>L.L. Bean, Inc. v. Drake Publishers, Inc.,</w:t>
      </w:r>
      <w:r w:rsidRPr="009329C0">
        <w:rPr>
          <w:rFonts w:ascii="Georgia" w:hAnsi="Georgia"/>
        </w:rPr>
        <w:t xml:space="preserve"> 811 F.2d 26 (1st Cir. 1987). Those cases involved parodies of advertisements run for the purpose of poking fun at Jerry Falwell and L.L. Bean, respectively. This case involves a true advertisement run for the purpose of selling Samsung VCRs. The ad’s spoof of Vanna White and Wheel of Fortune is subservient and only tangentially related to the ad’s primary message: “buy Samsung VCRs.” Defendants’ parody arguments are better addressed to non-commercial parodies.</w:t>
      </w:r>
      <w:r w:rsidRPr="009329C0">
        <w:rPr>
          <w:rStyle w:val="FootnoteReference"/>
          <w:rFonts w:ascii="Georgia" w:hAnsi="Georgia"/>
        </w:rPr>
        <w:footnoteReference w:customMarkFollows="1" w:id="3"/>
        <w:t>3</w:t>
      </w:r>
      <w:r w:rsidRPr="009329C0">
        <w:rPr>
          <w:rFonts w:ascii="Georgia" w:hAnsi="Georgia"/>
        </w:rPr>
        <w:t xml:space="preserve"> The difference between a “parody” and a “knock-off” is the difference between fun and profit.</w:t>
      </w:r>
    </w:p>
    <w:p w14:paraId="7A858EAA" w14:textId="77777777" w:rsidR="009D7088" w:rsidRPr="009329C0" w:rsidRDefault="009D7088" w:rsidP="009D7088">
      <w:pPr>
        <w:pStyle w:val="Centered"/>
        <w:rPr>
          <w:rFonts w:ascii="Georgia" w:hAnsi="Georgia"/>
        </w:rPr>
      </w:pPr>
      <w:r w:rsidRPr="009329C0">
        <w:rPr>
          <w:rFonts w:ascii="Georgia" w:hAnsi="Georgia"/>
        </w:rPr>
        <w:t>V. Conclusion</w:t>
      </w:r>
    </w:p>
    <w:p w14:paraId="70BF09F7" w14:textId="3CE3C9B3" w:rsidR="009D7088" w:rsidRPr="009329C0" w:rsidRDefault="009D7088" w:rsidP="009D7088">
      <w:pPr>
        <w:rPr>
          <w:rFonts w:ascii="Georgia" w:hAnsi="Georgia"/>
        </w:rPr>
      </w:pPr>
      <w:r w:rsidRPr="009329C0">
        <w:rPr>
          <w:rFonts w:ascii="Georgia" w:hAnsi="Georgia"/>
        </w:rPr>
        <w:t>In remanding this case, we hold only that White has pleaded claims which can go to the jury for its decision.</w:t>
      </w:r>
    </w:p>
    <w:p w14:paraId="6BEE2C75" w14:textId="77777777" w:rsidR="009D7088" w:rsidRPr="009329C0" w:rsidRDefault="009D7088" w:rsidP="009D7088">
      <w:pPr>
        <w:rPr>
          <w:rFonts w:ascii="Georgia" w:hAnsi="Georgia"/>
        </w:rPr>
      </w:pPr>
      <w:r w:rsidRPr="009329C0">
        <w:rPr>
          <w:rFonts w:ascii="Georgia" w:hAnsi="Georgia"/>
        </w:rPr>
        <w:t>AFFIRMED IN PART, REVERSED IN PART, and REMANDED.</w:t>
      </w:r>
    </w:p>
    <w:p w14:paraId="6492F505" w14:textId="09BDB996" w:rsidR="00EB3DF5" w:rsidRPr="009329C0" w:rsidRDefault="009D7088" w:rsidP="009329C0">
      <w:pPr>
        <w:rPr>
          <w:rFonts w:ascii="Georgia" w:hAnsi="Georgia"/>
        </w:rPr>
      </w:pPr>
      <w:r w:rsidRPr="009329C0">
        <w:rPr>
          <w:rFonts w:ascii="Georgia" w:hAnsi="Georgia"/>
        </w:rPr>
        <w:t>{Judge Alarcon’s dissent is not included.}</w:t>
      </w:r>
    </w:p>
    <w:sectPr w:rsidR="00EB3DF5" w:rsidRPr="009329C0" w:rsidSect="009329C0">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B4039" w14:textId="77777777" w:rsidR="0044327C" w:rsidRDefault="0044327C" w:rsidP="009D7088">
      <w:pPr>
        <w:spacing w:after="0" w:line="240" w:lineRule="auto"/>
      </w:pPr>
      <w:r>
        <w:separator/>
      </w:r>
    </w:p>
  </w:endnote>
  <w:endnote w:type="continuationSeparator" w:id="0">
    <w:p w14:paraId="7C888BED" w14:textId="77777777" w:rsidR="0044327C" w:rsidRDefault="0044327C" w:rsidP="009D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7082380"/>
      <w:docPartObj>
        <w:docPartGallery w:val="Page Numbers (Bottom of Page)"/>
        <w:docPartUnique/>
      </w:docPartObj>
    </w:sdtPr>
    <w:sdtContent>
      <w:sdt>
        <w:sdtPr>
          <w:id w:val="1728636285"/>
          <w:docPartObj>
            <w:docPartGallery w:val="Page Numbers (Top of Page)"/>
            <w:docPartUnique/>
          </w:docPartObj>
        </w:sdtPr>
        <w:sdtContent>
          <w:p w14:paraId="77F82727" w14:textId="38E7FBCA" w:rsidR="009329C0" w:rsidRDefault="009329C0">
            <w:pPr>
              <w:pStyle w:val="Footer"/>
              <w:jc w:val="center"/>
            </w:pPr>
            <w:r w:rsidRPr="009329C0">
              <w:rPr>
                <w:rFonts w:ascii="Georgia" w:hAnsi="Georgia"/>
              </w:rPr>
              <w:t xml:space="preserve">Page </w:t>
            </w:r>
            <w:r w:rsidRPr="009329C0">
              <w:rPr>
                <w:rFonts w:ascii="Georgia" w:hAnsi="Georgia"/>
                <w:sz w:val="24"/>
                <w:szCs w:val="24"/>
              </w:rPr>
              <w:fldChar w:fldCharType="begin"/>
            </w:r>
            <w:r w:rsidRPr="009329C0">
              <w:rPr>
                <w:rFonts w:ascii="Georgia" w:hAnsi="Georgia"/>
              </w:rPr>
              <w:instrText xml:space="preserve"> PAGE </w:instrText>
            </w:r>
            <w:r w:rsidRPr="009329C0">
              <w:rPr>
                <w:rFonts w:ascii="Georgia" w:hAnsi="Georgia"/>
                <w:sz w:val="24"/>
                <w:szCs w:val="24"/>
              </w:rPr>
              <w:fldChar w:fldCharType="separate"/>
            </w:r>
            <w:r w:rsidRPr="009329C0">
              <w:rPr>
                <w:rFonts w:ascii="Georgia" w:hAnsi="Georgia"/>
                <w:noProof/>
              </w:rPr>
              <w:t>2</w:t>
            </w:r>
            <w:r w:rsidRPr="009329C0">
              <w:rPr>
                <w:rFonts w:ascii="Georgia" w:hAnsi="Georgia"/>
                <w:sz w:val="24"/>
                <w:szCs w:val="24"/>
              </w:rPr>
              <w:fldChar w:fldCharType="end"/>
            </w:r>
            <w:r w:rsidRPr="009329C0">
              <w:rPr>
                <w:rFonts w:ascii="Georgia" w:hAnsi="Georgia"/>
              </w:rPr>
              <w:t xml:space="preserve"> of </w:t>
            </w:r>
            <w:r w:rsidRPr="009329C0">
              <w:rPr>
                <w:rFonts w:ascii="Georgia" w:hAnsi="Georgia"/>
                <w:sz w:val="24"/>
                <w:szCs w:val="24"/>
              </w:rPr>
              <w:fldChar w:fldCharType="begin"/>
            </w:r>
            <w:r w:rsidRPr="009329C0">
              <w:rPr>
                <w:rFonts w:ascii="Georgia" w:hAnsi="Georgia"/>
              </w:rPr>
              <w:instrText xml:space="preserve"> NUMPAGES  </w:instrText>
            </w:r>
            <w:r w:rsidRPr="009329C0">
              <w:rPr>
                <w:rFonts w:ascii="Georgia" w:hAnsi="Georgia"/>
                <w:sz w:val="24"/>
                <w:szCs w:val="24"/>
              </w:rPr>
              <w:fldChar w:fldCharType="separate"/>
            </w:r>
            <w:r w:rsidRPr="009329C0">
              <w:rPr>
                <w:rFonts w:ascii="Georgia" w:hAnsi="Georgia"/>
                <w:noProof/>
              </w:rPr>
              <w:t>2</w:t>
            </w:r>
            <w:r w:rsidRPr="009329C0">
              <w:rPr>
                <w:rFonts w:ascii="Georgia" w:hAnsi="Georgia"/>
                <w:sz w:val="24"/>
                <w:szCs w:val="24"/>
              </w:rPr>
              <w:fldChar w:fldCharType="end"/>
            </w:r>
          </w:p>
        </w:sdtContent>
      </w:sdt>
    </w:sdtContent>
  </w:sdt>
  <w:p w14:paraId="25B676FC" w14:textId="77777777" w:rsidR="009329C0" w:rsidRDefault="0093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42AAA" w14:textId="77777777" w:rsidR="0044327C" w:rsidRDefault="0044327C" w:rsidP="009D7088">
      <w:pPr>
        <w:spacing w:after="0" w:line="240" w:lineRule="auto"/>
      </w:pPr>
      <w:r>
        <w:separator/>
      </w:r>
    </w:p>
  </w:footnote>
  <w:footnote w:type="continuationSeparator" w:id="0">
    <w:p w14:paraId="0A0A4F65" w14:textId="77777777" w:rsidR="0044327C" w:rsidRDefault="0044327C" w:rsidP="009D7088">
      <w:pPr>
        <w:spacing w:after="0" w:line="240" w:lineRule="auto"/>
      </w:pPr>
      <w:r>
        <w:continuationSeparator/>
      </w:r>
    </w:p>
  </w:footnote>
  <w:footnote w:id="1">
    <w:p w14:paraId="7517A9BD" w14:textId="77777777" w:rsidR="009D7088" w:rsidRPr="009329C0" w:rsidRDefault="009D7088" w:rsidP="009D7088">
      <w:pPr>
        <w:pStyle w:val="FootnoteText"/>
        <w:rPr>
          <w:rFonts w:ascii="Georgia" w:hAnsi="Georgia"/>
          <w:sz w:val="20"/>
          <w:szCs w:val="18"/>
        </w:rPr>
      </w:pPr>
      <w:r w:rsidRPr="009329C0">
        <w:rPr>
          <w:rStyle w:val="FootnoteReference"/>
          <w:rFonts w:ascii="Georgia" w:hAnsi="Georgia"/>
          <w:sz w:val="20"/>
          <w:szCs w:val="18"/>
        </w:rPr>
        <w:t>1</w:t>
      </w:r>
      <w:r w:rsidRPr="009329C0">
        <w:rPr>
          <w:rFonts w:ascii="Georgia" w:hAnsi="Georgia"/>
          <w:sz w:val="20"/>
          <w:szCs w:val="18"/>
        </w:rPr>
        <w:t xml:space="preserve"> Under Professor Prosser’s scheme, the right of publicity is the last of the four categories of the right to privacy. Prosser, 48 Cal.L.Rev. at 389.</w:t>
      </w:r>
    </w:p>
  </w:footnote>
  <w:footnote w:id="2">
    <w:p w14:paraId="27D7A847" w14:textId="77777777" w:rsidR="009D7088" w:rsidRPr="009329C0" w:rsidRDefault="009D7088" w:rsidP="009D7088">
      <w:pPr>
        <w:pStyle w:val="FootnoteText"/>
        <w:rPr>
          <w:rFonts w:ascii="Georgia" w:hAnsi="Georgia"/>
          <w:sz w:val="20"/>
          <w:szCs w:val="18"/>
        </w:rPr>
      </w:pPr>
      <w:r w:rsidRPr="009329C0">
        <w:rPr>
          <w:rStyle w:val="FootnoteReference"/>
          <w:rFonts w:ascii="Georgia" w:hAnsi="Georgia"/>
          <w:sz w:val="20"/>
          <w:szCs w:val="18"/>
        </w:rPr>
        <w:t>2</w:t>
      </w:r>
      <w:r w:rsidRPr="009329C0">
        <w:rPr>
          <w:rFonts w:ascii="Georgia" w:hAnsi="Georgia"/>
          <w:sz w:val="20"/>
          <w:szCs w:val="18"/>
        </w:rPr>
        <w:t xml:space="preserve"> The statute was amended after White filed her complaint. The amendments would not have altered the analysis in this </w:t>
      </w:r>
      <w:proofErr w:type="gramStart"/>
      <w:r w:rsidRPr="009329C0">
        <w:rPr>
          <w:rFonts w:ascii="Georgia" w:hAnsi="Georgia"/>
          <w:sz w:val="20"/>
          <w:szCs w:val="18"/>
        </w:rPr>
        <w:t>case</w:t>
      </w:r>
      <w:proofErr w:type="gramEnd"/>
      <w:r w:rsidRPr="009329C0">
        <w:rPr>
          <w:rFonts w:ascii="Georgia" w:hAnsi="Georgia"/>
          <w:sz w:val="20"/>
          <w:szCs w:val="18"/>
        </w:rPr>
        <w:t xml:space="preserve"> however.</w:t>
      </w:r>
    </w:p>
  </w:footnote>
  <w:footnote w:id="3">
    <w:p w14:paraId="175F85EF" w14:textId="77777777" w:rsidR="009D7088" w:rsidRPr="009329C0" w:rsidRDefault="009D7088" w:rsidP="009D7088">
      <w:pPr>
        <w:pStyle w:val="FootnoteText"/>
        <w:rPr>
          <w:rFonts w:ascii="Georgia" w:hAnsi="Georgia"/>
          <w:sz w:val="20"/>
          <w:szCs w:val="18"/>
        </w:rPr>
      </w:pPr>
      <w:r w:rsidRPr="009329C0">
        <w:rPr>
          <w:rStyle w:val="FootnoteReference"/>
          <w:rFonts w:ascii="Georgia" w:hAnsi="Georgia"/>
          <w:sz w:val="20"/>
          <w:szCs w:val="18"/>
        </w:rPr>
        <w:t>3</w:t>
      </w:r>
      <w:r w:rsidRPr="009329C0">
        <w:rPr>
          <w:rFonts w:ascii="Georgia" w:hAnsi="Georgia"/>
          <w:sz w:val="20"/>
          <w:szCs w:val="18"/>
        </w:rPr>
        <w:t xml:space="preserve"> In warning of a first amendment chill to expressive conduct, the dissent reads this decision too broadly. </w:t>
      </w:r>
      <w:r w:rsidRPr="009329C0">
        <w:rPr>
          <w:rFonts w:ascii="Georgia" w:hAnsi="Georgia"/>
          <w:i/>
          <w:iCs/>
          <w:sz w:val="20"/>
          <w:szCs w:val="18"/>
        </w:rPr>
        <w:t>See Dissent</w:t>
      </w:r>
      <w:r w:rsidRPr="009329C0">
        <w:rPr>
          <w:rFonts w:ascii="Georgia" w:hAnsi="Georgia"/>
          <w:sz w:val="20"/>
          <w:szCs w:val="18"/>
        </w:rPr>
        <w:t xml:space="preserve"> at 1407. This case concerns only the market which exists in our society for the exploitation of celebrity to sell products, and an attempt to take a free ride on a celebrity’s celebrity value. Commercial advertising which relies on celebrity fame is different from other forms of expressive activity in two crucial ways.</w:t>
      </w:r>
    </w:p>
    <w:p w14:paraId="46A1E902" w14:textId="77777777" w:rsidR="009D7088" w:rsidRPr="009329C0" w:rsidRDefault="009D7088" w:rsidP="009D7088">
      <w:pPr>
        <w:rPr>
          <w:rFonts w:ascii="Georgia" w:hAnsi="Georgia"/>
          <w:sz w:val="20"/>
          <w:szCs w:val="18"/>
        </w:rPr>
      </w:pPr>
      <w:r w:rsidRPr="009329C0">
        <w:rPr>
          <w:rFonts w:ascii="Georgia" w:hAnsi="Georgia"/>
          <w:sz w:val="20"/>
          <w:szCs w:val="18"/>
        </w:rPr>
        <w:t>First, for celebrity exploitation advertising to be effective, the advertisement must evoke the celebrity’s identity. The more effective the evocation, the better the advertisement. If, as Samsung claims, its ad was based on a “generic” game-show hostess and not on Vanna White, the ad would not have violated anyone’s right of publicity, but it would also not have been as humorous or as effective.</w:t>
      </w:r>
    </w:p>
    <w:p w14:paraId="4C74BAA2" w14:textId="77777777" w:rsidR="009D7088" w:rsidRPr="009329C0" w:rsidRDefault="009D7088" w:rsidP="009329C0">
      <w:pPr>
        <w:pStyle w:val="FootnoteText"/>
        <w:rPr>
          <w:rFonts w:ascii="Georgia" w:hAnsi="Georgia"/>
          <w:sz w:val="20"/>
          <w:szCs w:val="18"/>
        </w:rPr>
      </w:pPr>
      <w:r w:rsidRPr="009329C0">
        <w:rPr>
          <w:rFonts w:ascii="Georgia" w:hAnsi="Georgia"/>
          <w:sz w:val="20"/>
          <w:szCs w:val="18"/>
        </w:rPr>
        <w:t xml:space="preserve">Second, even if some forms of expressive activity, such as parody, do rely on identity evocation, the first amendment hurdle will bar most right of publicity actions against those activities. </w:t>
      </w:r>
      <w:r w:rsidRPr="009329C0">
        <w:rPr>
          <w:rFonts w:ascii="Georgia" w:hAnsi="Georgia"/>
          <w:i/>
          <w:iCs/>
          <w:sz w:val="20"/>
          <w:szCs w:val="18"/>
        </w:rPr>
        <w:t>Cf. Falwell,</w:t>
      </w:r>
      <w:r w:rsidRPr="009329C0">
        <w:rPr>
          <w:rFonts w:ascii="Georgia" w:hAnsi="Georgia"/>
          <w:sz w:val="20"/>
          <w:szCs w:val="18"/>
        </w:rPr>
        <w:t xml:space="preserve"> 485 U.S. at 46. In the case of commercial advertising, however, the first amendment hurdle is not so high. </w:t>
      </w:r>
      <w:r w:rsidRPr="009329C0">
        <w:rPr>
          <w:rFonts w:ascii="Georgia" w:hAnsi="Georgia"/>
          <w:i/>
          <w:iCs/>
          <w:sz w:val="20"/>
          <w:szCs w:val="18"/>
        </w:rPr>
        <w:t>Central Hudson Gas &amp; Electric Corp. v. Public Service Comm’n of New York,</w:t>
      </w:r>
      <w:r w:rsidRPr="009329C0">
        <w:rPr>
          <w:rFonts w:ascii="Georgia" w:hAnsi="Georgia"/>
          <w:sz w:val="20"/>
          <w:szCs w:val="18"/>
        </w:rPr>
        <w:t xml:space="preserve"> 447 U.S. 557, 566 (1980). Realizing this, Samsung attempts to elevate its ad above the status of garden-variety commercial speech by pointing to the ad’s parody of Vanna White. Samsung’s argument is unavailing. </w:t>
      </w:r>
      <w:r w:rsidRPr="009329C0">
        <w:rPr>
          <w:rFonts w:ascii="Georgia" w:hAnsi="Georgia"/>
          <w:i/>
          <w:iCs/>
          <w:sz w:val="20"/>
          <w:szCs w:val="18"/>
        </w:rPr>
        <w:t>See Board of Trustees, State Univ. of N.Y. v. Fox,</w:t>
      </w:r>
      <w:r w:rsidRPr="009329C0">
        <w:rPr>
          <w:rFonts w:ascii="Georgia" w:hAnsi="Georgia"/>
          <w:sz w:val="20"/>
          <w:szCs w:val="18"/>
        </w:rPr>
        <w:t xml:space="preserve"> 492 U.S. 469, 474–75 (1988); </w:t>
      </w:r>
      <w:r w:rsidRPr="009329C0">
        <w:rPr>
          <w:rFonts w:ascii="Georgia" w:hAnsi="Georgia"/>
          <w:i/>
          <w:iCs/>
          <w:sz w:val="20"/>
          <w:szCs w:val="18"/>
        </w:rPr>
        <w:t>Bolger v. Youngs Drug Products Corp.,</w:t>
      </w:r>
      <w:r w:rsidRPr="009329C0">
        <w:rPr>
          <w:rFonts w:ascii="Georgia" w:hAnsi="Georgia"/>
          <w:sz w:val="20"/>
          <w:szCs w:val="18"/>
        </w:rPr>
        <w:t xml:space="preserve"> 463 U.S. 60, 67–68, (1983). Unless the first amendment bars all right of publicity actions—and it does not, </w:t>
      </w:r>
      <w:r w:rsidRPr="009329C0">
        <w:rPr>
          <w:rFonts w:ascii="Georgia" w:hAnsi="Georgia"/>
          <w:i/>
          <w:iCs/>
          <w:sz w:val="20"/>
          <w:szCs w:val="18"/>
        </w:rPr>
        <w:t>see Zachini v. Scripps–Howard Broadcasting Co.,</w:t>
      </w:r>
      <w:r w:rsidRPr="009329C0">
        <w:rPr>
          <w:rFonts w:ascii="Georgia" w:hAnsi="Georgia"/>
          <w:sz w:val="20"/>
          <w:szCs w:val="18"/>
        </w:rPr>
        <w:t xml:space="preserve"> 433 U.S. 562 (1977)—then it does not bar this case.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88"/>
    <w:rsid w:val="000A4AD4"/>
    <w:rsid w:val="000C53B3"/>
    <w:rsid w:val="0044327C"/>
    <w:rsid w:val="008E410A"/>
    <w:rsid w:val="009329C0"/>
    <w:rsid w:val="009D7088"/>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4E9C"/>
  <w15:chartTrackingRefBased/>
  <w15:docId w15:val="{95F324FF-E519-484B-9217-278600A3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88"/>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9D7088"/>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7088"/>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7088"/>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7088"/>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D7088"/>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D7088"/>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9D7088"/>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D7088"/>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D7088"/>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088"/>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D7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088"/>
    <w:rPr>
      <w:rFonts w:eastAsiaTheme="majorEastAsia" w:cstheme="majorBidi"/>
      <w:color w:val="272727" w:themeColor="text1" w:themeTint="D8"/>
    </w:rPr>
  </w:style>
  <w:style w:type="paragraph" w:styleId="Title">
    <w:name w:val="Title"/>
    <w:basedOn w:val="Normal"/>
    <w:next w:val="Normal"/>
    <w:link w:val="TitleChar"/>
    <w:uiPriority w:val="10"/>
    <w:qFormat/>
    <w:rsid w:val="009D7088"/>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7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08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7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088"/>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D7088"/>
    <w:rPr>
      <w:i/>
      <w:iCs/>
      <w:color w:val="404040" w:themeColor="text1" w:themeTint="BF"/>
    </w:rPr>
  </w:style>
  <w:style w:type="paragraph" w:styleId="ListParagraph">
    <w:name w:val="List Paragraph"/>
    <w:basedOn w:val="Normal"/>
    <w:uiPriority w:val="34"/>
    <w:qFormat/>
    <w:rsid w:val="009D7088"/>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9D7088"/>
    <w:rPr>
      <w:i/>
      <w:iCs/>
      <w:color w:val="0F4761" w:themeColor="accent1" w:themeShade="BF"/>
    </w:rPr>
  </w:style>
  <w:style w:type="paragraph" w:styleId="IntenseQuote">
    <w:name w:val="Intense Quote"/>
    <w:basedOn w:val="Normal"/>
    <w:next w:val="Normal"/>
    <w:link w:val="IntenseQuoteChar"/>
    <w:uiPriority w:val="30"/>
    <w:qFormat/>
    <w:rsid w:val="009D708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D7088"/>
    <w:rPr>
      <w:i/>
      <w:iCs/>
      <w:color w:val="0F4761" w:themeColor="accent1" w:themeShade="BF"/>
    </w:rPr>
  </w:style>
  <w:style w:type="character" w:styleId="IntenseReference">
    <w:name w:val="Intense Reference"/>
    <w:basedOn w:val="DefaultParagraphFont"/>
    <w:uiPriority w:val="32"/>
    <w:qFormat/>
    <w:rsid w:val="009D7088"/>
    <w:rPr>
      <w:b/>
      <w:bCs/>
      <w:smallCaps/>
      <w:color w:val="0F4761" w:themeColor="accent1" w:themeShade="BF"/>
      <w:spacing w:val="5"/>
    </w:rPr>
  </w:style>
  <w:style w:type="paragraph" w:customStyle="1" w:styleId="OpinionCitation">
    <w:name w:val="Opinion Citation"/>
    <w:basedOn w:val="Normal"/>
    <w:link w:val="OpinionCitationChar"/>
    <w:qFormat/>
    <w:rsid w:val="009D7088"/>
    <w:pPr>
      <w:keepNext/>
      <w:spacing w:after="120"/>
      <w:ind w:firstLine="0"/>
    </w:pPr>
    <w:rPr>
      <w:b/>
    </w:rPr>
  </w:style>
  <w:style w:type="character" w:customStyle="1" w:styleId="OpinionCitationChar">
    <w:name w:val="Opinion Citation Char"/>
    <w:link w:val="OpinionCitation"/>
    <w:rsid w:val="009D7088"/>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9D7088"/>
    <w:pPr>
      <w:ind w:left="576" w:right="576" w:firstLine="0"/>
    </w:pPr>
  </w:style>
  <w:style w:type="character" w:customStyle="1" w:styleId="BlockquoteChar">
    <w:name w:val="Blockquote Char"/>
    <w:link w:val="Blockquote"/>
    <w:rsid w:val="009D7088"/>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9D7088"/>
  </w:style>
  <w:style w:type="character" w:customStyle="1" w:styleId="FootnoteTextChar">
    <w:name w:val="Footnote Text Char"/>
    <w:basedOn w:val="DefaultParagraphFont"/>
    <w:link w:val="FootnoteText"/>
    <w:uiPriority w:val="99"/>
    <w:rsid w:val="009D7088"/>
    <w:rPr>
      <w:rFonts w:ascii="Cambria" w:eastAsia="Calibri" w:hAnsi="Cambria" w:cs="Times New Roman"/>
      <w:kern w:val="0"/>
      <w:szCs w:val="20"/>
      <w14:ligatures w14:val="none"/>
    </w:rPr>
  </w:style>
  <w:style w:type="character" w:styleId="FootnoteReference">
    <w:name w:val="footnote reference"/>
    <w:uiPriority w:val="99"/>
    <w:semiHidden/>
    <w:unhideWhenUsed/>
    <w:rsid w:val="009D7088"/>
    <w:rPr>
      <w:vertAlign w:val="superscript"/>
    </w:rPr>
  </w:style>
  <w:style w:type="paragraph" w:customStyle="1" w:styleId="NormalNoIndent">
    <w:name w:val="Normal No Indent"/>
    <w:basedOn w:val="Normal"/>
    <w:link w:val="NormalNoIndentChar"/>
    <w:qFormat/>
    <w:rsid w:val="009D7088"/>
    <w:pPr>
      <w:ind w:firstLine="0"/>
    </w:pPr>
  </w:style>
  <w:style w:type="character" w:customStyle="1" w:styleId="NormalNoIndentChar">
    <w:name w:val="Normal No Indent Char"/>
    <w:link w:val="NormalNoIndent"/>
    <w:rsid w:val="009D7088"/>
    <w:rPr>
      <w:rFonts w:ascii="Cambria" w:eastAsia="Calibri" w:hAnsi="Cambria" w:cs="Times New Roman"/>
      <w:kern w:val="0"/>
      <w:szCs w:val="20"/>
      <w14:ligatures w14:val="none"/>
    </w:rPr>
  </w:style>
  <w:style w:type="paragraph" w:customStyle="1" w:styleId="Centered">
    <w:name w:val="Centered"/>
    <w:basedOn w:val="Normal"/>
    <w:link w:val="CenteredChar"/>
    <w:qFormat/>
    <w:rsid w:val="009D7088"/>
    <w:pPr>
      <w:ind w:firstLine="0"/>
      <w:jc w:val="center"/>
    </w:pPr>
    <w:rPr>
      <w:i/>
      <w:iCs/>
    </w:rPr>
  </w:style>
  <w:style w:type="character" w:customStyle="1" w:styleId="CenteredChar">
    <w:name w:val="Centered Char"/>
    <w:link w:val="Centered"/>
    <w:rsid w:val="009D7088"/>
    <w:rPr>
      <w:rFonts w:ascii="Cambria" w:eastAsia="Calibri" w:hAnsi="Cambria" w:cs="Times New Roman"/>
      <w:i/>
      <w:iCs/>
      <w:kern w:val="0"/>
      <w:szCs w:val="20"/>
      <w14:ligatures w14:val="none"/>
    </w:rPr>
  </w:style>
  <w:style w:type="paragraph" w:customStyle="1" w:styleId="Normal-Centered">
    <w:name w:val="*Normal-Centered"/>
    <w:basedOn w:val="NormalNoIndent"/>
    <w:link w:val="Normal-CenteredChar"/>
    <w:qFormat/>
    <w:rsid w:val="009D7088"/>
    <w:pPr>
      <w:jc w:val="center"/>
    </w:pPr>
  </w:style>
  <w:style w:type="character" w:customStyle="1" w:styleId="Normal-CenteredChar">
    <w:name w:val="*Normal-Centered Char"/>
    <w:basedOn w:val="NormalNoIndentChar"/>
    <w:link w:val="Normal-Centered"/>
    <w:rsid w:val="009D7088"/>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93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9C0"/>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93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9C0"/>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3192</Words>
  <Characters>18200</Characters>
  <Application>Microsoft Office Word</Application>
  <DocSecurity>0</DocSecurity>
  <Lines>151</Lines>
  <Paragraphs>42</Paragraphs>
  <ScaleCrop>false</ScaleCrop>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2024-07-28T16:20:00Z</dcterms:created>
  <dcterms:modified xsi:type="dcterms:W3CDTF">2024-07-28T16:24:00Z</dcterms:modified>
</cp:coreProperties>
</file>