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BB450" w14:textId="77777777" w:rsidR="00BA1C68" w:rsidRPr="007F0427" w:rsidRDefault="00BA1C68" w:rsidP="007F0427">
      <w:pPr>
        <w:pStyle w:val="Heading7"/>
        <w:ind w:firstLine="0"/>
        <w:jc w:val="center"/>
        <w:rPr>
          <w:rFonts w:ascii="Georgia" w:hAnsi="Georgia"/>
          <w:b/>
          <w:bCs/>
          <w:color w:val="000000" w:themeColor="text1"/>
          <w:sz w:val="32"/>
          <w:szCs w:val="28"/>
        </w:rPr>
      </w:pPr>
      <w:bookmarkStart w:id="0" w:name="_Toc171715800"/>
      <w:proofErr w:type="spellStart"/>
      <w:r w:rsidRPr="007F0427">
        <w:rPr>
          <w:rFonts w:ascii="Georgia" w:hAnsi="Georgia"/>
          <w:b/>
          <w:bCs/>
          <w:color w:val="000000" w:themeColor="text1"/>
          <w:sz w:val="32"/>
          <w:szCs w:val="28"/>
        </w:rPr>
        <w:t>Wreal</w:t>
      </w:r>
      <w:proofErr w:type="spellEnd"/>
      <w:r w:rsidRPr="007F0427">
        <w:rPr>
          <w:rFonts w:ascii="Georgia" w:hAnsi="Georgia"/>
          <w:b/>
          <w:bCs/>
          <w:color w:val="000000" w:themeColor="text1"/>
          <w:sz w:val="32"/>
          <w:szCs w:val="28"/>
        </w:rPr>
        <w:t>, LLC v. Amazon.com, Inc.</w:t>
      </w:r>
      <w:bookmarkEnd w:id="0"/>
    </w:p>
    <w:p w14:paraId="1BE11464" w14:textId="77777777" w:rsidR="00BA1C68" w:rsidRPr="007F0427" w:rsidRDefault="00BA1C68" w:rsidP="007F0427">
      <w:pPr>
        <w:pStyle w:val="OpinionCitation"/>
        <w:jc w:val="center"/>
        <w:rPr>
          <w:rFonts w:ascii="Georgia" w:hAnsi="Georgia"/>
        </w:rPr>
      </w:pPr>
      <w:r w:rsidRPr="007F0427">
        <w:rPr>
          <w:rFonts w:ascii="Georgia" w:hAnsi="Georgia"/>
        </w:rPr>
        <w:t>38 Fed.4th 114 (11th Cir. 2022)</w:t>
      </w:r>
    </w:p>
    <w:p w14:paraId="24D80411" w14:textId="77777777" w:rsidR="00BA1C68" w:rsidRPr="007F0427" w:rsidRDefault="00BA1C68" w:rsidP="00BA1C68">
      <w:pPr>
        <w:pStyle w:val="NormalNoIndent"/>
        <w:rPr>
          <w:rFonts w:ascii="Georgia" w:hAnsi="Georgia"/>
        </w:rPr>
      </w:pPr>
      <w:r w:rsidRPr="007F0427">
        <w:rPr>
          <w:rFonts w:ascii="Georgia" w:hAnsi="Georgia"/>
        </w:rPr>
        <w:t>Lagoa, Circuit Judge:</w:t>
      </w:r>
    </w:p>
    <w:p w14:paraId="0E20BB73" w14:textId="66631634" w:rsidR="00BA1C68" w:rsidRPr="007F0427" w:rsidRDefault="00BA1C68" w:rsidP="00BA1C68">
      <w:pPr>
        <w:rPr>
          <w:rFonts w:ascii="Georgia" w:hAnsi="Georgia"/>
        </w:rPr>
      </w:pPr>
      <w:r w:rsidRPr="007F0427">
        <w:rPr>
          <w:rFonts w:ascii="Georgia" w:hAnsi="Georgia"/>
        </w:rPr>
        <w:t xml:space="preserve">This appeal asks us to address the doctrine of reverse-confusion trademark infringement. Reverse confusion is not a standalone claim in trademark law; rather, it is a theory of how trademark infringement can occur. In reverse-confusion cases, the plaintiff is usually a commercially smaller, but more senior, user of the mark at issue. The defendant tends to be a commercially larger, but more junior, user of the mark. The plaintiff thus does not argue that the defendant is using the mark to profit off plaintiff’s goodwill; instead, the plaintiff </w:t>
      </w:r>
      <w:proofErr w:type="gramStart"/>
      <w:r w:rsidRPr="007F0427">
        <w:rPr>
          <w:rFonts w:ascii="Georgia" w:hAnsi="Georgia"/>
        </w:rPr>
        <w:t>brings suit</w:t>
      </w:r>
      <w:proofErr w:type="gramEnd"/>
      <w:r w:rsidRPr="007F0427">
        <w:rPr>
          <w:rFonts w:ascii="Georgia" w:hAnsi="Georgia"/>
        </w:rPr>
        <w:t xml:space="preserve"> because of the fear that consumers are associating the plaintiff’s mark with the defendant’s corporate identity. It is this false association and loss of product control that constitutes the harm in reverse-confusion cases.</w:t>
      </w:r>
    </w:p>
    <w:p w14:paraId="18C3D1E5" w14:textId="0257B1B8" w:rsidR="00BA1C68" w:rsidRPr="007F0427" w:rsidRDefault="00BA1C68" w:rsidP="00BA1C68">
      <w:pPr>
        <w:rPr>
          <w:rFonts w:ascii="Georgia" w:hAnsi="Georgia"/>
        </w:rPr>
      </w:pPr>
      <w:r w:rsidRPr="007F0427">
        <w:rPr>
          <w:rFonts w:ascii="Georgia" w:hAnsi="Georgia"/>
        </w:rPr>
        <w:t xml:space="preserve">In this case, the plaintiff is </w:t>
      </w:r>
      <w:proofErr w:type="spellStart"/>
      <w:r w:rsidRPr="007F0427">
        <w:rPr>
          <w:rFonts w:ascii="Georgia" w:hAnsi="Georgia"/>
        </w:rPr>
        <w:t>Wreal</w:t>
      </w:r>
      <w:proofErr w:type="spellEnd"/>
      <w:r w:rsidRPr="007F0427">
        <w:rPr>
          <w:rFonts w:ascii="Georgia" w:hAnsi="Georgia"/>
        </w:rPr>
        <w:t>, LLC, a Miami-based pornography company, which has been using the mark “</w:t>
      </w:r>
      <w:proofErr w:type="spellStart"/>
      <w:r w:rsidRPr="007F0427">
        <w:rPr>
          <w:rFonts w:ascii="Georgia" w:hAnsi="Georgia"/>
        </w:rPr>
        <w:t>FyreTV</w:t>
      </w:r>
      <w:proofErr w:type="spellEnd"/>
      <w:r w:rsidRPr="007F0427">
        <w:rPr>
          <w:rFonts w:ascii="Georgia" w:hAnsi="Georgia"/>
        </w:rPr>
        <w:t>” in commerce since 2008. The defendant is Amazon.com, Inc., the largest online purveyor of goods and services in the United States, which has been using the mark “Fire TV” (or “</w:t>
      </w:r>
      <w:proofErr w:type="spellStart"/>
      <w:r w:rsidRPr="007F0427">
        <w:rPr>
          <w:rFonts w:ascii="Georgia" w:hAnsi="Georgia"/>
        </w:rPr>
        <w:t>fireTV</w:t>
      </w:r>
      <w:proofErr w:type="spellEnd"/>
      <w:r w:rsidRPr="007F0427">
        <w:rPr>
          <w:rFonts w:ascii="Georgia" w:hAnsi="Georgia"/>
        </w:rPr>
        <w:t xml:space="preserve">”) in commerce since 2012. </w:t>
      </w:r>
      <w:proofErr w:type="spellStart"/>
      <w:r w:rsidRPr="007F0427">
        <w:rPr>
          <w:rFonts w:ascii="Georgia" w:hAnsi="Georgia"/>
        </w:rPr>
        <w:t>Wreal</w:t>
      </w:r>
      <w:proofErr w:type="spellEnd"/>
      <w:r w:rsidRPr="007F0427">
        <w:rPr>
          <w:rFonts w:ascii="Georgia" w:hAnsi="Georgia"/>
        </w:rPr>
        <w:t xml:space="preserve"> does not claim that Amazon, by using the “Fire TV” mark, is attempting to profit off </w:t>
      </w:r>
      <w:proofErr w:type="spellStart"/>
      <w:r w:rsidRPr="007F0427">
        <w:rPr>
          <w:rFonts w:ascii="Georgia" w:hAnsi="Georgia"/>
        </w:rPr>
        <w:t>Wreal’s</w:t>
      </w:r>
      <w:proofErr w:type="spellEnd"/>
      <w:r w:rsidRPr="007F0427">
        <w:rPr>
          <w:rFonts w:ascii="Georgia" w:hAnsi="Georgia"/>
        </w:rPr>
        <w:t xml:space="preserve"> good name, as would be typical in a forward-confusion case. Instead, </w:t>
      </w:r>
      <w:proofErr w:type="spellStart"/>
      <w:r w:rsidRPr="007F0427">
        <w:rPr>
          <w:rFonts w:ascii="Georgia" w:hAnsi="Georgia"/>
        </w:rPr>
        <w:t>Wreal</w:t>
      </w:r>
      <w:proofErr w:type="spellEnd"/>
      <w:r w:rsidRPr="007F0427">
        <w:rPr>
          <w:rFonts w:ascii="Georgia" w:hAnsi="Georgia"/>
        </w:rPr>
        <w:t xml:space="preserve"> contends that Amazon’s allegedly similar mark is causing consumers to associate its mark</w:t>
      </w:r>
      <w:proofErr w:type="gramStart"/>
      <w:r w:rsidRPr="007F0427">
        <w:rPr>
          <w:rFonts w:ascii="Georgia" w:hAnsi="Georgia"/>
        </w:rPr>
        <w:t>—”</w:t>
      </w:r>
      <w:proofErr w:type="spellStart"/>
      <w:r w:rsidRPr="007F0427">
        <w:rPr>
          <w:rFonts w:ascii="Georgia" w:hAnsi="Georgia"/>
        </w:rPr>
        <w:t>FyreTV</w:t>
      </w:r>
      <w:proofErr w:type="spellEnd"/>
      <w:proofErr w:type="gramEnd"/>
      <w:r w:rsidRPr="007F0427">
        <w:rPr>
          <w:rFonts w:ascii="Georgia" w:hAnsi="Georgia"/>
        </w:rPr>
        <w:t>”—with Amazon.</w:t>
      </w:r>
    </w:p>
    <w:p w14:paraId="2B57EAA0" w14:textId="794997BD" w:rsidR="00BA1C68" w:rsidRPr="007F0427" w:rsidRDefault="00BA1C68" w:rsidP="00BA1C68">
      <w:pPr>
        <w:rPr>
          <w:rFonts w:ascii="Georgia" w:hAnsi="Georgia"/>
        </w:rPr>
      </w:pPr>
      <w:r w:rsidRPr="007F0427">
        <w:rPr>
          <w:rFonts w:ascii="Georgia" w:hAnsi="Georgia"/>
        </w:rPr>
        <w:t xml:space="preserve">The resolution of this appeal turns on the likelihood of confusing Amazon’s “Fire TV” with </w:t>
      </w:r>
      <w:proofErr w:type="spellStart"/>
      <w:r w:rsidRPr="007F0427">
        <w:rPr>
          <w:rFonts w:ascii="Georgia" w:hAnsi="Georgia"/>
        </w:rPr>
        <w:t>Wreal’s</w:t>
      </w:r>
      <w:proofErr w:type="spellEnd"/>
      <w:r w:rsidRPr="007F0427">
        <w:rPr>
          <w:rFonts w:ascii="Georgia" w:hAnsi="Georgia"/>
        </w:rPr>
        <w:t xml:space="preserve"> “</w:t>
      </w:r>
      <w:proofErr w:type="spellStart"/>
      <w:r w:rsidRPr="007F0427">
        <w:rPr>
          <w:rFonts w:ascii="Georgia" w:hAnsi="Georgia"/>
        </w:rPr>
        <w:t>FyreTV</w:t>
      </w:r>
      <w:proofErr w:type="spellEnd"/>
      <w:r w:rsidRPr="007F0427">
        <w:rPr>
          <w:rFonts w:ascii="Georgia" w:hAnsi="Georgia"/>
        </w:rPr>
        <w:t xml:space="preserve">.” In forward-confusion cases, we determine likelihood of confusion by applying a well-established seven-factor test. </w:t>
      </w:r>
      <w:r w:rsidRPr="007F0427">
        <w:rPr>
          <w:rFonts w:ascii="Georgia" w:hAnsi="Georgia"/>
          <w:i/>
          <w:iCs/>
        </w:rPr>
        <w:t>See Welding Servs., Inc. v. Forman</w:t>
      </w:r>
      <w:r w:rsidRPr="007F0427">
        <w:rPr>
          <w:rFonts w:ascii="Georgia" w:hAnsi="Georgia"/>
        </w:rPr>
        <w:t>, 509 F.3d 1351, 1360 (11th Cir. 2007). Applying those seven factors, the district court found that consumers were unlikely to confuse “Fire TV” with “</w:t>
      </w:r>
      <w:proofErr w:type="spellStart"/>
      <w:r w:rsidRPr="007F0427">
        <w:rPr>
          <w:rFonts w:ascii="Georgia" w:hAnsi="Georgia"/>
        </w:rPr>
        <w:t>FyreTV</w:t>
      </w:r>
      <w:proofErr w:type="spellEnd"/>
      <w:r w:rsidRPr="007F0427">
        <w:rPr>
          <w:rFonts w:ascii="Georgia" w:hAnsi="Georgia"/>
        </w:rPr>
        <w:t xml:space="preserve">” and granted summary judgment to Amazon on </w:t>
      </w:r>
      <w:proofErr w:type="spellStart"/>
      <w:r w:rsidRPr="007F0427">
        <w:rPr>
          <w:rFonts w:ascii="Georgia" w:hAnsi="Georgia"/>
        </w:rPr>
        <w:t>Wreal’s</w:t>
      </w:r>
      <w:proofErr w:type="spellEnd"/>
      <w:r w:rsidRPr="007F0427">
        <w:rPr>
          <w:rFonts w:ascii="Georgia" w:hAnsi="Georgia"/>
        </w:rPr>
        <w:t xml:space="preserve"> trademark infringement claims.</w:t>
      </w:r>
    </w:p>
    <w:p w14:paraId="66D0CAF3" w14:textId="174F1AD6" w:rsidR="00BA1C68" w:rsidRPr="007F0427" w:rsidRDefault="00BA1C68" w:rsidP="00BA1C68">
      <w:pPr>
        <w:rPr>
          <w:rFonts w:ascii="Georgia" w:hAnsi="Georgia"/>
        </w:rPr>
      </w:pPr>
      <w:r w:rsidRPr="007F0427">
        <w:rPr>
          <w:rFonts w:ascii="Georgia" w:hAnsi="Georgia"/>
        </w:rPr>
        <w:t>We have not had the opportunity to delineate how this seven-factor test applies in reverse-confusion cases. As discussed below, there are several important differences in how the seven likelihood-of-confusion factors apply in reverse-confusion cases versus forward-confusion cases. When applied specifically to the issues presented here, we conclude that the district court erred in granting summary judgment and should have allowed the case to proceed to trial. We therefore reverse the district court’s order.</w:t>
      </w:r>
    </w:p>
    <w:p w14:paraId="7306A969" w14:textId="77777777" w:rsidR="00BA1C68" w:rsidRPr="007F0427" w:rsidRDefault="00BA1C68" w:rsidP="00BA1C68">
      <w:pPr>
        <w:pStyle w:val="Normal-centered0"/>
        <w:rPr>
          <w:rFonts w:ascii="Georgia" w:hAnsi="Georgia"/>
          <w:b/>
          <w:bCs/>
        </w:rPr>
      </w:pPr>
      <w:r w:rsidRPr="007F0427">
        <w:rPr>
          <w:rFonts w:ascii="Georgia" w:hAnsi="Georgia"/>
          <w:b/>
          <w:bCs/>
        </w:rPr>
        <w:t>I. FACTUAL AND PROCEDURAL BACKGROUND</w:t>
      </w:r>
    </w:p>
    <w:p w14:paraId="619E18E1" w14:textId="77777777" w:rsidR="00BA1C68" w:rsidRPr="007F0427" w:rsidRDefault="00BA1C68" w:rsidP="00BA1C68">
      <w:pPr>
        <w:rPr>
          <w:rFonts w:ascii="Georgia" w:hAnsi="Georgia"/>
          <w:b/>
          <w:bCs/>
        </w:rPr>
      </w:pPr>
      <w:r w:rsidRPr="007F0427">
        <w:rPr>
          <w:rFonts w:ascii="Georgia" w:hAnsi="Georgia"/>
          <w:b/>
          <w:bCs/>
        </w:rPr>
        <w:t xml:space="preserve">A. </w:t>
      </w:r>
      <w:proofErr w:type="spellStart"/>
      <w:r w:rsidRPr="007F0427">
        <w:rPr>
          <w:rFonts w:ascii="Georgia" w:hAnsi="Georgia"/>
          <w:b/>
          <w:bCs/>
        </w:rPr>
        <w:t>Wreal</w:t>
      </w:r>
      <w:proofErr w:type="spellEnd"/>
      <w:r w:rsidRPr="007F0427">
        <w:rPr>
          <w:rFonts w:ascii="Georgia" w:hAnsi="Georgia"/>
          <w:b/>
          <w:bCs/>
        </w:rPr>
        <w:t xml:space="preserve">, LLC, and </w:t>
      </w:r>
      <w:proofErr w:type="spellStart"/>
      <w:r w:rsidRPr="007F0427">
        <w:rPr>
          <w:rFonts w:ascii="Georgia" w:hAnsi="Georgia"/>
          <w:b/>
          <w:bCs/>
        </w:rPr>
        <w:t>FyreTV</w:t>
      </w:r>
      <w:proofErr w:type="spellEnd"/>
    </w:p>
    <w:p w14:paraId="092D53C5" w14:textId="50C540CF" w:rsidR="00BA1C68" w:rsidRPr="007F0427" w:rsidRDefault="00BA1C68" w:rsidP="00BA1C68">
      <w:pPr>
        <w:rPr>
          <w:rFonts w:ascii="Georgia" w:hAnsi="Georgia"/>
        </w:rPr>
      </w:pPr>
      <w:proofErr w:type="spellStart"/>
      <w:r w:rsidRPr="007F0427">
        <w:rPr>
          <w:rFonts w:ascii="Georgia" w:hAnsi="Georgia"/>
        </w:rPr>
        <w:t>Wreal</w:t>
      </w:r>
      <w:proofErr w:type="spellEnd"/>
      <w:r w:rsidRPr="007F0427">
        <w:rPr>
          <w:rFonts w:ascii="Georgia" w:hAnsi="Georgia"/>
        </w:rPr>
        <w:t xml:space="preserve"> is a “Miami-based technology company that was formed in 2006 with the goal of developing a platform for streaming [pornographic] video content over </w:t>
      </w:r>
      <w:r w:rsidRPr="007F0427">
        <w:rPr>
          <w:rFonts w:ascii="Georgia" w:hAnsi="Georgia"/>
        </w:rPr>
        <w:lastRenderedPageBreak/>
        <w:t xml:space="preserve">the internet.” </w:t>
      </w:r>
      <w:proofErr w:type="spellStart"/>
      <w:r w:rsidRPr="007F0427">
        <w:rPr>
          <w:rFonts w:ascii="Georgia" w:hAnsi="Georgia"/>
          <w:i/>
          <w:iCs/>
        </w:rPr>
        <w:t>Wreal</w:t>
      </w:r>
      <w:proofErr w:type="spellEnd"/>
      <w:r w:rsidRPr="007F0427">
        <w:rPr>
          <w:rFonts w:ascii="Georgia" w:hAnsi="Georgia"/>
          <w:i/>
          <w:iCs/>
        </w:rPr>
        <w:t>, LLC, v. Amazon.com, Inc.</w:t>
      </w:r>
      <w:r w:rsidRPr="007F0427">
        <w:rPr>
          <w:rFonts w:ascii="Georgia" w:hAnsi="Georgia"/>
        </w:rPr>
        <w:t xml:space="preserve"> (</w:t>
      </w:r>
      <w:proofErr w:type="spellStart"/>
      <w:r w:rsidRPr="007F0427">
        <w:rPr>
          <w:rFonts w:ascii="Georgia" w:hAnsi="Georgia"/>
          <w:i/>
          <w:iCs/>
        </w:rPr>
        <w:t>Wreal</w:t>
      </w:r>
      <w:proofErr w:type="spellEnd"/>
      <w:r w:rsidRPr="007F0427">
        <w:rPr>
          <w:rFonts w:ascii="Georgia" w:hAnsi="Georgia"/>
          <w:i/>
          <w:iCs/>
        </w:rPr>
        <w:t xml:space="preserve"> I</w:t>
      </w:r>
      <w:r w:rsidRPr="007F0427">
        <w:rPr>
          <w:rFonts w:ascii="Georgia" w:hAnsi="Georgia"/>
        </w:rPr>
        <w:t xml:space="preserve">), 840 F.3d 1244, 1246 (11th Cir. 2016). In 2007, </w:t>
      </w:r>
      <w:proofErr w:type="spellStart"/>
      <w:r w:rsidRPr="007F0427">
        <w:rPr>
          <w:rFonts w:ascii="Georgia" w:hAnsi="Georgia"/>
        </w:rPr>
        <w:t>Wreal</w:t>
      </w:r>
      <w:proofErr w:type="spellEnd"/>
      <w:r w:rsidRPr="007F0427">
        <w:rPr>
          <w:rFonts w:ascii="Georgia" w:hAnsi="Georgia"/>
        </w:rPr>
        <w:t xml:space="preserve"> launched “</w:t>
      </w:r>
      <w:proofErr w:type="spellStart"/>
      <w:r w:rsidRPr="007F0427">
        <w:rPr>
          <w:rFonts w:ascii="Georgia" w:hAnsi="Georgia"/>
        </w:rPr>
        <w:t>FyreTV</w:t>
      </w:r>
      <w:proofErr w:type="spellEnd"/>
      <w:r w:rsidRPr="007F0427">
        <w:rPr>
          <w:rFonts w:ascii="Georgia" w:hAnsi="Georgia"/>
        </w:rPr>
        <w:t xml:space="preserve">,” an online streaming service that </w:t>
      </w:r>
      <w:proofErr w:type="spellStart"/>
      <w:r w:rsidRPr="007F0427">
        <w:rPr>
          <w:rFonts w:ascii="Georgia" w:hAnsi="Georgia"/>
        </w:rPr>
        <w:t>Wreal</w:t>
      </w:r>
      <w:proofErr w:type="spellEnd"/>
      <w:r w:rsidRPr="007F0427">
        <w:rPr>
          <w:rFonts w:ascii="Georgia" w:hAnsi="Georgia"/>
        </w:rPr>
        <w:t xml:space="preserve"> markets as the “Netflix of Porn,” “The Ultimate Adult Video </w:t>
      </w:r>
      <w:proofErr w:type="gramStart"/>
      <w:r w:rsidRPr="007F0427">
        <w:rPr>
          <w:rFonts w:ascii="Georgia" w:hAnsi="Georgia"/>
        </w:rPr>
        <w:t>On</w:t>
      </w:r>
      <w:proofErr w:type="gramEnd"/>
      <w:r w:rsidRPr="007F0427">
        <w:rPr>
          <w:rFonts w:ascii="Georgia" w:hAnsi="Georgia"/>
        </w:rPr>
        <w:t xml:space="preserve"> Demand Experience,” and a “porn pay per view service.” That same year, </w:t>
      </w:r>
      <w:proofErr w:type="spellStart"/>
      <w:r w:rsidRPr="007F0427">
        <w:rPr>
          <w:rFonts w:ascii="Georgia" w:hAnsi="Georgia"/>
        </w:rPr>
        <w:t>Wreal</w:t>
      </w:r>
      <w:proofErr w:type="spellEnd"/>
      <w:r w:rsidRPr="007F0427">
        <w:rPr>
          <w:rFonts w:ascii="Georgia" w:hAnsi="Georgia"/>
        </w:rPr>
        <w:t xml:space="preserve"> began using in commerce the marks “</w:t>
      </w:r>
      <w:proofErr w:type="spellStart"/>
      <w:r w:rsidRPr="007F0427">
        <w:rPr>
          <w:rFonts w:ascii="Georgia" w:hAnsi="Georgia"/>
        </w:rPr>
        <w:t>FyreTV</w:t>
      </w:r>
      <w:proofErr w:type="spellEnd"/>
      <w:r w:rsidRPr="007F0427">
        <w:rPr>
          <w:rFonts w:ascii="Georgia" w:hAnsi="Georgia"/>
        </w:rPr>
        <w:t>” and “FyreTV.com”</w:t>
      </w:r>
      <w:bookmarkStart w:id="1" w:name="co_fnRef_B00012056495078_ID0EWIBI_1"/>
      <w:bookmarkEnd w:id="1"/>
      <w:r w:rsidRPr="007F0427">
        <w:rPr>
          <w:rStyle w:val="FootnoteReference"/>
          <w:rFonts w:ascii="Georgia" w:hAnsi="Georgia"/>
        </w:rPr>
        <w:footnoteReference w:customMarkFollows="1" w:id="1"/>
        <w:t>1</w:t>
      </w:r>
      <w:r w:rsidRPr="007F0427">
        <w:rPr>
          <w:rFonts w:ascii="Georgia" w:hAnsi="Georgia"/>
        </w:rPr>
        <w:t xml:space="preserve">—the latter of which represents the website where users can access the </w:t>
      </w:r>
      <w:proofErr w:type="spellStart"/>
      <w:r w:rsidRPr="007F0427">
        <w:rPr>
          <w:rFonts w:ascii="Georgia" w:hAnsi="Georgia"/>
        </w:rPr>
        <w:t>FyreTV</w:t>
      </w:r>
      <w:proofErr w:type="spellEnd"/>
      <w:r w:rsidRPr="007F0427">
        <w:rPr>
          <w:rFonts w:ascii="Georgia" w:hAnsi="Georgia"/>
        </w:rPr>
        <w:t xml:space="preserve"> service. </w:t>
      </w:r>
      <w:r w:rsidRPr="007F0427">
        <w:rPr>
          <w:rFonts w:ascii="Georgia" w:hAnsi="Georgia"/>
          <w:i/>
          <w:iCs/>
        </w:rPr>
        <w:t>See id.</w:t>
      </w:r>
      <w:r w:rsidRPr="007F0427">
        <w:rPr>
          <w:rFonts w:ascii="Georgia" w:hAnsi="Georgia"/>
        </w:rPr>
        <w:t xml:space="preserve"> </w:t>
      </w:r>
      <w:proofErr w:type="gramStart"/>
      <w:r w:rsidRPr="007F0427">
        <w:rPr>
          <w:rFonts w:ascii="Georgia" w:hAnsi="Georgia"/>
        </w:rPr>
        <w:t>In order to</w:t>
      </w:r>
      <w:proofErr w:type="gramEnd"/>
      <w:r w:rsidRPr="007F0427">
        <w:rPr>
          <w:rFonts w:ascii="Georgia" w:hAnsi="Georgia"/>
        </w:rPr>
        <w:t xml:space="preserve"> access the </w:t>
      </w:r>
      <w:proofErr w:type="spellStart"/>
      <w:r w:rsidRPr="007F0427">
        <w:rPr>
          <w:rFonts w:ascii="Georgia" w:hAnsi="Georgia"/>
        </w:rPr>
        <w:t>FyreTV</w:t>
      </w:r>
      <w:proofErr w:type="spellEnd"/>
      <w:r w:rsidRPr="007F0427">
        <w:rPr>
          <w:rFonts w:ascii="Georgia" w:hAnsi="Georgia"/>
        </w:rPr>
        <w:t xml:space="preserve"> service, potential consumers must first go to FyreTV.com to sign up for an account. Once on the website, potential consumers must first verify they are at least eighteen years old and interested in viewing adult content before accessing the homepage, which displays several rows of pornographic images.</w:t>
      </w:r>
    </w:p>
    <w:p w14:paraId="2AF372DA" w14:textId="3A542076" w:rsidR="00BA1C68" w:rsidRPr="007F0427" w:rsidRDefault="00BA1C68" w:rsidP="00BA1C68">
      <w:pPr>
        <w:rPr>
          <w:rFonts w:ascii="Georgia" w:hAnsi="Georgia"/>
        </w:rPr>
      </w:pPr>
      <w:bookmarkStart w:id="2" w:name="co_footnote_B00012056495078_1"/>
      <w:bookmarkEnd w:id="2"/>
      <w:proofErr w:type="gramStart"/>
      <w:r w:rsidRPr="007F0427">
        <w:rPr>
          <w:rFonts w:ascii="Georgia" w:hAnsi="Georgia"/>
        </w:rPr>
        <w:t>In order to</w:t>
      </w:r>
      <w:proofErr w:type="gramEnd"/>
      <w:r w:rsidRPr="007F0427">
        <w:rPr>
          <w:rFonts w:ascii="Georgia" w:hAnsi="Georgia"/>
        </w:rPr>
        <w:t xml:space="preserve"> make accessing its </w:t>
      </w:r>
      <w:proofErr w:type="spellStart"/>
      <w:r w:rsidRPr="007F0427">
        <w:rPr>
          <w:rFonts w:ascii="Georgia" w:hAnsi="Georgia"/>
        </w:rPr>
        <w:t>FyreTV</w:t>
      </w:r>
      <w:proofErr w:type="spellEnd"/>
      <w:r w:rsidRPr="007F0427">
        <w:rPr>
          <w:rFonts w:ascii="Georgia" w:hAnsi="Georgia"/>
        </w:rPr>
        <w:t xml:space="preserve"> service easier, </w:t>
      </w:r>
      <w:proofErr w:type="spellStart"/>
      <w:r w:rsidRPr="007F0427">
        <w:rPr>
          <w:rFonts w:ascii="Georgia" w:hAnsi="Georgia"/>
        </w:rPr>
        <w:t>Wreal</w:t>
      </w:r>
      <w:proofErr w:type="spellEnd"/>
      <w:r w:rsidRPr="007F0427">
        <w:rPr>
          <w:rFonts w:ascii="Georgia" w:hAnsi="Georgia"/>
        </w:rPr>
        <w:t xml:space="preserve"> also sells a set-top box,</w:t>
      </w:r>
      <w:bookmarkStart w:id="3" w:name="co_fnRef_B00022056495078_ID0ETKBI_1"/>
      <w:bookmarkEnd w:id="3"/>
      <w:r w:rsidRPr="007F0427">
        <w:rPr>
          <w:rStyle w:val="FootnoteReference"/>
          <w:rFonts w:ascii="Georgia" w:hAnsi="Georgia"/>
        </w:rPr>
        <w:footnoteReference w:customMarkFollows="1" w:id="2"/>
        <w:t>2</w:t>
      </w:r>
      <w:r w:rsidRPr="007F0427">
        <w:rPr>
          <w:rFonts w:ascii="Georgia" w:hAnsi="Georgia"/>
        </w:rPr>
        <w:t xml:space="preserve"> called the </w:t>
      </w:r>
      <w:proofErr w:type="spellStart"/>
      <w:r w:rsidRPr="007F0427">
        <w:rPr>
          <w:rFonts w:ascii="Georgia" w:hAnsi="Georgia"/>
        </w:rPr>
        <w:t>FyreBoXXX</w:t>
      </w:r>
      <w:proofErr w:type="spellEnd"/>
      <w:r w:rsidRPr="007F0427">
        <w:rPr>
          <w:rFonts w:ascii="Georgia" w:hAnsi="Georgia"/>
        </w:rPr>
        <w:t xml:space="preserve">, which allows consumers to access </w:t>
      </w:r>
      <w:proofErr w:type="spellStart"/>
      <w:r w:rsidRPr="007F0427">
        <w:rPr>
          <w:rFonts w:ascii="Georgia" w:hAnsi="Georgia"/>
        </w:rPr>
        <w:t>FyreTV</w:t>
      </w:r>
      <w:proofErr w:type="spellEnd"/>
      <w:r w:rsidRPr="007F0427">
        <w:rPr>
          <w:rFonts w:ascii="Georgia" w:hAnsi="Georgia"/>
        </w:rPr>
        <w:t xml:space="preserve"> on their television sets. To purchase a </w:t>
      </w:r>
      <w:proofErr w:type="spellStart"/>
      <w:r w:rsidRPr="007F0427">
        <w:rPr>
          <w:rFonts w:ascii="Georgia" w:hAnsi="Georgia"/>
        </w:rPr>
        <w:t>FyreBoXXX</w:t>
      </w:r>
      <w:proofErr w:type="spellEnd"/>
      <w:r w:rsidRPr="007F0427">
        <w:rPr>
          <w:rFonts w:ascii="Georgia" w:hAnsi="Georgia"/>
        </w:rPr>
        <w:t xml:space="preserve">, a potential consumer must first travel to the FyreTV.com site and set up an account. In fact, the </w:t>
      </w:r>
      <w:proofErr w:type="spellStart"/>
      <w:r w:rsidRPr="007F0427">
        <w:rPr>
          <w:rFonts w:ascii="Georgia" w:hAnsi="Georgia"/>
        </w:rPr>
        <w:t>FyreBoXXX</w:t>
      </w:r>
      <w:proofErr w:type="spellEnd"/>
      <w:r w:rsidRPr="007F0427">
        <w:rPr>
          <w:rFonts w:ascii="Georgia" w:hAnsi="Georgia"/>
        </w:rPr>
        <w:t xml:space="preserve"> has never been sold in any store or website save for the online store at FyreTV.com. Between October 2012 and April 2014, </w:t>
      </w:r>
      <w:proofErr w:type="spellStart"/>
      <w:r w:rsidRPr="007F0427">
        <w:rPr>
          <w:rFonts w:ascii="Georgia" w:hAnsi="Georgia"/>
        </w:rPr>
        <w:t>Wreal</w:t>
      </w:r>
      <w:proofErr w:type="spellEnd"/>
      <w:r w:rsidRPr="007F0427">
        <w:rPr>
          <w:rFonts w:ascii="Georgia" w:hAnsi="Georgia"/>
        </w:rPr>
        <w:t xml:space="preserve"> suspended sales of the </w:t>
      </w:r>
      <w:proofErr w:type="spellStart"/>
      <w:r w:rsidRPr="007F0427">
        <w:rPr>
          <w:rFonts w:ascii="Georgia" w:hAnsi="Georgia"/>
        </w:rPr>
        <w:t>FyreBoXXX</w:t>
      </w:r>
      <w:proofErr w:type="spellEnd"/>
      <w:r w:rsidRPr="007F0427">
        <w:rPr>
          <w:rFonts w:ascii="Georgia" w:hAnsi="Georgia"/>
        </w:rPr>
        <w:t xml:space="preserve"> on its website. Indeed, by the end of 2012, </w:t>
      </w:r>
      <w:proofErr w:type="spellStart"/>
      <w:r w:rsidRPr="007F0427">
        <w:rPr>
          <w:rFonts w:ascii="Georgia" w:hAnsi="Georgia"/>
        </w:rPr>
        <w:t>Wreal</w:t>
      </w:r>
      <w:proofErr w:type="spellEnd"/>
      <w:r w:rsidRPr="007F0427">
        <w:rPr>
          <w:rFonts w:ascii="Georgia" w:hAnsi="Georgia"/>
        </w:rPr>
        <w:t xml:space="preserve"> had suspended all forms of print, radio, trade show, and television advertising for either the </w:t>
      </w:r>
      <w:proofErr w:type="spellStart"/>
      <w:r w:rsidRPr="007F0427">
        <w:rPr>
          <w:rFonts w:ascii="Georgia" w:hAnsi="Georgia"/>
        </w:rPr>
        <w:t>FyreBoXXX</w:t>
      </w:r>
      <w:proofErr w:type="spellEnd"/>
      <w:r w:rsidRPr="007F0427">
        <w:rPr>
          <w:rFonts w:ascii="Georgia" w:hAnsi="Georgia"/>
        </w:rPr>
        <w:t xml:space="preserve"> or </w:t>
      </w:r>
      <w:proofErr w:type="spellStart"/>
      <w:r w:rsidRPr="007F0427">
        <w:rPr>
          <w:rFonts w:ascii="Georgia" w:hAnsi="Georgia"/>
        </w:rPr>
        <w:t>FyreTV</w:t>
      </w:r>
      <w:proofErr w:type="spellEnd"/>
      <w:r w:rsidRPr="007F0427">
        <w:rPr>
          <w:rFonts w:ascii="Georgia" w:hAnsi="Georgia"/>
        </w:rPr>
        <w:t xml:space="preserve">— </w:t>
      </w:r>
      <w:proofErr w:type="spellStart"/>
      <w:r w:rsidRPr="007F0427">
        <w:rPr>
          <w:rFonts w:ascii="Georgia" w:hAnsi="Georgia"/>
        </w:rPr>
        <w:t>Wreal’s</w:t>
      </w:r>
      <w:proofErr w:type="spellEnd"/>
      <w:r w:rsidRPr="007F0427">
        <w:rPr>
          <w:rFonts w:ascii="Georgia" w:hAnsi="Georgia"/>
        </w:rPr>
        <w:t xml:space="preserve"> only two products. As of today, </w:t>
      </w:r>
      <w:proofErr w:type="spellStart"/>
      <w:r w:rsidRPr="007F0427">
        <w:rPr>
          <w:rFonts w:ascii="Georgia" w:hAnsi="Georgia"/>
        </w:rPr>
        <w:t>Wreal</w:t>
      </w:r>
      <w:proofErr w:type="spellEnd"/>
      <w:r w:rsidRPr="007F0427">
        <w:rPr>
          <w:rFonts w:ascii="Georgia" w:hAnsi="Georgia"/>
        </w:rPr>
        <w:t xml:space="preserve"> advertises its products only on other adult websites.</w:t>
      </w:r>
    </w:p>
    <w:p w14:paraId="5889D735" w14:textId="486E31D9" w:rsidR="00BA1C68" w:rsidRPr="007F0427" w:rsidRDefault="00BA1C68" w:rsidP="00BA1C68">
      <w:pPr>
        <w:rPr>
          <w:rFonts w:ascii="Georgia" w:hAnsi="Georgia"/>
        </w:rPr>
      </w:pPr>
      <w:bookmarkStart w:id="4" w:name="co_footnote_B00022056495078_1"/>
      <w:bookmarkEnd w:id="4"/>
      <w:r w:rsidRPr="007F0427">
        <w:rPr>
          <w:rFonts w:ascii="Georgia" w:hAnsi="Georgia"/>
        </w:rPr>
        <w:t xml:space="preserve">Apart from the </w:t>
      </w:r>
      <w:proofErr w:type="spellStart"/>
      <w:r w:rsidRPr="007F0427">
        <w:rPr>
          <w:rFonts w:ascii="Georgia" w:hAnsi="Georgia"/>
        </w:rPr>
        <w:t>FyreBoXXX</w:t>
      </w:r>
      <w:proofErr w:type="spellEnd"/>
      <w:r w:rsidRPr="007F0427">
        <w:rPr>
          <w:rFonts w:ascii="Georgia" w:hAnsi="Georgia"/>
        </w:rPr>
        <w:t xml:space="preserve"> and FyreTV.com, </w:t>
      </w:r>
      <w:proofErr w:type="spellStart"/>
      <w:r w:rsidRPr="007F0427">
        <w:rPr>
          <w:rFonts w:ascii="Georgia" w:hAnsi="Georgia"/>
        </w:rPr>
        <w:t>Wreal’s</w:t>
      </w:r>
      <w:proofErr w:type="spellEnd"/>
      <w:r w:rsidRPr="007F0427">
        <w:rPr>
          <w:rFonts w:ascii="Georgia" w:hAnsi="Georgia"/>
        </w:rPr>
        <w:t xml:space="preserve"> customers also have other methods available to access the </w:t>
      </w:r>
      <w:proofErr w:type="spellStart"/>
      <w:r w:rsidRPr="007F0427">
        <w:rPr>
          <w:rFonts w:ascii="Georgia" w:hAnsi="Georgia"/>
        </w:rPr>
        <w:t>FyreTV</w:t>
      </w:r>
      <w:proofErr w:type="spellEnd"/>
      <w:r w:rsidRPr="007F0427">
        <w:rPr>
          <w:rFonts w:ascii="Georgia" w:hAnsi="Georgia"/>
        </w:rPr>
        <w:t xml:space="preserve"> service. For example, both Apple TV and Roku—two commercial set-top boxes that offer a host of general interest channels and media— support </w:t>
      </w:r>
      <w:proofErr w:type="spellStart"/>
      <w:r w:rsidRPr="007F0427">
        <w:rPr>
          <w:rFonts w:ascii="Georgia" w:hAnsi="Georgia"/>
        </w:rPr>
        <w:t>FyreTV</w:t>
      </w:r>
      <w:proofErr w:type="spellEnd"/>
      <w:r w:rsidRPr="007F0427">
        <w:rPr>
          <w:rFonts w:ascii="Georgia" w:hAnsi="Georgia"/>
        </w:rPr>
        <w:t xml:space="preserve">. Thus, after signing up for an account at FyreTV.com, </w:t>
      </w:r>
      <w:proofErr w:type="spellStart"/>
      <w:r w:rsidRPr="007F0427">
        <w:rPr>
          <w:rFonts w:ascii="Georgia" w:hAnsi="Georgia"/>
        </w:rPr>
        <w:t>Wreal’s</w:t>
      </w:r>
      <w:proofErr w:type="spellEnd"/>
      <w:r w:rsidRPr="007F0427">
        <w:rPr>
          <w:rFonts w:ascii="Georgia" w:hAnsi="Georgia"/>
        </w:rPr>
        <w:t xml:space="preserve"> customers can watch its content from their television set through a computer, a smartphone, a </w:t>
      </w:r>
      <w:proofErr w:type="spellStart"/>
      <w:r w:rsidRPr="007F0427">
        <w:rPr>
          <w:rFonts w:ascii="Georgia" w:hAnsi="Georgia"/>
        </w:rPr>
        <w:t>FyreBoXXX</w:t>
      </w:r>
      <w:proofErr w:type="spellEnd"/>
      <w:r w:rsidRPr="007F0427">
        <w:rPr>
          <w:rFonts w:ascii="Georgia" w:hAnsi="Georgia"/>
        </w:rPr>
        <w:t>, an Apple TV, or a Roku.</w:t>
      </w:r>
    </w:p>
    <w:p w14:paraId="3B11E711" w14:textId="77777777" w:rsidR="00BA1C68" w:rsidRPr="007F0427" w:rsidRDefault="00BA1C68" w:rsidP="00BA1C68">
      <w:pPr>
        <w:rPr>
          <w:rFonts w:ascii="Georgia" w:hAnsi="Georgia"/>
          <w:b/>
          <w:bCs/>
        </w:rPr>
      </w:pPr>
      <w:bookmarkStart w:id="5" w:name="co_anchor_I406133c1fcf211ecb4fdd6112f0b9"/>
      <w:bookmarkEnd w:id="5"/>
      <w:r w:rsidRPr="007F0427">
        <w:rPr>
          <w:rFonts w:ascii="Georgia" w:hAnsi="Georgia"/>
          <w:b/>
          <w:bCs/>
        </w:rPr>
        <w:t>B. Amazon and “</w:t>
      </w:r>
      <w:proofErr w:type="spellStart"/>
      <w:r w:rsidRPr="007F0427">
        <w:rPr>
          <w:rFonts w:ascii="Georgia" w:hAnsi="Georgia"/>
          <w:b/>
          <w:bCs/>
        </w:rPr>
        <w:t>fireTV</w:t>
      </w:r>
      <w:proofErr w:type="spellEnd"/>
      <w:r w:rsidRPr="007F0427">
        <w:rPr>
          <w:rFonts w:ascii="Georgia" w:hAnsi="Georgia"/>
          <w:b/>
          <w:bCs/>
        </w:rPr>
        <w:t>”</w:t>
      </w:r>
    </w:p>
    <w:p w14:paraId="38DA56B6" w14:textId="467B29A6" w:rsidR="00BA1C68" w:rsidRPr="007F0427" w:rsidRDefault="00BA1C68" w:rsidP="00BA1C68">
      <w:pPr>
        <w:rPr>
          <w:rFonts w:ascii="Georgia" w:hAnsi="Georgia"/>
        </w:rPr>
      </w:pPr>
      <w:r w:rsidRPr="007F0427">
        <w:rPr>
          <w:rFonts w:ascii="Georgia" w:hAnsi="Georgia"/>
        </w:rPr>
        <w:t xml:space="preserve">Amazon is the largest online purveyor of goods in the United States. In 2011, Amazon “started using the mark ‘Fire’ in connection with its Kindle tablets . . . to highlight the new model’s ability to stream video over the internet.” </w:t>
      </w:r>
      <w:r w:rsidRPr="007F0427">
        <w:rPr>
          <w:rFonts w:ascii="Georgia" w:hAnsi="Georgia"/>
          <w:i/>
          <w:iCs/>
        </w:rPr>
        <w:t>Id.</w:t>
      </w:r>
      <w:r w:rsidRPr="007F0427">
        <w:rPr>
          <w:rFonts w:ascii="Georgia" w:hAnsi="Georgia"/>
        </w:rPr>
        <w:t xml:space="preserve"> at 1247. In late 2012 and early 2013, Amazon was gearing up to launch several new products, including a phone, a new tablet, and a set-top box. </w:t>
      </w:r>
      <w:r w:rsidRPr="007F0427">
        <w:rPr>
          <w:rFonts w:ascii="Georgia" w:hAnsi="Georgia"/>
          <w:i/>
          <w:iCs/>
        </w:rPr>
        <w:t>Id.</w:t>
      </w:r>
      <w:r w:rsidRPr="007F0427">
        <w:rPr>
          <w:rFonts w:ascii="Georgia" w:hAnsi="Georgia"/>
        </w:rPr>
        <w:t xml:space="preserve"> It decided to use the “Fire” brand, as well as its </w:t>
      </w:r>
      <w:proofErr w:type="spellStart"/>
      <w:r w:rsidRPr="007F0427">
        <w:rPr>
          <w:rFonts w:ascii="Georgia" w:hAnsi="Georgia"/>
        </w:rPr>
        <w:t>housemark</w:t>
      </w:r>
      <w:proofErr w:type="spellEnd"/>
      <w:r w:rsidRPr="007F0427">
        <w:rPr>
          <w:rFonts w:ascii="Georgia" w:hAnsi="Georgia"/>
        </w:rPr>
        <w:t xml:space="preserve">, “amazon,” on these products, with the set-top box </w:t>
      </w:r>
      <w:r w:rsidRPr="007F0427">
        <w:rPr>
          <w:rFonts w:ascii="Georgia" w:hAnsi="Georgia"/>
        </w:rPr>
        <w:lastRenderedPageBreak/>
        <w:t>being called “fireTV.”</w:t>
      </w:r>
      <w:bookmarkStart w:id="6" w:name="co_fnRef_B00032056495078_ID0ENOBI_1"/>
      <w:bookmarkEnd w:id="6"/>
      <w:r w:rsidRPr="007F0427">
        <w:rPr>
          <w:rStyle w:val="FootnoteReference"/>
          <w:rFonts w:ascii="Georgia" w:hAnsi="Georgia"/>
        </w:rPr>
        <w:footnoteReference w:customMarkFollows="1" w:id="3"/>
        <w:t>3</w:t>
      </w:r>
      <w:r w:rsidRPr="007F0427">
        <w:rPr>
          <w:rFonts w:ascii="Georgia" w:hAnsi="Georgia"/>
        </w:rPr>
        <w:t xml:space="preserve"> </w:t>
      </w:r>
      <w:r w:rsidRPr="007F0427">
        <w:rPr>
          <w:rFonts w:ascii="Georgia" w:hAnsi="Georgia"/>
          <w:i/>
          <w:iCs/>
        </w:rPr>
        <w:t>Id.</w:t>
      </w:r>
      <w:r w:rsidRPr="007F0427">
        <w:rPr>
          <w:rFonts w:ascii="Georgia" w:hAnsi="Georgia"/>
        </w:rPr>
        <w:t xml:space="preserve"> During its branding discussions for the set-top box, Amazon learned about </w:t>
      </w:r>
      <w:proofErr w:type="spellStart"/>
      <w:r w:rsidRPr="007F0427">
        <w:rPr>
          <w:rFonts w:ascii="Georgia" w:hAnsi="Georgia"/>
        </w:rPr>
        <w:t>Wreal</w:t>
      </w:r>
      <w:proofErr w:type="spellEnd"/>
      <w:r w:rsidRPr="007F0427">
        <w:rPr>
          <w:rFonts w:ascii="Georgia" w:hAnsi="Georgia"/>
        </w:rPr>
        <w:t xml:space="preserve"> and its </w:t>
      </w:r>
      <w:proofErr w:type="spellStart"/>
      <w:r w:rsidRPr="007F0427">
        <w:rPr>
          <w:rFonts w:ascii="Georgia" w:hAnsi="Georgia"/>
        </w:rPr>
        <w:t>FyreTV</w:t>
      </w:r>
      <w:proofErr w:type="spellEnd"/>
      <w:r w:rsidRPr="007F0427">
        <w:rPr>
          <w:rFonts w:ascii="Georgia" w:hAnsi="Georgia"/>
        </w:rPr>
        <w:t xml:space="preserve"> products, but it never contacted </w:t>
      </w:r>
      <w:proofErr w:type="spellStart"/>
      <w:r w:rsidRPr="007F0427">
        <w:rPr>
          <w:rFonts w:ascii="Georgia" w:hAnsi="Georgia"/>
        </w:rPr>
        <w:t>Wreal</w:t>
      </w:r>
      <w:proofErr w:type="spellEnd"/>
      <w:r w:rsidRPr="007F0427">
        <w:rPr>
          <w:rFonts w:ascii="Georgia" w:hAnsi="Georgia"/>
        </w:rPr>
        <w:t xml:space="preserve"> about the set-top box’s name and decided to use the “Fire” mark without </w:t>
      </w:r>
      <w:proofErr w:type="spellStart"/>
      <w:r w:rsidRPr="007F0427">
        <w:rPr>
          <w:rFonts w:ascii="Georgia" w:hAnsi="Georgia"/>
        </w:rPr>
        <w:t>Wreal’s</w:t>
      </w:r>
      <w:proofErr w:type="spellEnd"/>
      <w:r w:rsidRPr="007F0427">
        <w:rPr>
          <w:rFonts w:ascii="Georgia" w:hAnsi="Georgia"/>
        </w:rPr>
        <w:t xml:space="preserve"> knowledge. </w:t>
      </w:r>
      <w:r w:rsidRPr="007F0427">
        <w:rPr>
          <w:rFonts w:ascii="Georgia" w:hAnsi="Georgia"/>
          <w:i/>
          <w:iCs/>
        </w:rPr>
        <w:t>Id</w:t>
      </w:r>
      <w:r w:rsidRPr="007F0427">
        <w:rPr>
          <w:rFonts w:ascii="Georgia" w:hAnsi="Georgia"/>
        </w:rPr>
        <w:t>.</w:t>
      </w:r>
    </w:p>
    <w:p w14:paraId="2B3D4E4C" w14:textId="7DF99AA5" w:rsidR="00BA1C68" w:rsidRPr="007F0427" w:rsidRDefault="00BA1C68" w:rsidP="00BA1C68">
      <w:pPr>
        <w:rPr>
          <w:rFonts w:ascii="Georgia" w:hAnsi="Georgia"/>
        </w:rPr>
      </w:pPr>
      <w:bookmarkStart w:id="7" w:name="co_footnote_B00032056495078_1"/>
      <w:bookmarkEnd w:id="7"/>
      <w:r w:rsidRPr="007F0427">
        <w:rPr>
          <w:rFonts w:ascii="Georgia" w:hAnsi="Georgia"/>
        </w:rPr>
        <w:t xml:space="preserve">Amazon launched </w:t>
      </w:r>
      <w:proofErr w:type="spellStart"/>
      <w:r w:rsidRPr="007F0427">
        <w:rPr>
          <w:rFonts w:ascii="Georgia" w:hAnsi="Georgia"/>
        </w:rPr>
        <w:t>fireTV</w:t>
      </w:r>
      <w:proofErr w:type="spellEnd"/>
      <w:r w:rsidRPr="007F0427">
        <w:rPr>
          <w:rFonts w:ascii="Georgia" w:hAnsi="Georgia"/>
        </w:rPr>
        <w:t xml:space="preserve"> in April 2014 with a nationwide advertising campaign covered by major magazines and television networks. The </w:t>
      </w:r>
      <w:proofErr w:type="spellStart"/>
      <w:r w:rsidRPr="007F0427">
        <w:rPr>
          <w:rFonts w:ascii="Georgia" w:hAnsi="Georgia"/>
        </w:rPr>
        <w:t>fireTV</w:t>
      </w:r>
      <w:proofErr w:type="spellEnd"/>
      <w:r w:rsidRPr="007F0427">
        <w:rPr>
          <w:rFonts w:ascii="Georgia" w:hAnsi="Georgia"/>
        </w:rPr>
        <w:t xml:space="preserve"> is a streaming-only set-top box; it does not contain a DVD tray and cannot play DVDs. Amazon markets the product as a set-top box for general interest content, including “instant access to Netflix, Prime Instant Video, WatchESPN,” and more. It is not marketed as a device for streaming pornography. Amazon advertises the device on amazon.com, as well as on television, in print media, and using in-store displays at retailers like Best Buy and Staples. When Amazon began its search-engine-optimization efforts (to help </w:t>
      </w:r>
      <w:proofErr w:type="spellStart"/>
      <w:r w:rsidRPr="007F0427">
        <w:rPr>
          <w:rFonts w:ascii="Georgia" w:hAnsi="Georgia"/>
        </w:rPr>
        <w:t>fireTV</w:t>
      </w:r>
      <w:proofErr w:type="spellEnd"/>
      <w:r w:rsidRPr="007F0427">
        <w:rPr>
          <w:rFonts w:ascii="Georgia" w:hAnsi="Georgia"/>
        </w:rPr>
        <w:t xml:space="preserve"> appear on the internet), it bought ads for keywords related to </w:t>
      </w:r>
      <w:proofErr w:type="spellStart"/>
      <w:r w:rsidRPr="007F0427">
        <w:rPr>
          <w:rFonts w:ascii="Georgia" w:hAnsi="Georgia"/>
        </w:rPr>
        <w:t>fireTV</w:t>
      </w:r>
      <w:proofErr w:type="spellEnd"/>
      <w:r w:rsidRPr="007F0427">
        <w:rPr>
          <w:rFonts w:ascii="Georgia" w:hAnsi="Georgia"/>
        </w:rPr>
        <w:t xml:space="preserve">, but not for </w:t>
      </w:r>
      <w:proofErr w:type="spellStart"/>
      <w:r w:rsidRPr="007F0427">
        <w:rPr>
          <w:rFonts w:ascii="Georgia" w:hAnsi="Georgia"/>
        </w:rPr>
        <w:t>FyreTV</w:t>
      </w:r>
      <w:proofErr w:type="spellEnd"/>
      <w:r w:rsidRPr="007F0427">
        <w:rPr>
          <w:rFonts w:ascii="Georgia" w:hAnsi="Georgia"/>
        </w:rPr>
        <w:t xml:space="preserve"> or anything related to pornography. Often—but not always—Amazon will market its “Fire” products with its </w:t>
      </w:r>
      <w:proofErr w:type="spellStart"/>
      <w:r w:rsidRPr="007F0427">
        <w:rPr>
          <w:rFonts w:ascii="Georgia" w:hAnsi="Georgia"/>
        </w:rPr>
        <w:t>housemark</w:t>
      </w:r>
      <w:proofErr w:type="spellEnd"/>
      <w:r w:rsidRPr="007F0427">
        <w:rPr>
          <w:rFonts w:ascii="Georgia" w:hAnsi="Georgia"/>
        </w:rPr>
        <w:t>, “amazon.” In the graphics and advertisements for the device, the device is sometimes referred to as one word, i.e., “</w:t>
      </w:r>
      <w:proofErr w:type="spellStart"/>
      <w:r w:rsidRPr="007F0427">
        <w:rPr>
          <w:rFonts w:ascii="Georgia" w:hAnsi="Georgia"/>
        </w:rPr>
        <w:t>fireTV</w:t>
      </w:r>
      <w:proofErr w:type="spellEnd"/>
      <w:r w:rsidRPr="007F0427">
        <w:rPr>
          <w:rFonts w:ascii="Georgia" w:hAnsi="Georgia"/>
        </w:rPr>
        <w:t>,” and sometimes it appears as two words, i.e., “Fire TV.”</w:t>
      </w:r>
    </w:p>
    <w:p w14:paraId="69F18CB4" w14:textId="6BAEA7DF" w:rsidR="00BA1C68" w:rsidRPr="007F0427" w:rsidRDefault="00BA1C68" w:rsidP="00BA1C68">
      <w:pPr>
        <w:rPr>
          <w:rFonts w:ascii="Georgia" w:hAnsi="Georgia"/>
        </w:rPr>
      </w:pPr>
      <w:r w:rsidRPr="007F0427">
        <w:rPr>
          <w:rFonts w:ascii="Georgia" w:hAnsi="Georgia"/>
        </w:rPr>
        <w:t xml:space="preserve">Amazon’s </w:t>
      </w:r>
      <w:proofErr w:type="spellStart"/>
      <w:r w:rsidRPr="007F0427">
        <w:rPr>
          <w:rFonts w:ascii="Georgia" w:hAnsi="Georgia"/>
        </w:rPr>
        <w:t>fireTV</w:t>
      </w:r>
      <w:proofErr w:type="spellEnd"/>
      <w:r w:rsidRPr="007F0427">
        <w:rPr>
          <w:rFonts w:ascii="Georgia" w:hAnsi="Georgia"/>
        </w:rPr>
        <w:t xml:space="preserve"> does not broadcast any hardcore pornographic material.</w:t>
      </w:r>
      <w:bookmarkStart w:id="8" w:name="co_fnRef_B00042056495078_ID0EGRBI_1"/>
      <w:bookmarkEnd w:id="8"/>
      <w:r w:rsidRPr="007F0427">
        <w:rPr>
          <w:rStyle w:val="FootnoteReference"/>
          <w:rFonts w:ascii="Georgia" w:hAnsi="Georgia"/>
        </w:rPr>
        <w:footnoteReference w:customMarkFollows="1" w:id="4"/>
        <w:t>4</w:t>
      </w:r>
      <w:r w:rsidRPr="007F0427">
        <w:rPr>
          <w:rFonts w:ascii="Georgia" w:hAnsi="Georgia"/>
        </w:rPr>
        <w:t xml:space="preserve"> But the </w:t>
      </w:r>
      <w:proofErr w:type="spellStart"/>
      <w:r w:rsidRPr="007F0427">
        <w:rPr>
          <w:rFonts w:ascii="Georgia" w:hAnsi="Georgia"/>
        </w:rPr>
        <w:t>fireTV</w:t>
      </w:r>
      <w:proofErr w:type="spellEnd"/>
      <w:r w:rsidRPr="007F0427">
        <w:rPr>
          <w:rFonts w:ascii="Georgia" w:hAnsi="Georgia"/>
        </w:rPr>
        <w:t xml:space="preserve"> does have apps for Showtime and HBO GO, and both of those content providers broadcast softcore pornography as part of their after-hours programming. It is unclear, however, whether those providers had any such material on their apps that link to </w:t>
      </w:r>
      <w:proofErr w:type="spellStart"/>
      <w:r w:rsidRPr="007F0427">
        <w:rPr>
          <w:rFonts w:ascii="Georgia" w:hAnsi="Georgia"/>
        </w:rPr>
        <w:t>fireTV</w:t>
      </w:r>
      <w:proofErr w:type="spellEnd"/>
      <w:r w:rsidRPr="007F0427">
        <w:rPr>
          <w:rFonts w:ascii="Georgia" w:hAnsi="Georgia"/>
        </w:rPr>
        <w:t xml:space="preserve"> at the time of the lawsuit.</w:t>
      </w:r>
      <w:bookmarkStart w:id="9" w:name="co_footnote_B00042056495078_1"/>
      <w:bookmarkEnd w:id="9"/>
    </w:p>
    <w:p w14:paraId="72AFC016" w14:textId="266B00A3" w:rsidR="00BA1C68" w:rsidRPr="007F0427" w:rsidRDefault="00BA1C68" w:rsidP="00BA1C68">
      <w:pPr>
        <w:rPr>
          <w:rFonts w:ascii="Georgia" w:hAnsi="Georgia"/>
        </w:rPr>
      </w:pPr>
      <w:r w:rsidRPr="007F0427">
        <w:rPr>
          <w:rFonts w:ascii="Georgia" w:hAnsi="Georgia"/>
        </w:rPr>
        <w:t xml:space="preserve">It is undisputed that Amazon’s policies for Amazon Prime Instant Video, which is Amazon’s own streaming service and streams on the </w:t>
      </w:r>
      <w:proofErr w:type="spellStart"/>
      <w:r w:rsidRPr="007F0427">
        <w:rPr>
          <w:rFonts w:ascii="Georgia" w:hAnsi="Georgia"/>
        </w:rPr>
        <w:t>fireTV</w:t>
      </w:r>
      <w:proofErr w:type="spellEnd"/>
      <w:r w:rsidRPr="007F0427">
        <w:rPr>
          <w:rFonts w:ascii="Georgia" w:hAnsi="Georgia"/>
        </w:rPr>
        <w:t xml:space="preserve">, prohibit the sale and consumption of hardcore pornography on the set-top box. However, the record evidence suggests that hardcore pornographic DVDs are available for purchase on amazon.com. The record evidence also suggests that two films with </w:t>
      </w:r>
      <w:r w:rsidRPr="007F0427">
        <w:rPr>
          <w:rFonts w:ascii="Georgia" w:hAnsi="Georgia"/>
        </w:rPr>
        <w:lastRenderedPageBreak/>
        <w:t xml:space="preserve">highly suggestive names were available for streaming on the </w:t>
      </w:r>
      <w:proofErr w:type="spellStart"/>
      <w:r w:rsidRPr="007F0427">
        <w:rPr>
          <w:rFonts w:ascii="Georgia" w:hAnsi="Georgia"/>
        </w:rPr>
        <w:t>fireTV</w:t>
      </w:r>
      <w:proofErr w:type="spellEnd"/>
      <w:r w:rsidRPr="007F0427">
        <w:rPr>
          <w:rFonts w:ascii="Georgia" w:hAnsi="Georgia"/>
        </w:rPr>
        <w:t xml:space="preserve"> through Amazon Prime Instant Video, though the record does not establish whether those films would be categorized as hardcore or softcore pornography.</w:t>
      </w:r>
    </w:p>
    <w:p w14:paraId="5B68FF01" w14:textId="20B026CB" w:rsidR="00BA1C68" w:rsidRPr="007F0427" w:rsidRDefault="00BA1C68" w:rsidP="00BA1C68">
      <w:pPr>
        <w:rPr>
          <w:rFonts w:ascii="Georgia" w:hAnsi="Georgia"/>
        </w:rPr>
      </w:pPr>
      <w:r w:rsidRPr="007F0427">
        <w:rPr>
          <w:rFonts w:ascii="Georgia" w:hAnsi="Georgia"/>
        </w:rPr>
        <w:t xml:space="preserve">Moreover, Amazon does not advertise the </w:t>
      </w:r>
      <w:proofErr w:type="spellStart"/>
      <w:r w:rsidRPr="007F0427">
        <w:rPr>
          <w:rFonts w:ascii="Georgia" w:hAnsi="Georgia"/>
        </w:rPr>
        <w:t>fireTV</w:t>
      </w:r>
      <w:proofErr w:type="spellEnd"/>
      <w:r w:rsidRPr="007F0427">
        <w:rPr>
          <w:rFonts w:ascii="Georgia" w:hAnsi="Georgia"/>
        </w:rPr>
        <w:t xml:space="preserve"> on any pornographic websites and, as such, there is no overlap between the marketing schemes for </w:t>
      </w:r>
      <w:proofErr w:type="spellStart"/>
      <w:r w:rsidRPr="007F0427">
        <w:rPr>
          <w:rFonts w:ascii="Georgia" w:hAnsi="Georgia"/>
        </w:rPr>
        <w:t>FyreTV</w:t>
      </w:r>
      <w:proofErr w:type="spellEnd"/>
      <w:r w:rsidRPr="007F0427">
        <w:rPr>
          <w:rFonts w:ascii="Georgia" w:hAnsi="Georgia"/>
        </w:rPr>
        <w:t xml:space="preserve"> and </w:t>
      </w:r>
      <w:proofErr w:type="spellStart"/>
      <w:r w:rsidRPr="007F0427">
        <w:rPr>
          <w:rFonts w:ascii="Georgia" w:hAnsi="Georgia"/>
        </w:rPr>
        <w:t>fireTV</w:t>
      </w:r>
      <w:proofErr w:type="spellEnd"/>
      <w:r w:rsidRPr="007F0427">
        <w:rPr>
          <w:rFonts w:ascii="Georgia" w:hAnsi="Georgia"/>
        </w:rPr>
        <w:t xml:space="preserve">. Nor does Amazon sell the </w:t>
      </w:r>
      <w:proofErr w:type="spellStart"/>
      <w:r w:rsidRPr="007F0427">
        <w:rPr>
          <w:rFonts w:ascii="Georgia" w:hAnsi="Georgia"/>
        </w:rPr>
        <w:t>fireTV</w:t>
      </w:r>
      <w:proofErr w:type="spellEnd"/>
      <w:r w:rsidRPr="007F0427">
        <w:rPr>
          <w:rFonts w:ascii="Georgia" w:hAnsi="Georgia"/>
        </w:rPr>
        <w:t xml:space="preserve"> on any pornographic websites. Thus, there is no overlap of the sales outlets utilized by Amazon and </w:t>
      </w:r>
      <w:proofErr w:type="spellStart"/>
      <w:r w:rsidRPr="007F0427">
        <w:rPr>
          <w:rFonts w:ascii="Georgia" w:hAnsi="Georgia"/>
        </w:rPr>
        <w:t>Wreal</w:t>
      </w:r>
      <w:proofErr w:type="spellEnd"/>
      <w:r w:rsidRPr="007F0427">
        <w:rPr>
          <w:rFonts w:ascii="Georgia" w:hAnsi="Georgia"/>
        </w:rPr>
        <w:t>.</w:t>
      </w:r>
    </w:p>
    <w:p w14:paraId="660BC2AC" w14:textId="77777777" w:rsidR="00BA1C68" w:rsidRPr="007F0427" w:rsidRDefault="00BA1C68" w:rsidP="00BA1C68">
      <w:pPr>
        <w:rPr>
          <w:rFonts w:ascii="Georgia" w:hAnsi="Georgia"/>
          <w:b/>
          <w:bCs/>
        </w:rPr>
      </w:pPr>
      <w:bookmarkStart w:id="10" w:name="co_anchor_I40646811fcf211ecb4fdd6112f0b9"/>
      <w:bookmarkEnd w:id="10"/>
      <w:r w:rsidRPr="007F0427">
        <w:rPr>
          <w:rFonts w:ascii="Georgia" w:hAnsi="Georgia"/>
          <w:b/>
          <w:bCs/>
        </w:rPr>
        <w:t>C. Evidence of Confusion</w:t>
      </w:r>
    </w:p>
    <w:p w14:paraId="6C381D3E" w14:textId="20CD008E" w:rsidR="00BA1C68" w:rsidRPr="007F0427" w:rsidRDefault="00BA1C68" w:rsidP="00BA1C68">
      <w:pPr>
        <w:rPr>
          <w:rFonts w:ascii="Georgia" w:hAnsi="Georgia"/>
        </w:rPr>
      </w:pPr>
      <w:proofErr w:type="gramStart"/>
      <w:r w:rsidRPr="007F0427">
        <w:rPr>
          <w:rFonts w:ascii="Georgia" w:hAnsi="Georgia"/>
        </w:rPr>
        <w:t>In order to</w:t>
      </w:r>
      <w:proofErr w:type="gramEnd"/>
      <w:r w:rsidRPr="007F0427">
        <w:rPr>
          <w:rFonts w:ascii="Georgia" w:hAnsi="Georgia"/>
        </w:rPr>
        <w:t xml:space="preserve"> prevail on its trademark claims, </w:t>
      </w:r>
      <w:proofErr w:type="spellStart"/>
      <w:r w:rsidRPr="007F0427">
        <w:rPr>
          <w:rFonts w:ascii="Georgia" w:hAnsi="Georgia"/>
        </w:rPr>
        <w:t>Wreal</w:t>
      </w:r>
      <w:proofErr w:type="spellEnd"/>
      <w:r w:rsidRPr="007F0427">
        <w:rPr>
          <w:rFonts w:ascii="Georgia" w:hAnsi="Georgia"/>
        </w:rPr>
        <w:t xml:space="preserve"> must show a “likelihood of confusion.” </w:t>
      </w:r>
      <w:r w:rsidRPr="007F0427">
        <w:rPr>
          <w:rFonts w:ascii="Georgia" w:hAnsi="Georgia"/>
          <w:i/>
          <w:iCs/>
        </w:rPr>
        <w:t>Forman</w:t>
      </w:r>
      <w:r w:rsidRPr="007F0427">
        <w:rPr>
          <w:rFonts w:ascii="Georgia" w:hAnsi="Georgia"/>
        </w:rPr>
        <w:t xml:space="preserve">, 509 F.3d at 1360. We therefore summarize the record evidence relevant to this issue, as presented by </w:t>
      </w:r>
      <w:proofErr w:type="spellStart"/>
      <w:r w:rsidRPr="007F0427">
        <w:rPr>
          <w:rFonts w:ascii="Georgia" w:hAnsi="Georgia"/>
        </w:rPr>
        <w:t>Wreal</w:t>
      </w:r>
      <w:proofErr w:type="spellEnd"/>
      <w:r w:rsidRPr="007F0427">
        <w:rPr>
          <w:rFonts w:ascii="Georgia" w:hAnsi="Georgia"/>
        </w:rPr>
        <w:t xml:space="preserve"> at the preliminary injunction hearing</w:t>
      </w:r>
      <w:bookmarkStart w:id="11" w:name="co_fnRef_B00052056495078_ID0EXUBI_1"/>
      <w:bookmarkEnd w:id="11"/>
      <w:r w:rsidRPr="007F0427">
        <w:rPr>
          <w:rFonts w:ascii="Georgia" w:hAnsi="Georgia"/>
        </w:rPr>
        <w:t xml:space="preserve"> and by both parties as part of their summary judgment briefing. Below are screenshots of the marks at issue as they appear in internet advertising for the set-top boxes:</w:t>
      </w:r>
      <w:bookmarkStart w:id="12" w:name="co_footnote_B00052056495078_1"/>
      <w:bookmarkStart w:id="13" w:name="co_anchor_I4043c0b0fcf211ecb4fdd6112f0b9"/>
      <w:bookmarkEnd w:id="12"/>
      <w:bookmarkEnd w:id="13"/>
    </w:p>
    <w:p w14:paraId="3FC6CEC8" w14:textId="77777777" w:rsidR="00BA1C68" w:rsidRPr="007F0427" w:rsidRDefault="00BA1C68" w:rsidP="00BA1C68">
      <w:pPr>
        <w:pStyle w:val="Centered"/>
        <w:rPr>
          <w:rFonts w:ascii="Georgia" w:hAnsi="Georgia"/>
        </w:rPr>
      </w:pPr>
      <w:r w:rsidRPr="007F0427">
        <w:rPr>
          <w:rFonts w:ascii="Georgia" w:hAnsi="Georgia"/>
          <w:noProof/>
        </w:rPr>
        <w:drawing>
          <wp:inline distT="0" distB="0" distL="0" distR="0" wp14:anchorId="2BD5DB10" wp14:editId="36D84F0E">
            <wp:extent cx="4784134" cy="2679700"/>
            <wp:effectExtent l="0" t="0" r="0" b="6350"/>
            <wp:docPr id="112" name="Picture 72" descr="A black box with a red lab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72" descr="A black box with a red label&#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88572" cy="2682186"/>
                    </a:xfrm>
                    <a:prstGeom prst="rect">
                      <a:avLst/>
                    </a:prstGeom>
                    <a:noFill/>
                    <a:ln>
                      <a:noFill/>
                    </a:ln>
                  </pic:spPr>
                </pic:pic>
              </a:graphicData>
            </a:graphic>
          </wp:inline>
        </w:drawing>
      </w:r>
      <w:r w:rsidRPr="007F0427">
        <w:rPr>
          <w:rFonts w:ascii="Times New Roman" w:hAnsi="Times New Roman"/>
        </w:rPr>
        <w:t>​</w:t>
      </w:r>
    </w:p>
    <w:p w14:paraId="48F7A0DA" w14:textId="77777777" w:rsidR="00BA1C68" w:rsidRPr="007F0427" w:rsidRDefault="00BA1C68" w:rsidP="00BA1C68">
      <w:pPr>
        <w:rPr>
          <w:rFonts w:ascii="Georgia" w:hAnsi="Georgia"/>
        </w:rPr>
      </w:pPr>
      <w:bookmarkStart w:id="14" w:name="co_anchor_I4043c0b2fcf211ecb4fdd6112f0b9"/>
      <w:bookmarkEnd w:id="14"/>
    </w:p>
    <w:p w14:paraId="5EE2AF00" w14:textId="77777777" w:rsidR="00BA1C68" w:rsidRPr="007F0427" w:rsidRDefault="00BA1C68" w:rsidP="00BA1C68">
      <w:pPr>
        <w:pStyle w:val="Centered"/>
        <w:rPr>
          <w:rFonts w:ascii="Georgia" w:hAnsi="Georgia"/>
        </w:rPr>
      </w:pPr>
      <w:r w:rsidRPr="007F0427">
        <w:rPr>
          <w:rFonts w:ascii="Georgia" w:hAnsi="Georgia"/>
          <w:noProof/>
        </w:rPr>
        <w:lastRenderedPageBreak/>
        <w:drawing>
          <wp:inline distT="0" distB="0" distL="0" distR="0" wp14:anchorId="629F50FF" wp14:editId="22019A05">
            <wp:extent cx="4541001" cy="2101602"/>
            <wp:effectExtent l="0" t="0" r="0" b="0"/>
            <wp:docPr id="113" name="Picture 71" descr="A black box with a remote on top of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71" descr="A black box with a remote on top of i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3871" cy="2107558"/>
                    </a:xfrm>
                    <a:prstGeom prst="rect">
                      <a:avLst/>
                    </a:prstGeom>
                    <a:noFill/>
                    <a:ln>
                      <a:noFill/>
                    </a:ln>
                  </pic:spPr>
                </pic:pic>
              </a:graphicData>
            </a:graphic>
          </wp:inline>
        </w:drawing>
      </w:r>
      <w:r w:rsidRPr="007F0427">
        <w:rPr>
          <w:rFonts w:ascii="Times New Roman" w:hAnsi="Times New Roman"/>
        </w:rPr>
        <w:t>​</w:t>
      </w:r>
    </w:p>
    <w:p w14:paraId="39606ABE" w14:textId="327E7A20" w:rsidR="00BA1C68" w:rsidRPr="007F0427" w:rsidRDefault="00BA1C68" w:rsidP="00BA1C68">
      <w:pPr>
        <w:rPr>
          <w:rFonts w:ascii="Georgia" w:hAnsi="Georgia"/>
        </w:rPr>
      </w:pPr>
      <w:r w:rsidRPr="007F0427">
        <w:rPr>
          <w:rFonts w:ascii="Georgia" w:hAnsi="Georgia"/>
        </w:rPr>
        <w:t xml:space="preserve">As noted above, the two products are neither advertised nor sold in the same outlets. A consumer cannot buy a </w:t>
      </w:r>
      <w:proofErr w:type="spellStart"/>
      <w:r w:rsidRPr="007F0427">
        <w:rPr>
          <w:rFonts w:ascii="Georgia" w:hAnsi="Georgia"/>
        </w:rPr>
        <w:t>fireTV</w:t>
      </w:r>
      <w:proofErr w:type="spellEnd"/>
      <w:r w:rsidRPr="007F0427">
        <w:rPr>
          <w:rFonts w:ascii="Georgia" w:hAnsi="Georgia"/>
        </w:rPr>
        <w:t xml:space="preserve"> at the same place where he could buy a </w:t>
      </w:r>
      <w:proofErr w:type="spellStart"/>
      <w:r w:rsidRPr="007F0427">
        <w:rPr>
          <w:rFonts w:ascii="Georgia" w:hAnsi="Georgia"/>
        </w:rPr>
        <w:t>FyreTV</w:t>
      </w:r>
      <w:proofErr w:type="spellEnd"/>
      <w:r w:rsidRPr="007F0427">
        <w:rPr>
          <w:rFonts w:ascii="Georgia" w:hAnsi="Georgia"/>
        </w:rPr>
        <w:t xml:space="preserve">, and vice versa. Thus, no consumer will come across the products or marks in the same location—whether over the internet or in person at a brick-and-mortar location—save for an internet search engine like google.com. Additionally, </w:t>
      </w:r>
      <w:proofErr w:type="spellStart"/>
      <w:r w:rsidRPr="007F0427">
        <w:rPr>
          <w:rFonts w:ascii="Georgia" w:hAnsi="Georgia"/>
        </w:rPr>
        <w:t>Wreal’s</w:t>
      </w:r>
      <w:proofErr w:type="spellEnd"/>
      <w:r w:rsidRPr="007F0427">
        <w:rPr>
          <w:rFonts w:ascii="Georgia" w:hAnsi="Georgia"/>
        </w:rPr>
        <w:t xml:space="preserve"> own evidence supports the proposition that mine-run internet consumers would not confuse Amazon’s amazon.com website with </w:t>
      </w:r>
      <w:proofErr w:type="spellStart"/>
      <w:r w:rsidRPr="007F0427">
        <w:rPr>
          <w:rFonts w:ascii="Georgia" w:hAnsi="Georgia"/>
        </w:rPr>
        <w:t>Wreal’s</w:t>
      </w:r>
      <w:proofErr w:type="spellEnd"/>
      <w:r w:rsidRPr="007F0427">
        <w:rPr>
          <w:rFonts w:ascii="Georgia" w:hAnsi="Georgia"/>
        </w:rPr>
        <w:t xml:space="preserve"> FyreTV.com website.</w:t>
      </w:r>
    </w:p>
    <w:p w14:paraId="42EBC966" w14:textId="391FDBF7" w:rsidR="00BA1C68" w:rsidRPr="007F0427" w:rsidRDefault="00BA1C68" w:rsidP="00BA1C68">
      <w:pPr>
        <w:rPr>
          <w:rFonts w:ascii="Georgia" w:hAnsi="Georgia"/>
        </w:rPr>
      </w:pPr>
      <w:r w:rsidRPr="007F0427">
        <w:rPr>
          <w:rFonts w:ascii="Georgia" w:hAnsi="Georgia"/>
        </w:rPr>
        <w:t xml:space="preserve">Over the course of the litigation, both </w:t>
      </w:r>
      <w:proofErr w:type="spellStart"/>
      <w:r w:rsidRPr="007F0427">
        <w:rPr>
          <w:rFonts w:ascii="Georgia" w:hAnsi="Georgia"/>
        </w:rPr>
        <w:t>Wreal</w:t>
      </w:r>
      <w:proofErr w:type="spellEnd"/>
      <w:r w:rsidRPr="007F0427">
        <w:rPr>
          <w:rFonts w:ascii="Georgia" w:hAnsi="Georgia"/>
        </w:rPr>
        <w:t xml:space="preserve"> and Amazon sought to present evidence relevant to the issue of actual consumer confusion. Amazon, for its part, produced in discovery “tens of thousands” of customer service inquiries related to the </w:t>
      </w:r>
      <w:proofErr w:type="spellStart"/>
      <w:r w:rsidRPr="007F0427">
        <w:rPr>
          <w:rFonts w:ascii="Georgia" w:hAnsi="Georgia"/>
        </w:rPr>
        <w:t>fireTV</w:t>
      </w:r>
      <w:proofErr w:type="spellEnd"/>
      <w:r w:rsidRPr="007F0427">
        <w:rPr>
          <w:rFonts w:ascii="Georgia" w:hAnsi="Georgia"/>
        </w:rPr>
        <w:t>. In one of those inquiries, an Amazon customer asked whether he could access adult content on the Amazon “fyreTV.”</w:t>
      </w:r>
      <w:bookmarkStart w:id="15" w:name="co_fnRef_B00062056495078_ID0EIYBI_1"/>
      <w:bookmarkEnd w:id="15"/>
      <w:r w:rsidRPr="007F0427">
        <w:rPr>
          <w:rStyle w:val="FootnoteReference"/>
          <w:rFonts w:ascii="Georgia" w:hAnsi="Georgia"/>
        </w:rPr>
        <w:footnoteReference w:customMarkFollows="1" w:id="5"/>
        <w:t>6</w:t>
      </w:r>
      <w:r w:rsidRPr="007F0427">
        <w:rPr>
          <w:rFonts w:ascii="Georgia" w:hAnsi="Georgia"/>
        </w:rPr>
        <w:t xml:space="preserve"> </w:t>
      </w:r>
      <w:proofErr w:type="spellStart"/>
      <w:r w:rsidRPr="007F0427">
        <w:rPr>
          <w:rFonts w:ascii="Georgia" w:hAnsi="Georgia"/>
        </w:rPr>
        <w:t>Wreal</w:t>
      </w:r>
      <w:proofErr w:type="spellEnd"/>
      <w:r w:rsidRPr="007F0427">
        <w:rPr>
          <w:rFonts w:ascii="Georgia" w:hAnsi="Georgia"/>
        </w:rPr>
        <w:t xml:space="preserve"> points to record evidence showing </w:t>
      </w:r>
      <w:proofErr w:type="gramStart"/>
      <w:r w:rsidRPr="007F0427">
        <w:rPr>
          <w:rFonts w:ascii="Georgia" w:hAnsi="Georgia"/>
        </w:rPr>
        <w:t>a number of</w:t>
      </w:r>
      <w:proofErr w:type="gramEnd"/>
      <w:r w:rsidRPr="007F0427">
        <w:rPr>
          <w:rFonts w:ascii="Georgia" w:hAnsi="Georgia"/>
        </w:rPr>
        <w:t xml:space="preserve"> customer service inquiries it received in which customers asked </w:t>
      </w:r>
      <w:proofErr w:type="spellStart"/>
      <w:r w:rsidRPr="007F0427">
        <w:rPr>
          <w:rFonts w:ascii="Georgia" w:hAnsi="Georgia"/>
        </w:rPr>
        <w:t>Wreal</w:t>
      </w:r>
      <w:proofErr w:type="spellEnd"/>
      <w:r w:rsidRPr="007F0427">
        <w:rPr>
          <w:rFonts w:ascii="Georgia" w:hAnsi="Georgia"/>
        </w:rPr>
        <w:t xml:space="preserve"> if the </w:t>
      </w:r>
      <w:proofErr w:type="spellStart"/>
      <w:r w:rsidRPr="007F0427">
        <w:rPr>
          <w:rFonts w:ascii="Georgia" w:hAnsi="Georgia"/>
        </w:rPr>
        <w:t>FyreTV</w:t>
      </w:r>
      <w:proofErr w:type="spellEnd"/>
      <w:r w:rsidRPr="007F0427">
        <w:rPr>
          <w:rFonts w:ascii="Georgia" w:hAnsi="Georgia"/>
        </w:rPr>
        <w:t xml:space="preserve"> streaming service would be available on Amazon’s </w:t>
      </w:r>
      <w:proofErr w:type="spellStart"/>
      <w:r w:rsidRPr="007F0427">
        <w:rPr>
          <w:rFonts w:ascii="Georgia" w:hAnsi="Georgia"/>
        </w:rPr>
        <w:t>fireTV</w:t>
      </w:r>
      <w:proofErr w:type="spellEnd"/>
      <w:r w:rsidRPr="007F0427">
        <w:rPr>
          <w:rFonts w:ascii="Georgia" w:hAnsi="Georgia"/>
        </w:rPr>
        <w:t xml:space="preserve"> set-top box. Significantly, </w:t>
      </w:r>
      <w:proofErr w:type="spellStart"/>
      <w:r w:rsidRPr="007F0427">
        <w:rPr>
          <w:rFonts w:ascii="Georgia" w:hAnsi="Georgia"/>
        </w:rPr>
        <w:t>Wreal</w:t>
      </w:r>
      <w:proofErr w:type="spellEnd"/>
      <w:r w:rsidRPr="007F0427">
        <w:rPr>
          <w:rFonts w:ascii="Georgia" w:hAnsi="Georgia"/>
        </w:rPr>
        <w:t xml:space="preserve"> also produced in discovery a tweet directed to </w:t>
      </w:r>
      <w:proofErr w:type="spellStart"/>
      <w:r w:rsidRPr="007F0427">
        <w:rPr>
          <w:rFonts w:ascii="Georgia" w:hAnsi="Georgia"/>
        </w:rPr>
        <w:t>Wreal’s</w:t>
      </w:r>
      <w:proofErr w:type="spellEnd"/>
      <w:r w:rsidRPr="007F0427">
        <w:rPr>
          <w:rFonts w:ascii="Georgia" w:hAnsi="Georgia"/>
        </w:rPr>
        <w:t xml:space="preserve"> Twitter account in which the sender asked, “Did you guys just merge with Amazon?”</w:t>
      </w:r>
    </w:p>
    <w:p w14:paraId="6A9A27BE" w14:textId="1646715E" w:rsidR="00BA1C68" w:rsidRPr="007F0427" w:rsidRDefault="00BA1C68" w:rsidP="00BA1C68">
      <w:pPr>
        <w:rPr>
          <w:rFonts w:ascii="Georgia" w:hAnsi="Georgia"/>
        </w:rPr>
      </w:pPr>
      <w:r w:rsidRPr="007F0427">
        <w:rPr>
          <w:rFonts w:ascii="Georgia" w:hAnsi="Georgia"/>
        </w:rPr>
        <w:t>Both parties also presented expert testimony regarding the level of confusion between the marks—</w:t>
      </w:r>
      <w:proofErr w:type="spellStart"/>
      <w:r w:rsidRPr="007F0427">
        <w:rPr>
          <w:rFonts w:ascii="Georgia" w:hAnsi="Georgia"/>
        </w:rPr>
        <w:t>Wreal</w:t>
      </w:r>
      <w:proofErr w:type="spellEnd"/>
      <w:r w:rsidRPr="007F0427">
        <w:rPr>
          <w:rFonts w:ascii="Georgia" w:hAnsi="Georgia"/>
        </w:rPr>
        <w:t xml:space="preserve"> at the preliminary injunction hearing and Amazon at </w:t>
      </w:r>
      <w:r w:rsidRPr="007F0427">
        <w:rPr>
          <w:rFonts w:ascii="Georgia" w:hAnsi="Georgia"/>
        </w:rPr>
        <w:lastRenderedPageBreak/>
        <w:t xml:space="preserve">the summary judgment stage. Amazon’s expert, Dr. Dan Sarel, conducted a consumer survey that showed a “confusion rate of one percent,” which he described as “statistically insignificant” and “nonexistent.” That conclusion was bolstered by </w:t>
      </w:r>
      <w:proofErr w:type="spellStart"/>
      <w:r w:rsidRPr="007F0427">
        <w:rPr>
          <w:rFonts w:ascii="Georgia" w:hAnsi="Georgia"/>
        </w:rPr>
        <w:t>Wreal’s</w:t>
      </w:r>
      <w:proofErr w:type="spellEnd"/>
      <w:r w:rsidRPr="007F0427">
        <w:rPr>
          <w:rFonts w:ascii="Georgia" w:hAnsi="Georgia"/>
        </w:rPr>
        <w:t xml:space="preserve"> own expert—Dr. Thomas </w:t>
      </w:r>
      <w:proofErr w:type="spellStart"/>
      <w:r w:rsidRPr="007F0427">
        <w:rPr>
          <w:rFonts w:ascii="Georgia" w:hAnsi="Georgia"/>
        </w:rPr>
        <w:t>Maronick</w:t>
      </w:r>
      <w:proofErr w:type="spellEnd"/>
      <w:r w:rsidRPr="007F0427">
        <w:rPr>
          <w:rFonts w:ascii="Georgia" w:hAnsi="Georgia"/>
        </w:rPr>
        <w:t>—who conducted his own consumer surveys in April 2014 and testified at the preliminary injunction hearing that he found “very low” levels of consumer confusion.</w:t>
      </w:r>
      <w:bookmarkStart w:id="16" w:name="co_fnRef_B00072056495078_ID0EE2BI_1"/>
      <w:bookmarkEnd w:id="16"/>
      <w:r w:rsidRPr="007F0427">
        <w:rPr>
          <w:rStyle w:val="FootnoteReference"/>
          <w:rFonts w:ascii="Georgia" w:hAnsi="Georgia"/>
        </w:rPr>
        <w:footnoteReference w:customMarkFollows="1" w:id="6"/>
        <w:t>7</w:t>
      </w:r>
    </w:p>
    <w:p w14:paraId="36F38E1F" w14:textId="77777777" w:rsidR="00BA1C68" w:rsidRPr="007F0427" w:rsidRDefault="00BA1C68" w:rsidP="00BA1C68">
      <w:pPr>
        <w:rPr>
          <w:rFonts w:ascii="Georgia" w:hAnsi="Georgia"/>
          <w:b/>
          <w:bCs/>
        </w:rPr>
      </w:pPr>
      <w:r w:rsidRPr="007F0427">
        <w:rPr>
          <w:rFonts w:ascii="Georgia" w:hAnsi="Georgia"/>
          <w:b/>
          <w:bCs/>
        </w:rPr>
        <w:t>D. Procedural History</w:t>
      </w:r>
    </w:p>
    <w:p w14:paraId="38A01CE5" w14:textId="2777E670" w:rsidR="00BA1C68" w:rsidRPr="007F0427" w:rsidRDefault="00BA1C68" w:rsidP="00BA1C68">
      <w:pPr>
        <w:rPr>
          <w:rFonts w:ascii="Georgia" w:hAnsi="Georgia"/>
        </w:rPr>
      </w:pPr>
      <w:proofErr w:type="spellStart"/>
      <w:r w:rsidRPr="007F0427">
        <w:rPr>
          <w:rFonts w:ascii="Georgia" w:hAnsi="Georgia"/>
        </w:rPr>
        <w:t>Wreal</w:t>
      </w:r>
      <w:proofErr w:type="spellEnd"/>
      <w:r w:rsidRPr="007F0427">
        <w:rPr>
          <w:rFonts w:ascii="Georgia" w:hAnsi="Georgia"/>
        </w:rPr>
        <w:t xml:space="preserve"> filed this lawsuit against Amazon about two weeks after the </w:t>
      </w:r>
      <w:proofErr w:type="spellStart"/>
      <w:r w:rsidRPr="007F0427">
        <w:rPr>
          <w:rFonts w:ascii="Georgia" w:hAnsi="Georgia"/>
        </w:rPr>
        <w:t>fireTV’s</w:t>
      </w:r>
      <w:proofErr w:type="spellEnd"/>
      <w:r w:rsidRPr="007F0427">
        <w:rPr>
          <w:rFonts w:ascii="Georgia" w:hAnsi="Georgia"/>
        </w:rPr>
        <w:t xml:space="preserve"> product launch. In its complaint, </w:t>
      </w:r>
      <w:proofErr w:type="spellStart"/>
      <w:r w:rsidRPr="007F0427">
        <w:rPr>
          <w:rFonts w:ascii="Georgia" w:hAnsi="Georgia"/>
        </w:rPr>
        <w:t>Wreal</w:t>
      </w:r>
      <w:proofErr w:type="spellEnd"/>
      <w:r w:rsidRPr="007F0427">
        <w:rPr>
          <w:rFonts w:ascii="Georgia" w:hAnsi="Georgia"/>
        </w:rPr>
        <w:t xml:space="preserve"> sought treble damages and injunctive relief for reverse-confusion trademark infringement under the Lanham Act, the Florida Deceptive and Unfair Trade Practices Act, and Florida common law.</w:t>
      </w:r>
      <w:bookmarkStart w:id="17" w:name="co_fnRef_B00082056495078_ID0EQ4BI_1"/>
      <w:bookmarkEnd w:id="17"/>
      <w:r w:rsidRPr="007F0427">
        <w:rPr>
          <w:rStyle w:val="FootnoteReference"/>
          <w:rFonts w:ascii="Georgia" w:hAnsi="Georgia"/>
        </w:rPr>
        <w:footnoteReference w:customMarkFollows="1" w:id="7"/>
        <w:t>8</w:t>
      </w:r>
      <w:r w:rsidRPr="007F0427">
        <w:rPr>
          <w:rFonts w:ascii="Georgia" w:hAnsi="Georgia"/>
        </w:rPr>
        <w:t xml:space="preserve"> Five months after filing suit, </w:t>
      </w:r>
      <w:proofErr w:type="spellStart"/>
      <w:r w:rsidRPr="007F0427">
        <w:rPr>
          <w:rFonts w:ascii="Georgia" w:hAnsi="Georgia"/>
        </w:rPr>
        <w:t>Wreal</w:t>
      </w:r>
      <w:proofErr w:type="spellEnd"/>
      <w:r w:rsidRPr="007F0427">
        <w:rPr>
          <w:rFonts w:ascii="Georgia" w:hAnsi="Georgia"/>
        </w:rPr>
        <w:t xml:space="preserve"> moved for a preliminary injunction, which the district court referred to the magistrate judge and ultimately denied. We affirmed that denial. </w:t>
      </w:r>
      <w:r w:rsidRPr="007F0427">
        <w:rPr>
          <w:rFonts w:ascii="Georgia" w:hAnsi="Georgia"/>
          <w:i/>
          <w:iCs/>
        </w:rPr>
        <w:t xml:space="preserve">See </w:t>
      </w:r>
      <w:proofErr w:type="spellStart"/>
      <w:r w:rsidRPr="007F0427">
        <w:rPr>
          <w:rFonts w:ascii="Georgia" w:hAnsi="Georgia"/>
          <w:i/>
          <w:iCs/>
        </w:rPr>
        <w:t>Wreal</w:t>
      </w:r>
      <w:proofErr w:type="spellEnd"/>
      <w:r w:rsidRPr="007F0427">
        <w:rPr>
          <w:rFonts w:ascii="Georgia" w:hAnsi="Georgia"/>
          <w:i/>
          <w:iCs/>
        </w:rPr>
        <w:t xml:space="preserve"> I</w:t>
      </w:r>
      <w:r w:rsidRPr="007F0427">
        <w:rPr>
          <w:rFonts w:ascii="Georgia" w:hAnsi="Georgia"/>
        </w:rPr>
        <w:t>, 840 F.3d at 1246.</w:t>
      </w:r>
    </w:p>
    <w:p w14:paraId="71814AAA" w14:textId="3DD00E82" w:rsidR="00BA1C68" w:rsidRPr="007F0427" w:rsidRDefault="00BA1C68" w:rsidP="00BA1C68">
      <w:pPr>
        <w:rPr>
          <w:rFonts w:ascii="Georgia" w:hAnsi="Georgia"/>
        </w:rPr>
      </w:pPr>
      <w:bookmarkStart w:id="18" w:name="co_footnote_B00082056495078_1"/>
      <w:bookmarkEnd w:id="18"/>
      <w:r w:rsidRPr="007F0427">
        <w:rPr>
          <w:rFonts w:ascii="Georgia" w:hAnsi="Georgia"/>
        </w:rPr>
        <w:t xml:space="preserve">After the close of discovery, Amazon moved for summary judgment. The district court again referred the motion to the magistrate judge for a report and recommendation, and the magistrate judge recommended granting the motion. Over </w:t>
      </w:r>
      <w:proofErr w:type="spellStart"/>
      <w:r w:rsidRPr="007F0427">
        <w:rPr>
          <w:rFonts w:ascii="Georgia" w:hAnsi="Georgia"/>
        </w:rPr>
        <w:t>Wreal’s</w:t>
      </w:r>
      <w:proofErr w:type="spellEnd"/>
      <w:r w:rsidRPr="007F0427">
        <w:rPr>
          <w:rFonts w:ascii="Georgia" w:hAnsi="Georgia"/>
        </w:rPr>
        <w:t xml:space="preserve"> objections, the district court adopted the report and recommendation and granted summary judgment to Amazon. </w:t>
      </w:r>
      <w:proofErr w:type="spellStart"/>
      <w:r w:rsidRPr="007F0427">
        <w:rPr>
          <w:rFonts w:ascii="Georgia" w:hAnsi="Georgia"/>
        </w:rPr>
        <w:t>Wreal</w:t>
      </w:r>
      <w:proofErr w:type="spellEnd"/>
      <w:r w:rsidRPr="007F0427">
        <w:rPr>
          <w:rFonts w:ascii="Georgia" w:hAnsi="Georgia"/>
        </w:rPr>
        <w:t xml:space="preserve"> then timely appealed.</w:t>
      </w:r>
    </w:p>
    <w:p w14:paraId="081A54EC" w14:textId="77777777" w:rsidR="00BA1C68" w:rsidRPr="007F0427" w:rsidRDefault="00BA1C68" w:rsidP="00BA1C68">
      <w:pPr>
        <w:rPr>
          <w:rFonts w:ascii="Georgia" w:hAnsi="Georgia"/>
        </w:rPr>
      </w:pPr>
      <w:bookmarkStart w:id="19" w:name="co_anchor_I406ccc81fcf211ecb4fdd6112f0b9"/>
      <w:bookmarkEnd w:id="19"/>
      <w:r w:rsidRPr="007F0427">
        <w:rPr>
          <w:rFonts w:ascii="Georgia" w:hAnsi="Georgia"/>
        </w:rPr>
        <w:t>. . . .</w:t>
      </w:r>
    </w:p>
    <w:p w14:paraId="75388A45" w14:textId="77777777" w:rsidR="00BA1C68" w:rsidRPr="007F0427" w:rsidRDefault="00BA1C68" w:rsidP="00BA1C68">
      <w:pPr>
        <w:pStyle w:val="CntrdNoItal"/>
        <w:rPr>
          <w:rFonts w:ascii="Georgia" w:hAnsi="Georgia"/>
          <w:b/>
          <w:bCs/>
        </w:rPr>
      </w:pPr>
      <w:r w:rsidRPr="007F0427">
        <w:rPr>
          <w:rFonts w:ascii="Georgia" w:hAnsi="Georgia"/>
          <w:b/>
          <w:bCs/>
        </w:rPr>
        <w:t>III. ANALYSIS</w:t>
      </w:r>
    </w:p>
    <w:p w14:paraId="151D5D2C" w14:textId="71C9776D" w:rsidR="00BA1C68" w:rsidRPr="007F0427" w:rsidRDefault="00BA1C68" w:rsidP="00BA1C68">
      <w:pPr>
        <w:rPr>
          <w:rFonts w:ascii="Georgia" w:hAnsi="Georgia"/>
        </w:rPr>
      </w:pPr>
      <w:bookmarkStart w:id="20" w:name="co_anchor_B42056495078_1"/>
      <w:bookmarkEnd w:id="20"/>
      <w:proofErr w:type="spellStart"/>
      <w:r w:rsidRPr="007F0427">
        <w:rPr>
          <w:rFonts w:ascii="Georgia" w:hAnsi="Georgia"/>
        </w:rPr>
        <w:t>Wreal</w:t>
      </w:r>
      <w:proofErr w:type="spellEnd"/>
      <w:r w:rsidRPr="007F0427">
        <w:rPr>
          <w:rFonts w:ascii="Georgia" w:hAnsi="Georgia"/>
        </w:rPr>
        <w:t xml:space="preserve"> argues that Amazon’s use of the mark </w:t>
      </w:r>
      <w:proofErr w:type="spellStart"/>
      <w:r w:rsidRPr="007F0427">
        <w:rPr>
          <w:rFonts w:ascii="Georgia" w:hAnsi="Georgia"/>
        </w:rPr>
        <w:t>fireTV</w:t>
      </w:r>
      <w:proofErr w:type="spellEnd"/>
      <w:r w:rsidRPr="007F0427">
        <w:rPr>
          <w:rFonts w:ascii="Georgia" w:hAnsi="Georgia"/>
        </w:rPr>
        <w:t xml:space="preserve"> infringed its trademark </w:t>
      </w:r>
      <w:proofErr w:type="spellStart"/>
      <w:r w:rsidRPr="007F0427">
        <w:rPr>
          <w:rFonts w:ascii="Georgia" w:hAnsi="Georgia"/>
        </w:rPr>
        <w:t>FyreTV</w:t>
      </w:r>
      <w:proofErr w:type="spellEnd"/>
      <w:r w:rsidRPr="007F0427">
        <w:rPr>
          <w:rFonts w:ascii="Georgia" w:hAnsi="Georgia"/>
        </w:rPr>
        <w:t xml:space="preserve"> under a reverse-confusion theory— the resolution of which boils down to the likelihood of confusion between the two marks. </w:t>
      </w:r>
    </w:p>
    <w:p w14:paraId="228C2E3D" w14:textId="77777777" w:rsidR="00BA1C68" w:rsidRPr="007F0427" w:rsidRDefault="00BA1C68" w:rsidP="00BA1C68">
      <w:pPr>
        <w:rPr>
          <w:rFonts w:ascii="Georgia" w:hAnsi="Georgia"/>
        </w:rPr>
      </w:pPr>
      <w:r w:rsidRPr="007F0427">
        <w:rPr>
          <w:rFonts w:ascii="Georgia" w:hAnsi="Georgia"/>
        </w:rPr>
        <w:t>. . . .</w:t>
      </w:r>
    </w:p>
    <w:p w14:paraId="76D6980C" w14:textId="58F78782" w:rsidR="00BA1C68" w:rsidRPr="007F0427" w:rsidRDefault="00BA1C68" w:rsidP="00BA1C68">
      <w:pPr>
        <w:rPr>
          <w:rFonts w:ascii="Georgia" w:hAnsi="Georgia"/>
        </w:rPr>
      </w:pPr>
      <w:bookmarkStart w:id="21" w:name="co_footnote_B00102056495078_1"/>
      <w:bookmarkStart w:id="22" w:name="co_anchor_B52056495078_1"/>
      <w:bookmarkStart w:id="23" w:name="co_anchor_B62056495078_1"/>
      <w:bookmarkStart w:id="24" w:name="co_anchor_B72056495078_1"/>
      <w:bookmarkStart w:id="25" w:name="co_anchor_B82056495078_1"/>
      <w:bookmarkStart w:id="26" w:name="co_anchor_B92056495078_1"/>
      <w:bookmarkStart w:id="27" w:name="co_anchor_B102056495078_1"/>
      <w:bookmarkEnd w:id="21"/>
      <w:bookmarkEnd w:id="22"/>
      <w:bookmarkEnd w:id="23"/>
      <w:bookmarkEnd w:id="24"/>
      <w:bookmarkEnd w:id="25"/>
      <w:bookmarkEnd w:id="26"/>
      <w:bookmarkEnd w:id="27"/>
      <w:r w:rsidRPr="007F0427">
        <w:rPr>
          <w:rFonts w:ascii="Georgia" w:hAnsi="Georgia"/>
        </w:rPr>
        <w:t xml:space="preserve">In order to resolve this appeal, we must determine how these seven likelihood-of-confusion factors {from </w:t>
      </w:r>
      <w:r w:rsidRPr="007F0427">
        <w:rPr>
          <w:rFonts w:ascii="Georgia" w:hAnsi="Georgia"/>
          <w:i/>
          <w:iCs/>
        </w:rPr>
        <w:t>Welding Servs., Inc. v. Forman</w:t>
      </w:r>
      <w:r w:rsidRPr="007F0427">
        <w:rPr>
          <w:rFonts w:ascii="Georgia" w:hAnsi="Georgia"/>
        </w:rPr>
        <w:t>, 509 F.3d 1351, 1360 (11th Cir. 2007</w:t>
      </w:r>
      <w:proofErr w:type="gramStart"/>
      <w:r w:rsidRPr="007F0427">
        <w:rPr>
          <w:rFonts w:ascii="Georgia" w:hAnsi="Georgia"/>
        </w:rPr>
        <w:t>)}  apply</w:t>
      </w:r>
      <w:proofErr w:type="gramEnd"/>
      <w:r w:rsidRPr="007F0427">
        <w:rPr>
          <w:rFonts w:ascii="Georgia" w:hAnsi="Georgia"/>
        </w:rPr>
        <w:t xml:space="preserve"> in the context of reverse-confusion trademark infringement. The “paradigm case [of reverse confusion] is that of a knowing junior </w:t>
      </w:r>
      <w:r w:rsidRPr="007F0427">
        <w:rPr>
          <w:rFonts w:ascii="Georgia" w:hAnsi="Georgia"/>
        </w:rPr>
        <w:lastRenderedPageBreak/>
        <w:t xml:space="preserve">user with much greater economic power who saturates the market with advertising of a confusingly similar mark, overwhelming the marketplace power and value of the senior user’s mark.” 4 J. Thomas McCarthy, </w:t>
      </w:r>
      <w:r w:rsidRPr="007F0427">
        <w:rPr>
          <w:rFonts w:ascii="Georgia" w:hAnsi="Georgia"/>
          <w:i/>
          <w:iCs/>
        </w:rPr>
        <w:t>McCarthy on Trademarks and Unfair Competition</w:t>
      </w:r>
      <w:r w:rsidRPr="007F0427">
        <w:rPr>
          <w:rFonts w:ascii="Georgia" w:hAnsi="Georgia"/>
        </w:rPr>
        <w:t xml:space="preserve"> § 23:10 (5th ed.); </w:t>
      </w:r>
      <w:r w:rsidRPr="007F0427">
        <w:rPr>
          <w:rFonts w:ascii="Georgia" w:hAnsi="Georgia"/>
          <w:i/>
          <w:iCs/>
        </w:rPr>
        <w:t>see also Sands, Taylor &amp; Wood Co. v. Quaker Oats Co.</w:t>
      </w:r>
      <w:r w:rsidRPr="007F0427">
        <w:rPr>
          <w:rFonts w:ascii="Georgia" w:hAnsi="Georgia"/>
        </w:rPr>
        <w:t>, 978 F.2d 947, 957 (7th Cir. 1992) (“Reverse confusion occurs when a large junior user saturates the market with a trademark similar or identical to that of a smaller, senior user. In such a case, the junior user does not seek to profit from the good will associated with the senior user’s mark.”) Because both the harm and the theory of infringement in a reverse-confusion case differ from what is claimed in a forward-confusion case, the analysis and application of the seven likelihood-of-confusion factors differ as well.</w:t>
      </w:r>
    </w:p>
    <w:p w14:paraId="219405EA" w14:textId="2B166A42" w:rsidR="00BA1C68" w:rsidRPr="007F0427" w:rsidRDefault="00BA1C68" w:rsidP="00BA1C68">
      <w:pPr>
        <w:rPr>
          <w:rFonts w:ascii="Georgia" w:hAnsi="Georgia"/>
        </w:rPr>
      </w:pPr>
      <w:bookmarkStart w:id="28" w:name="co_pp_sp_999_6_1"/>
      <w:bookmarkEnd w:id="28"/>
      <w:r w:rsidRPr="007F0427">
        <w:rPr>
          <w:rFonts w:ascii="Georgia" w:hAnsi="Georgia"/>
        </w:rPr>
        <w:t xml:space="preserve">In a reverse-confusion case, the harms that can occur are varied. For example, consumers may come to believe the smaller, senior user of the mark is itself a trademark infringer, </w:t>
      </w:r>
      <w:r w:rsidRPr="007F0427">
        <w:rPr>
          <w:rFonts w:ascii="Georgia" w:hAnsi="Georgia"/>
          <w:i/>
          <w:iCs/>
        </w:rPr>
        <w:t xml:space="preserve">see Banff, Ltd. v. Federated </w:t>
      </w:r>
      <w:proofErr w:type="spellStart"/>
      <w:r w:rsidRPr="007F0427">
        <w:rPr>
          <w:rFonts w:ascii="Georgia" w:hAnsi="Georgia"/>
          <w:i/>
          <w:iCs/>
        </w:rPr>
        <w:t>Dep’t</w:t>
      </w:r>
      <w:proofErr w:type="spellEnd"/>
      <w:r w:rsidRPr="007F0427">
        <w:rPr>
          <w:rFonts w:ascii="Georgia" w:hAnsi="Georgia"/>
          <w:i/>
          <w:iCs/>
        </w:rPr>
        <w:t xml:space="preserve"> Stores, Inc.</w:t>
      </w:r>
      <w:r w:rsidRPr="007F0427">
        <w:rPr>
          <w:rFonts w:ascii="Georgia" w:hAnsi="Georgia"/>
        </w:rPr>
        <w:t xml:space="preserve">, 841 F.2d 486, 490 (2d Cir. 1988), or that the defendant’s use of the mark diminishes the value of the plaintiff’s mark as a source indicator, </w:t>
      </w:r>
      <w:r w:rsidRPr="007F0427">
        <w:rPr>
          <w:rFonts w:ascii="Georgia" w:hAnsi="Georgia"/>
          <w:i/>
          <w:iCs/>
        </w:rPr>
        <w:t>see Checkpoint Sys., Inc. v. Check Point Software Techs., Inc.</w:t>
      </w:r>
      <w:r w:rsidRPr="007F0427">
        <w:rPr>
          <w:rFonts w:ascii="Georgia" w:hAnsi="Georgia"/>
        </w:rPr>
        <w:t>, 269 F.3d 270, 301–02 (3d Cir. 2001). As our sister court, the Sixth Circuit has stated in a reverse confusion case:</w:t>
      </w:r>
    </w:p>
    <w:p w14:paraId="46B397BB" w14:textId="77777777" w:rsidR="00BA1C68" w:rsidRPr="007F0427" w:rsidRDefault="00BA1C68" w:rsidP="00BA1C68">
      <w:pPr>
        <w:pStyle w:val="Blockquote"/>
        <w:rPr>
          <w:rFonts w:ascii="Georgia" w:hAnsi="Georgia"/>
        </w:rPr>
      </w:pPr>
      <w:r w:rsidRPr="007F0427">
        <w:rPr>
          <w:rFonts w:ascii="Georgia" w:hAnsi="Georgia"/>
        </w:rPr>
        <w:t>[t]he public comes to assume the senior user’s products are really the junior user’s or that the former has become somehow connected to the latter. The result is that the senior user loses the value of the trademark—its product identity, corporate identity, control over its goodwill and reputation, and ability to move into new markets.</w:t>
      </w:r>
    </w:p>
    <w:p w14:paraId="72D0C3D6" w14:textId="77777777" w:rsidR="00BA1C68" w:rsidRPr="007F0427" w:rsidRDefault="00BA1C68" w:rsidP="00BA1C68">
      <w:pPr>
        <w:pStyle w:val="NormalNoIndent"/>
        <w:rPr>
          <w:rFonts w:ascii="Georgia" w:hAnsi="Georgia"/>
        </w:rPr>
      </w:pPr>
      <w:r w:rsidRPr="007F0427">
        <w:rPr>
          <w:rFonts w:ascii="Georgia" w:hAnsi="Georgia"/>
          <w:i/>
          <w:iCs/>
        </w:rPr>
        <w:t>Ameritech, Inc. v. Am. Info. Techs. Corp.</w:t>
      </w:r>
      <w:r w:rsidRPr="007F0427">
        <w:rPr>
          <w:rFonts w:ascii="Georgia" w:hAnsi="Georgia"/>
        </w:rPr>
        <w:t xml:space="preserve">, 811 F.2d 960, 964 (6th Cir. 1987). In this case, </w:t>
      </w:r>
      <w:proofErr w:type="spellStart"/>
      <w:r w:rsidRPr="007F0427">
        <w:rPr>
          <w:rFonts w:ascii="Georgia" w:hAnsi="Georgia"/>
        </w:rPr>
        <w:t>Wreal</w:t>
      </w:r>
      <w:proofErr w:type="spellEnd"/>
      <w:r w:rsidRPr="007F0427">
        <w:rPr>
          <w:rFonts w:ascii="Georgia" w:hAnsi="Georgia"/>
        </w:rPr>
        <w:t xml:space="preserve"> contends that “Amazon’s use of </w:t>
      </w:r>
      <w:proofErr w:type="spellStart"/>
      <w:r w:rsidRPr="007F0427">
        <w:rPr>
          <w:rFonts w:ascii="Georgia" w:hAnsi="Georgia"/>
        </w:rPr>
        <w:t>Wreal’s</w:t>
      </w:r>
      <w:proofErr w:type="spellEnd"/>
      <w:r w:rsidRPr="007F0427">
        <w:rPr>
          <w:rFonts w:ascii="Georgia" w:hAnsi="Georgia"/>
        </w:rPr>
        <w:t xml:space="preserve"> mark creates a likelihood that consumers will believe that Amazon is the </w:t>
      </w:r>
      <w:r w:rsidRPr="007F0427">
        <w:rPr>
          <w:rFonts w:ascii="Georgia" w:hAnsi="Georgia"/>
          <w:i/>
          <w:iCs/>
        </w:rPr>
        <w:t>source</w:t>
      </w:r>
      <w:r w:rsidRPr="007F0427">
        <w:rPr>
          <w:rFonts w:ascii="Georgia" w:hAnsi="Georgia"/>
        </w:rPr>
        <w:t xml:space="preserve"> of </w:t>
      </w:r>
      <w:proofErr w:type="spellStart"/>
      <w:r w:rsidRPr="007F0427">
        <w:rPr>
          <w:rFonts w:ascii="Georgia" w:hAnsi="Georgia"/>
        </w:rPr>
        <w:t>Wreal’s</w:t>
      </w:r>
      <w:proofErr w:type="spellEnd"/>
      <w:r w:rsidRPr="007F0427">
        <w:rPr>
          <w:rFonts w:ascii="Georgia" w:hAnsi="Georgia"/>
        </w:rPr>
        <w:t xml:space="preserve"> </w:t>
      </w:r>
      <w:proofErr w:type="spellStart"/>
      <w:r w:rsidRPr="007F0427">
        <w:rPr>
          <w:rFonts w:ascii="Georgia" w:hAnsi="Georgia"/>
        </w:rPr>
        <w:t>FyreTV</w:t>
      </w:r>
      <w:proofErr w:type="spellEnd"/>
      <w:r w:rsidRPr="007F0427">
        <w:rPr>
          <w:rFonts w:ascii="Georgia" w:hAnsi="Georgia"/>
        </w:rPr>
        <w:t xml:space="preserve"> service.” </w:t>
      </w:r>
    </w:p>
    <w:p w14:paraId="4DF5DFF4" w14:textId="15F72C43" w:rsidR="00BA1C68" w:rsidRPr="007F0427" w:rsidRDefault="00BA1C68" w:rsidP="00BA1C68">
      <w:pPr>
        <w:rPr>
          <w:rFonts w:ascii="Georgia" w:hAnsi="Georgia"/>
        </w:rPr>
      </w:pPr>
      <w:bookmarkStart w:id="29" w:name="co_anchor_B112056495078_1"/>
      <w:bookmarkEnd w:id="29"/>
      <w:r w:rsidRPr="007F0427">
        <w:rPr>
          <w:rFonts w:ascii="Georgia" w:hAnsi="Georgia"/>
        </w:rPr>
        <w:t>With these principles in mind, we turn to the seven-factor test for likelihood of confusion and analyze each of the factors and their application in a reverse-confusion case</w:t>
      </w:r>
      <w:proofErr w:type="gramStart"/>
      <w:r w:rsidRPr="007F0427">
        <w:rPr>
          <w:rFonts w:ascii="Georgia" w:hAnsi="Georgia"/>
        </w:rPr>
        <w:t>. . . .</w:t>
      </w:r>
      <w:bookmarkStart w:id="30" w:name="co_anchor_I40735c31fcf211ecb4fdd6112f0b9"/>
      <w:bookmarkEnd w:id="30"/>
      <w:proofErr w:type="gramEnd"/>
    </w:p>
    <w:p w14:paraId="6C9D6D2D" w14:textId="77777777" w:rsidR="00BA1C68" w:rsidRPr="007F0427" w:rsidRDefault="00BA1C68" w:rsidP="00BA1C68">
      <w:pPr>
        <w:rPr>
          <w:rFonts w:ascii="Georgia" w:hAnsi="Georgia"/>
          <w:b/>
          <w:bCs/>
        </w:rPr>
      </w:pPr>
      <w:r w:rsidRPr="007F0427">
        <w:rPr>
          <w:rFonts w:ascii="Georgia" w:hAnsi="Georgia"/>
          <w:b/>
          <w:bCs/>
        </w:rPr>
        <w:t>A. Distinctiveness of the Mark</w:t>
      </w:r>
    </w:p>
    <w:p w14:paraId="6E7259DF" w14:textId="4669C85A" w:rsidR="00BA1C68" w:rsidRPr="007F0427" w:rsidRDefault="00BA1C68" w:rsidP="00BA1C68">
      <w:pPr>
        <w:rPr>
          <w:rFonts w:ascii="Georgia" w:hAnsi="Georgia"/>
        </w:rPr>
      </w:pPr>
      <w:r w:rsidRPr="007F0427">
        <w:rPr>
          <w:rFonts w:ascii="Georgia" w:hAnsi="Georgia"/>
        </w:rPr>
        <w:t>In the typical forward-confusion case, this factor focuses only on the conceptual strength of the plaintiff’s mark.</w:t>
      </w:r>
      <w:bookmarkStart w:id="31" w:name="co_fnRef_B00112056495078_ID0ECZCI_1"/>
      <w:bookmarkEnd w:id="31"/>
      <w:r w:rsidRPr="007F0427">
        <w:rPr>
          <w:rFonts w:ascii="Georgia" w:hAnsi="Georgia"/>
        </w:rPr>
        <w:t xml:space="preserve"> </w:t>
      </w:r>
      <w:r w:rsidRPr="007F0427">
        <w:rPr>
          <w:rFonts w:ascii="Georgia" w:hAnsi="Georgia"/>
          <w:i/>
          <w:iCs/>
        </w:rPr>
        <w:t xml:space="preserve">See </w:t>
      </w:r>
      <w:proofErr w:type="spellStart"/>
      <w:r w:rsidRPr="007F0427">
        <w:rPr>
          <w:rFonts w:ascii="Georgia" w:hAnsi="Georgia"/>
          <w:i/>
          <w:iCs/>
        </w:rPr>
        <w:t>Frehling</w:t>
      </w:r>
      <w:proofErr w:type="spellEnd"/>
      <w:r w:rsidRPr="007F0427">
        <w:rPr>
          <w:rFonts w:ascii="Georgia" w:hAnsi="Georgia"/>
          <w:i/>
          <w:iCs/>
        </w:rPr>
        <w:t xml:space="preserve"> Enters., Inc. v. Int’l Select Grp., Inc.</w:t>
      </w:r>
      <w:r w:rsidRPr="007F0427">
        <w:rPr>
          <w:rFonts w:ascii="Georgia" w:hAnsi="Georgia"/>
        </w:rPr>
        <w:t xml:space="preserve">, 192 F.3d 1330, 1335 (11th Cir. 1999) (“Classifying the type of mark Plaintiff has determines whether it is strong or weak.”). This is because in a forward-confusion case, the plaintiff’s theory is that the defendant—a newer user of the mark at issue—is attempting to profit off the plaintiff’s goodwill and reputation. And here, the district court did assess the conceptual strength of </w:t>
      </w:r>
      <w:proofErr w:type="spellStart"/>
      <w:r w:rsidRPr="007F0427">
        <w:rPr>
          <w:rFonts w:ascii="Georgia" w:hAnsi="Georgia"/>
        </w:rPr>
        <w:t>Wreal’s</w:t>
      </w:r>
      <w:proofErr w:type="spellEnd"/>
      <w:r w:rsidRPr="007F0427">
        <w:rPr>
          <w:rFonts w:ascii="Georgia" w:hAnsi="Georgia"/>
        </w:rPr>
        <w:t xml:space="preserve"> “</w:t>
      </w:r>
      <w:proofErr w:type="spellStart"/>
      <w:r w:rsidRPr="007F0427">
        <w:rPr>
          <w:rFonts w:ascii="Georgia" w:hAnsi="Georgia"/>
        </w:rPr>
        <w:t>FyreTV</w:t>
      </w:r>
      <w:proofErr w:type="spellEnd"/>
      <w:r w:rsidRPr="007F0427">
        <w:rPr>
          <w:rFonts w:ascii="Georgia" w:hAnsi="Georgia"/>
        </w:rPr>
        <w:t>” mark and found it distinctive and strong.</w:t>
      </w:r>
    </w:p>
    <w:p w14:paraId="33EEAA09" w14:textId="6337FF82" w:rsidR="00BA1C68" w:rsidRPr="007F0427" w:rsidRDefault="00BA1C68" w:rsidP="00BA1C68">
      <w:pPr>
        <w:rPr>
          <w:rFonts w:ascii="Georgia" w:hAnsi="Georgia"/>
        </w:rPr>
      </w:pPr>
      <w:bookmarkStart w:id="32" w:name="co_footnote_B00112056495078_1"/>
      <w:bookmarkStart w:id="33" w:name="co_pp_sp_999_7_1"/>
      <w:bookmarkStart w:id="34" w:name="co_anchor_B122056495078_1"/>
      <w:bookmarkStart w:id="35" w:name="co_anchor_B132056495078_1"/>
      <w:bookmarkEnd w:id="32"/>
      <w:bookmarkEnd w:id="33"/>
      <w:bookmarkEnd w:id="34"/>
      <w:bookmarkEnd w:id="35"/>
      <w:r w:rsidRPr="007F0427">
        <w:rPr>
          <w:rFonts w:ascii="Georgia" w:hAnsi="Georgia"/>
        </w:rPr>
        <w:t xml:space="preserve">But in a reverse-confusion case, the plaintiff is not arguing that the defendant is attempting to profit off the plaintiff’s goodwill. Rather, the plaintiff asserts that </w:t>
      </w:r>
      <w:r w:rsidRPr="007F0427">
        <w:rPr>
          <w:rFonts w:ascii="Georgia" w:hAnsi="Georgia"/>
        </w:rPr>
        <w:lastRenderedPageBreak/>
        <w:t xml:space="preserve">the defendant—the junior but more powerful mark user—has been able to commercially overwhelm the market and saturate the public conscience with its own use of the mark, thereby weakening and diminishing the value of the senior user’s mark. </w:t>
      </w:r>
      <w:r w:rsidRPr="007F0427">
        <w:rPr>
          <w:rFonts w:ascii="Georgia" w:hAnsi="Georgia"/>
          <w:i/>
          <w:iCs/>
        </w:rPr>
        <w:t>See, e.g.</w:t>
      </w:r>
      <w:r w:rsidRPr="007F0427">
        <w:rPr>
          <w:rFonts w:ascii="Georgia" w:hAnsi="Georgia"/>
        </w:rPr>
        <w:t xml:space="preserve">, </w:t>
      </w:r>
      <w:r w:rsidRPr="007F0427">
        <w:rPr>
          <w:rFonts w:ascii="Georgia" w:hAnsi="Georgia"/>
          <w:i/>
          <w:iCs/>
        </w:rPr>
        <w:t>Checkpoint Sys.</w:t>
      </w:r>
      <w:r w:rsidRPr="007F0427">
        <w:rPr>
          <w:rFonts w:ascii="Georgia" w:hAnsi="Georgia"/>
        </w:rPr>
        <w:t xml:space="preserve">, 269 F.3d at 302–03. Thus, in this situation, the conceptual strength of the plaintiff’s mark is necessarily less important to the analysis. </w:t>
      </w:r>
      <w:r w:rsidRPr="007F0427">
        <w:rPr>
          <w:rFonts w:ascii="Georgia" w:hAnsi="Georgia"/>
          <w:i/>
          <w:iCs/>
        </w:rPr>
        <w:t xml:space="preserve">See Com. </w:t>
      </w:r>
      <w:proofErr w:type="spellStart"/>
      <w:r w:rsidRPr="007F0427">
        <w:rPr>
          <w:rFonts w:ascii="Georgia" w:hAnsi="Georgia"/>
          <w:i/>
          <w:iCs/>
        </w:rPr>
        <w:t>Nat’l</w:t>
      </w:r>
      <w:proofErr w:type="spellEnd"/>
      <w:r w:rsidRPr="007F0427">
        <w:rPr>
          <w:rFonts w:ascii="Georgia" w:hAnsi="Georgia"/>
          <w:i/>
          <w:iCs/>
        </w:rPr>
        <w:t xml:space="preserve"> Ins. Servs., Inc. v. Com. Ins. Agency, Inc.</w:t>
      </w:r>
      <w:r w:rsidRPr="007F0427">
        <w:rPr>
          <w:rFonts w:ascii="Georgia" w:hAnsi="Georgia"/>
        </w:rPr>
        <w:t xml:space="preserve">, 214 F.3d 432, 444 (3d Cir. 2000) (noting that “it is the strength of the larger, junior user’s mark which results in reverse confusion”). Accordingly, when assessing the distinctiveness of the mark in a reverse-confusion case, the district court should consider both the conceptual strength of the plaintiff’s mark and the relative commercial strength of the defendant’s mark. </w:t>
      </w:r>
      <w:r w:rsidRPr="007F0427">
        <w:rPr>
          <w:rFonts w:ascii="Georgia" w:hAnsi="Georgia"/>
          <w:i/>
          <w:iCs/>
        </w:rPr>
        <w:t>See</w:t>
      </w:r>
      <w:r w:rsidRPr="007F0427">
        <w:rPr>
          <w:rFonts w:ascii="Georgia" w:hAnsi="Georgia"/>
        </w:rPr>
        <w:t xml:space="preserve"> . . . </w:t>
      </w:r>
      <w:r w:rsidRPr="007F0427">
        <w:rPr>
          <w:rFonts w:ascii="Georgia" w:hAnsi="Georgia"/>
          <w:i/>
          <w:iCs/>
        </w:rPr>
        <w:t>A &amp; H Sportswear, Inc. v. Victoria’s Secret Stores, Inc.</w:t>
      </w:r>
      <w:r w:rsidRPr="007F0427">
        <w:rPr>
          <w:rFonts w:ascii="Georgia" w:hAnsi="Georgia"/>
        </w:rPr>
        <w:t xml:space="preserve">, 237 F.3d 198, 231 (3d Cir. 2000) (noting that a plaintiff is more likely to succeed when “pitted against a defendant with a far stronger mark” in reverse confusion cases); </w:t>
      </w:r>
      <w:r w:rsidRPr="007F0427">
        <w:rPr>
          <w:rFonts w:ascii="Georgia" w:hAnsi="Georgia"/>
          <w:i/>
          <w:iCs/>
        </w:rPr>
        <w:t>Checkpoint Sys.</w:t>
      </w:r>
      <w:r w:rsidRPr="007F0427">
        <w:rPr>
          <w:rFonts w:ascii="Georgia" w:hAnsi="Georgia"/>
        </w:rPr>
        <w:t>, 269 F.3d at 303 (“But in a reverse confusion situation, the senior user’s claim may be strengthened by a showing that the junior user’s mark is commercially relatively strong. The greater relative strength of the junior mark allows the junior user to ‘overwhelm’ the marketplace, diminishing the value of the senior user’s mark.</w:t>
      </w:r>
      <w:proofErr w:type="gramStart"/>
      <w:r w:rsidRPr="007F0427">
        <w:rPr>
          <w:rFonts w:ascii="Georgia" w:hAnsi="Georgia"/>
        </w:rPr>
        <w:t>”). . .</w:t>
      </w:r>
      <w:proofErr w:type="gramEnd"/>
      <w:r w:rsidRPr="007F0427">
        <w:rPr>
          <w:rFonts w:ascii="Georgia" w:hAnsi="Georgia"/>
        </w:rPr>
        <w:t> .</w:t>
      </w:r>
    </w:p>
    <w:p w14:paraId="65FDF601" w14:textId="7651FDC2" w:rsidR="00BA1C68" w:rsidRPr="007F0427" w:rsidRDefault="00BA1C68" w:rsidP="00BA1C68">
      <w:pPr>
        <w:rPr>
          <w:rFonts w:ascii="Georgia" w:hAnsi="Georgia"/>
        </w:rPr>
      </w:pPr>
      <w:r w:rsidRPr="007F0427">
        <w:rPr>
          <w:rFonts w:ascii="Georgia" w:hAnsi="Georgia"/>
        </w:rPr>
        <w:t xml:space="preserve">Here, the district court did not consider the commercial strength of Amazon’s mark because it found that </w:t>
      </w:r>
      <w:proofErr w:type="spellStart"/>
      <w:r w:rsidRPr="007F0427">
        <w:rPr>
          <w:rFonts w:ascii="Georgia" w:hAnsi="Georgia"/>
        </w:rPr>
        <w:t>Wreal</w:t>
      </w:r>
      <w:proofErr w:type="spellEnd"/>
      <w:r w:rsidRPr="007F0427">
        <w:rPr>
          <w:rFonts w:ascii="Georgia" w:hAnsi="Georgia"/>
        </w:rPr>
        <w:t xml:space="preserve"> waived the argument by failing to raise it in its response to Amazon’s motion for summary judgment and instead raised it for the first time in its objections to the magistrate judge’s report and recommendation</w:t>
      </w:r>
      <w:bookmarkStart w:id="36" w:name="co_fnRef_B00122056495078_ID0E3CDI_1"/>
      <w:bookmarkEnd w:id="36"/>
      <w:r w:rsidRPr="007F0427">
        <w:rPr>
          <w:rFonts w:ascii="Georgia" w:hAnsi="Georgia"/>
        </w:rPr>
        <w:t>.</w:t>
      </w:r>
      <w:r w:rsidRPr="007F0427">
        <w:rPr>
          <w:rStyle w:val="FootnoteReference"/>
          <w:rFonts w:ascii="Georgia" w:hAnsi="Georgia"/>
        </w:rPr>
        <w:footnoteReference w:customMarkFollows="1" w:id="8"/>
        <w:t>12</w:t>
      </w:r>
      <w:r w:rsidRPr="007F0427">
        <w:rPr>
          <w:rFonts w:ascii="Georgia" w:hAnsi="Georgia"/>
        </w:rPr>
        <w:t xml:space="preserve"> The district court erred in that finding. At the summary judgement stage, it was Amazon’s burden, as the movant, to show that it was entitled to judgment as a matter of law, and the parties cannot “waive the application of the correct law or stipulate to an incorrect legal test.” </w:t>
      </w:r>
      <w:r w:rsidRPr="007F0427">
        <w:rPr>
          <w:rFonts w:ascii="Georgia" w:hAnsi="Georgia"/>
          <w:i/>
          <w:iCs/>
        </w:rPr>
        <w:t xml:space="preserve">Jefferson v. </w:t>
      </w:r>
      <w:proofErr w:type="spellStart"/>
      <w:r w:rsidRPr="007F0427">
        <w:rPr>
          <w:rFonts w:ascii="Georgia" w:hAnsi="Georgia"/>
          <w:i/>
          <w:iCs/>
        </w:rPr>
        <w:t>Sewon</w:t>
      </w:r>
      <w:proofErr w:type="spellEnd"/>
      <w:r w:rsidRPr="007F0427">
        <w:rPr>
          <w:rFonts w:ascii="Georgia" w:hAnsi="Georgia"/>
          <w:i/>
          <w:iCs/>
        </w:rPr>
        <w:t xml:space="preserve"> Am., Inc.</w:t>
      </w:r>
      <w:r w:rsidRPr="007F0427">
        <w:rPr>
          <w:rFonts w:ascii="Georgia" w:hAnsi="Georgia"/>
        </w:rPr>
        <w:t>, 891 F.3d 911, 923 (11th Cir. 2018).</w:t>
      </w:r>
    </w:p>
    <w:p w14:paraId="5AD3834A" w14:textId="4280EC05" w:rsidR="00BA1C68" w:rsidRPr="007F0427" w:rsidRDefault="00BA1C68" w:rsidP="00BA1C68">
      <w:pPr>
        <w:rPr>
          <w:rFonts w:ascii="Georgia" w:hAnsi="Georgia"/>
        </w:rPr>
      </w:pPr>
      <w:bookmarkStart w:id="37" w:name="co_footnote_B00122056495078_1"/>
      <w:bookmarkStart w:id="38" w:name="co_anchor_B152056495078_1"/>
      <w:bookmarkEnd w:id="37"/>
      <w:bookmarkEnd w:id="38"/>
      <w:r w:rsidRPr="007F0427">
        <w:rPr>
          <w:rFonts w:ascii="Georgia" w:hAnsi="Georgia"/>
        </w:rPr>
        <w:t xml:space="preserve">The commercial strength of Amazon’s mark is manifest and appears in the record. Amazon admitted in its answer that the </w:t>
      </w:r>
      <w:proofErr w:type="spellStart"/>
      <w:r w:rsidRPr="007F0427">
        <w:rPr>
          <w:rFonts w:ascii="Georgia" w:hAnsi="Georgia"/>
        </w:rPr>
        <w:t>fireTV</w:t>
      </w:r>
      <w:proofErr w:type="spellEnd"/>
      <w:r w:rsidRPr="007F0427">
        <w:rPr>
          <w:rFonts w:ascii="Georgia" w:hAnsi="Georgia"/>
        </w:rPr>
        <w:t xml:space="preserve"> was launched with a major advertising campaign, was covered by major magazines and television networks, and that it was a bestseller. Amazon also admits that it advertises the </w:t>
      </w:r>
      <w:proofErr w:type="spellStart"/>
      <w:r w:rsidRPr="007F0427">
        <w:rPr>
          <w:rFonts w:ascii="Georgia" w:hAnsi="Georgia"/>
        </w:rPr>
        <w:t>fireTV</w:t>
      </w:r>
      <w:proofErr w:type="spellEnd"/>
      <w:r w:rsidRPr="007F0427">
        <w:rPr>
          <w:rFonts w:ascii="Georgia" w:hAnsi="Georgia"/>
        </w:rPr>
        <w:t xml:space="preserve"> in multiple brick-and-mortar locations, as well as on amazon.com, one of the most visited online shopping sites in the United States. In short, Amazon’s overwhelming commercial success with the </w:t>
      </w:r>
      <w:proofErr w:type="spellStart"/>
      <w:r w:rsidRPr="007F0427">
        <w:rPr>
          <w:rFonts w:ascii="Georgia" w:hAnsi="Georgia"/>
        </w:rPr>
        <w:t>fireTV</w:t>
      </w:r>
      <w:proofErr w:type="spellEnd"/>
      <w:r w:rsidRPr="007F0427">
        <w:rPr>
          <w:rFonts w:ascii="Georgia" w:hAnsi="Georgia"/>
        </w:rPr>
        <w:t xml:space="preserve"> mark, coupled with the conceptual strength of </w:t>
      </w:r>
      <w:proofErr w:type="spellStart"/>
      <w:r w:rsidRPr="007F0427">
        <w:rPr>
          <w:rFonts w:ascii="Georgia" w:hAnsi="Georgia"/>
        </w:rPr>
        <w:t>Wreal’s</w:t>
      </w:r>
      <w:proofErr w:type="spellEnd"/>
      <w:r w:rsidRPr="007F0427">
        <w:rPr>
          <w:rFonts w:ascii="Georgia" w:hAnsi="Georgia"/>
        </w:rPr>
        <w:t xml:space="preserve"> mark, pushes this factor firmly in </w:t>
      </w:r>
      <w:proofErr w:type="spellStart"/>
      <w:r w:rsidRPr="007F0427">
        <w:rPr>
          <w:rFonts w:ascii="Georgia" w:hAnsi="Georgia"/>
        </w:rPr>
        <w:t>Wreal’s</w:t>
      </w:r>
      <w:proofErr w:type="spellEnd"/>
      <w:r w:rsidRPr="007F0427">
        <w:rPr>
          <w:rFonts w:ascii="Georgia" w:hAnsi="Georgia"/>
        </w:rPr>
        <w:t xml:space="preserve"> favor.</w:t>
      </w:r>
      <w:bookmarkStart w:id="39" w:name="co_anchor_I4078b361fcf211ecb4fdd6112f0b9"/>
      <w:bookmarkEnd w:id="39"/>
    </w:p>
    <w:p w14:paraId="7F60A28B" w14:textId="77777777" w:rsidR="00BA1C68" w:rsidRPr="007F0427" w:rsidRDefault="00BA1C68" w:rsidP="00BA1C68">
      <w:pPr>
        <w:rPr>
          <w:rFonts w:ascii="Georgia" w:hAnsi="Georgia"/>
          <w:b/>
          <w:bCs/>
        </w:rPr>
      </w:pPr>
      <w:r w:rsidRPr="007F0427">
        <w:rPr>
          <w:rFonts w:ascii="Georgia" w:hAnsi="Georgia"/>
          <w:b/>
          <w:bCs/>
        </w:rPr>
        <w:lastRenderedPageBreak/>
        <w:t>B. Similarity of the Marks</w:t>
      </w:r>
    </w:p>
    <w:p w14:paraId="3948A795" w14:textId="66EB4F0F" w:rsidR="00BA1C68" w:rsidRPr="007F0427" w:rsidRDefault="00BA1C68" w:rsidP="00BA1C68">
      <w:pPr>
        <w:rPr>
          <w:rFonts w:ascii="Georgia" w:hAnsi="Georgia"/>
        </w:rPr>
      </w:pPr>
      <w:bookmarkStart w:id="40" w:name="co_anchor_B162056495078_1"/>
      <w:bookmarkStart w:id="41" w:name="co_anchor_B172056495078_1"/>
      <w:bookmarkEnd w:id="40"/>
      <w:bookmarkEnd w:id="41"/>
      <w:r w:rsidRPr="007F0427">
        <w:rPr>
          <w:rFonts w:ascii="Georgia" w:hAnsi="Georgia"/>
        </w:rPr>
        <w:t xml:space="preserve">The similarity-of-the-marks analysis is, with one exception related to </w:t>
      </w:r>
      <w:proofErr w:type="spellStart"/>
      <w:r w:rsidRPr="007F0427">
        <w:rPr>
          <w:rFonts w:ascii="Georgia" w:hAnsi="Georgia"/>
        </w:rPr>
        <w:t>housemarks</w:t>
      </w:r>
      <w:proofErr w:type="spellEnd"/>
      <w:r w:rsidRPr="007F0427">
        <w:rPr>
          <w:rFonts w:ascii="Georgia" w:hAnsi="Georgia"/>
        </w:rPr>
        <w:t xml:space="preserve"> noted below, the same in both forward-confusion and reverse-confusion cases. We compare “the marks and </w:t>
      </w:r>
      <w:proofErr w:type="gramStart"/>
      <w:r w:rsidRPr="007F0427">
        <w:rPr>
          <w:rFonts w:ascii="Georgia" w:hAnsi="Georgia"/>
        </w:rPr>
        <w:t>consider[</w:t>
      </w:r>
      <w:proofErr w:type="gramEnd"/>
      <w:r w:rsidRPr="007F0427">
        <w:rPr>
          <w:rFonts w:ascii="Georgia" w:hAnsi="Georgia"/>
        </w:rPr>
        <w:t xml:space="preserve"> ] the overall impressions that the marks create, including the sound, appearance, and manner in which they are used.” </w:t>
      </w:r>
      <w:proofErr w:type="spellStart"/>
      <w:r w:rsidRPr="007F0427">
        <w:rPr>
          <w:rFonts w:ascii="Georgia" w:hAnsi="Georgia"/>
          <w:i/>
          <w:iCs/>
        </w:rPr>
        <w:t>Frehling</w:t>
      </w:r>
      <w:proofErr w:type="spellEnd"/>
      <w:r w:rsidRPr="007F0427">
        <w:rPr>
          <w:rFonts w:ascii="Georgia" w:hAnsi="Georgia"/>
        </w:rPr>
        <w:t xml:space="preserve">, 192 F.3d at 1337. In doing so, we determine similarity based on “the total effect of the designation, rather than on a comparison of individual features.” </w:t>
      </w:r>
      <w:r w:rsidRPr="007F0427">
        <w:rPr>
          <w:rFonts w:ascii="Georgia" w:hAnsi="Georgia"/>
          <w:i/>
          <w:iCs/>
        </w:rPr>
        <w:t>Amstar Corp. v. Domino’s Pizza,</w:t>
      </w:r>
      <w:r w:rsidRPr="007F0427">
        <w:rPr>
          <w:rFonts w:ascii="Georgia" w:hAnsi="Georgia"/>
        </w:rPr>
        <w:t xml:space="preserve"> </w:t>
      </w:r>
      <w:r w:rsidRPr="007F0427">
        <w:rPr>
          <w:rFonts w:ascii="Georgia" w:hAnsi="Georgia"/>
          <w:i/>
          <w:iCs/>
        </w:rPr>
        <w:t>Inc.</w:t>
      </w:r>
      <w:r w:rsidRPr="007F0427">
        <w:rPr>
          <w:rFonts w:ascii="Georgia" w:hAnsi="Georgia"/>
        </w:rPr>
        <w:t xml:space="preserve">, 615 F.2d 252, 260–61 (5th Cir. </w:t>
      </w:r>
      <w:proofErr w:type="gramStart"/>
      <w:r w:rsidRPr="007F0427">
        <w:rPr>
          <w:rFonts w:ascii="Georgia" w:hAnsi="Georgia"/>
        </w:rPr>
        <w:t>1980).</w:t>
      </w:r>
      <w:bookmarkStart w:id="42" w:name="co_fnRef_B00132056495078_ID0EFIDI_1"/>
      <w:bookmarkEnd w:id="42"/>
      <w:r w:rsidRPr="007F0427">
        <w:rPr>
          <w:rFonts w:ascii="Georgia" w:hAnsi="Georgia"/>
        </w:rPr>
        <w:t> . .</w:t>
      </w:r>
      <w:proofErr w:type="gramEnd"/>
      <w:r w:rsidRPr="007F0427">
        <w:rPr>
          <w:rFonts w:ascii="Georgia" w:hAnsi="Georgia"/>
        </w:rPr>
        <w:t xml:space="preserve"> . Similarity in any of these elements—appearance, sound, connotation, and commercial impression—may be sufficient to find the marks similar. </w:t>
      </w:r>
      <w:r w:rsidRPr="007F0427">
        <w:rPr>
          <w:rFonts w:ascii="Georgia" w:hAnsi="Georgia"/>
          <w:i/>
          <w:iCs/>
        </w:rPr>
        <w:t>See Stone Lion Cap. Partners, L.P. v. Lion Capital LLP</w:t>
      </w:r>
      <w:r w:rsidRPr="007F0427">
        <w:rPr>
          <w:rFonts w:ascii="Georgia" w:hAnsi="Georgia"/>
        </w:rPr>
        <w:t>, 746 F.3d 1317, 1321 (Fed. Cir. 2014).</w:t>
      </w:r>
    </w:p>
    <w:p w14:paraId="3351C6FC" w14:textId="6C44EB15" w:rsidR="00BA1C68" w:rsidRPr="007F0427" w:rsidRDefault="00BA1C68" w:rsidP="00BA1C68">
      <w:pPr>
        <w:rPr>
          <w:rFonts w:ascii="Georgia" w:hAnsi="Georgia"/>
        </w:rPr>
      </w:pPr>
      <w:bookmarkStart w:id="43" w:name="co_footnote_B00132056495078_1"/>
      <w:bookmarkEnd w:id="43"/>
      <w:r w:rsidRPr="007F0427">
        <w:rPr>
          <w:rFonts w:ascii="Georgia" w:hAnsi="Georgia"/>
        </w:rPr>
        <w:t>The district court concluded that the marks at issue—</w:t>
      </w:r>
      <w:proofErr w:type="spellStart"/>
      <w:r w:rsidRPr="007F0427">
        <w:rPr>
          <w:rFonts w:ascii="Georgia" w:hAnsi="Georgia"/>
        </w:rPr>
        <w:t>fireTV</w:t>
      </w:r>
      <w:proofErr w:type="spellEnd"/>
      <w:r w:rsidRPr="007F0427">
        <w:rPr>
          <w:rFonts w:ascii="Georgia" w:hAnsi="Georgia"/>
        </w:rPr>
        <w:t xml:space="preserve"> and </w:t>
      </w:r>
      <w:proofErr w:type="spellStart"/>
      <w:r w:rsidRPr="007F0427">
        <w:rPr>
          <w:rFonts w:ascii="Georgia" w:hAnsi="Georgia"/>
        </w:rPr>
        <w:t>FyreTV</w:t>
      </w:r>
      <w:proofErr w:type="spellEnd"/>
      <w:r w:rsidRPr="007F0427">
        <w:rPr>
          <w:rFonts w:ascii="Georgia" w:hAnsi="Georgia"/>
        </w:rPr>
        <w:t xml:space="preserve">—were not similar. It reached this conclusion mainly by focusing on the fact that the marks were spelled differently and used different fonts, as well as the fact that they were used differently in commerce. The district court also noted that one of </w:t>
      </w:r>
      <w:proofErr w:type="spellStart"/>
      <w:r w:rsidRPr="007F0427">
        <w:rPr>
          <w:rFonts w:ascii="Georgia" w:hAnsi="Georgia"/>
        </w:rPr>
        <w:t>Wreal’s</w:t>
      </w:r>
      <w:proofErr w:type="spellEnd"/>
      <w:r w:rsidRPr="007F0427">
        <w:rPr>
          <w:rFonts w:ascii="Georgia" w:hAnsi="Georgia"/>
        </w:rPr>
        <w:t xml:space="preserve"> experts, Dr. Linda Williams, testified that visitors to FyreTV.com would not confuse it with amazon.com. The inquiry under this factor, however, is the similarity of the </w:t>
      </w:r>
      <w:r w:rsidRPr="007F0427">
        <w:rPr>
          <w:rFonts w:ascii="Georgia" w:hAnsi="Georgia"/>
          <w:i/>
          <w:iCs/>
        </w:rPr>
        <w:t>marks</w:t>
      </w:r>
      <w:r w:rsidRPr="007F0427">
        <w:rPr>
          <w:rFonts w:ascii="Georgia" w:hAnsi="Georgia"/>
        </w:rPr>
        <w:t xml:space="preserve">, not the similarity of the </w:t>
      </w:r>
      <w:r w:rsidRPr="007F0427">
        <w:rPr>
          <w:rFonts w:ascii="Georgia" w:hAnsi="Georgia"/>
          <w:i/>
          <w:iCs/>
        </w:rPr>
        <w:t>services</w:t>
      </w:r>
      <w:r w:rsidRPr="007F0427">
        <w:rPr>
          <w:rFonts w:ascii="Georgia" w:hAnsi="Georgia"/>
        </w:rPr>
        <w:t xml:space="preserve"> or the similarity of the </w:t>
      </w:r>
      <w:r w:rsidRPr="007F0427">
        <w:rPr>
          <w:rFonts w:ascii="Georgia" w:hAnsi="Georgia"/>
          <w:i/>
          <w:iCs/>
        </w:rPr>
        <w:t>sales methods</w:t>
      </w:r>
      <w:r w:rsidRPr="007F0427">
        <w:rPr>
          <w:rFonts w:ascii="Georgia" w:hAnsi="Georgia"/>
        </w:rPr>
        <w:t>— each of which has their own factor and should thus be considered separately.</w:t>
      </w:r>
    </w:p>
    <w:p w14:paraId="634B92CD" w14:textId="2AFB6F67" w:rsidR="00BA1C68" w:rsidRPr="007F0427" w:rsidRDefault="00BA1C68" w:rsidP="00BA1C68">
      <w:pPr>
        <w:rPr>
          <w:rFonts w:ascii="Georgia" w:hAnsi="Georgia"/>
        </w:rPr>
      </w:pPr>
      <w:r w:rsidRPr="007F0427">
        <w:rPr>
          <w:rFonts w:ascii="Georgia" w:hAnsi="Georgia"/>
        </w:rPr>
        <w:t>When the focus is on the similarity of the marks themselves, the result is clear—</w:t>
      </w:r>
      <w:proofErr w:type="spellStart"/>
      <w:r w:rsidRPr="007F0427">
        <w:rPr>
          <w:rFonts w:ascii="Georgia" w:hAnsi="Georgia"/>
        </w:rPr>
        <w:t>FyreTV</w:t>
      </w:r>
      <w:proofErr w:type="spellEnd"/>
      <w:r w:rsidRPr="007F0427">
        <w:rPr>
          <w:rFonts w:ascii="Georgia" w:hAnsi="Georgia"/>
        </w:rPr>
        <w:t xml:space="preserve"> and </w:t>
      </w:r>
      <w:proofErr w:type="spellStart"/>
      <w:r w:rsidRPr="007F0427">
        <w:rPr>
          <w:rFonts w:ascii="Georgia" w:hAnsi="Georgia"/>
        </w:rPr>
        <w:t>fireTV</w:t>
      </w:r>
      <w:proofErr w:type="spellEnd"/>
      <w:r w:rsidRPr="007F0427">
        <w:rPr>
          <w:rFonts w:ascii="Georgia" w:hAnsi="Georgia"/>
        </w:rPr>
        <w:t xml:space="preserve"> are nearly identical. “Fire” is the first and only dominant word in both marks, and it is presented in a phonetically and connotatively identical fashion. It is also an abstract term, and thus the only term in either mark that gives the mark meaning. </w:t>
      </w:r>
      <w:r w:rsidRPr="007F0427">
        <w:rPr>
          <w:rFonts w:ascii="Georgia" w:hAnsi="Georgia"/>
          <w:i/>
          <w:iCs/>
        </w:rPr>
        <w:t xml:space="preserve">See Palm Bay Imps., Inc. v. Veuve </w:t>
      </w:r>
      <w:proofErr w:type="spellStart"/>
      <w:r w:rsidRPr="007F0427">
        <w:rPr>
          <w:rFonts w:ascii="Georgia" w:hAnsi="Georgia"/>
          <w:i/>
          <w:iCs/>
        </w:rPr>
        <w:t>Clicquot</w:t>
      </w:r>
      <w:proofErr w:type="spellEnd"/>
      <w:r w:rsidRPr="007F0427">
        <w:rPr>
          <w:rFonts w:ascii="Georgia" w:hAnsi="Georgia"/>
          <w:i/>
          <w:iCs/>
        </w:rPr>
        <w:t xml:space="preserve"> </w:t>
      </w:r>
      <w:proofErr w:type="spellStart"/>
      <w:r w:rsidRPr="007F0427">
        <w:rPr>
          <w:rFonts w:ascii="Georgia" w:hAnsi="Georgia"/>
          <w:i/>
          <w:iCs/>
        </w:rPr>
        <w:t>Ponsardin</w:t>
      </w:r>
      <w:proofErr w:type="spellEnd"/>
      <w:r w:rsidRPr="007F0427">
        <w:rPr>
          <w:rFonts w:ascii="Georgia" w:hAnsi="Georgia"/>
          <w:i/>
          <w:iCs/>
        </w:rPr>
        <w:t xml:space="preserve"> Maison </w:t>
      </w:r>
      <w:proofErr w:type="spellStart"/>
      <w:r w:rsidRPr="007F0427">
        <w:rPr>
          <w:rFonts w:ascii="Georgia" w:hAnsi="Georgia"/>
          <w:i/>
          <w:iCs/>
        </w:rPr>
        <w:t>Fondee</w:t>
      </w:r>
      <w:proofErr w:type="spellEnd"/>
      <w:r w:rsidRPr="007F0427">
        <w:rPr>
          <w:rFonts w:ascii="Georgia" w:hAnsi="Georgia"/>
          <w:i/>
          <w:iCs/>
        </w:rPr>
        <w:t xml:space="preserve"> </w:t>
      </w:r>
      <w:proofErr w:type="spellStart"/>
      <w:r w:rsidRPr="007F0427">
        <w:rPr>
          <w:rFonts w:ascii="Georgia" w:hAnsi="Georgia"/>
          <w:i/>
          <w:iCs/>
        </w:rPr>
        <w:t>en</w:t>
      </w:r>
      <w:proofErr w:type="spellEnd"/>
      <w:r w:rsidRPr="007F0427">
        <w:rPr>
          <w:rFonts w:ascii="Georgia" w:hAnsi="Georgia"/>
          <w:i/>
          <w:iCs/>
        </w:rPr>
        <w:t xml:space="preserve"> 1772</w:t>
      </w:r>
      <w:r w:rsidRPr="007F0427">
        <w:rPr>
          <w:rFonts w:ascii="Georgia" w:hAnsi="Georgia"/>
        </w:rPr>
        <w:t xml:space="preserve">, 396 F.3d 1369, 1372 (Fed. Cir. 2005) (finding similarity between “VEUVE ROYALE” and “VEUVE CLICQUOT” because “VEUVE . . .  remains a ‘prominent feature’ as the first word in the mark and the first word to appear on the label”); </w:t>
      </w:r>
      <w:r w:rsidRPr="007F0427">
        <w:rPr>
          <w:rFonts w:ascii="Georgia" w:hAnsi="Georgia"/>
          <w:i/>
          <w:iCs/>
        </w:rPr>
        <w:t>Century 21 Real Estate Corp. v. Century Life of Am.</w:t>
      </w:r>
      <w:r w:rsidRPr="007F0427">
        <w:rPr>
          <w:rFonts w:ascii="Georgia" w:hAnsi="Georgia"/>
        </w:rPr>
        <w:t xml:space="preserve">, 970 F.2d 874, 876 (Fed Cir. 1992) (finding similarity between “CENTURY 21” and “CENTURY LIFE OF AMERICA” in part because “consumers must first notice </w:t>
      </w:r>
      <w:proofErr w:type="spellStart"/>
      <w:r w:rsidRPr="007F0427">
        <w:rPr>
          <w:rFonts w:ascii="Georgia" w:hAnsi="Georgia"/>
        </w:rPr>
        <w:t>th</w:t>
      </w:r>
      <w:proofErr w:type="spellEnd"/>
      <w:r w:rsidRPr="007F0427">
        <w:rPr>
          <w:rFonts w:ascii="Georgia" w:hAnsi="Georgia"/>
        </w:rPr>
        <w:t>[e] identical lead word</w:t>
      </w:r>
      <w:proofErr w:type="gramStart"/>
      <w:r w:rsidRPr="007F0427">
        <w:rPr>
          <w:rFonts w:ascii="Georgia" w:hAnsi="Georgia"/>
        </w:rPr>
        <w:t>”). . .</w:t>
      </w:r>
      <w:proofErr w:type="gramEnd"/>
      <w:r w:rsidRPr="007F0427">
        <w:rPr>
          <w:rFonts w:ascii="Georgia" w:hAnsi="Georgia"/>
        </w:rPr>
        <w:t xml:space="preserve"> . By contrast, the secondary word in the marks—”TV”—is merely descriptive of or generic for the goods and services sold—i.e., streaming services. </w:t>
      </w:r>
      <w:r w:rsidRPr="007F0427">
        <w:rPr>
          <w:rFonts w:ascii="Georgia" w:hAnsi="Georgia"/>
          <w:i/>
          <w:iCs/>
        </w:rPr>
        <w:t xml:space="preserve">See </w:t>
      </w:r>
      <w:proofErr w:type="spellStart"/>
      <w:r w:rsidRPr="007F0427">
        <w:rPr>
          <w:rFonts w:ascii="Georgia" w:hAnsi="Georgia"/>
          <w:i/>
          <w:iCs/>
        </w:rPr>
        <w:t>Frehling</w:t>
      </w:r>
      <w:proofErr w:type="spellEnd"/>
      <w:r w:rsidRPr="007F0427">
        <w:rPr>
          <w:rFonts w:ascii="Georgia" w:hAnsi="Georgia"/>
        </w:rPr>
        <w:t>, 192 F.3d at 1337 (noting that “a mark may be surrounded by additional words of lesser importance and not have its strength diluted”).</w:t>
      </w:r>
    </w:p>
    <w:p w14:paraId="654BB9D5" w14:textId="0AED961E" w:rsidR="00BA1C68" w:rsidRPr="007F0427" w:rsidRDefault="00BA1C68" w:rsidP="00BA1C68">
      <w:pPr>
        <w:rPr>
          <w:rFonts w:ascii="Georgia" w:hAnsi="Georgia"/>
        </w:rPr>
      </w:pPr>
      <w:bookmarkStart w:id="44" w:name="co_anchor_B182056495078_1"/>
      <w:bookmarkEnd w:id="44"/>
      <w:r w:rsidRPr="007F0427">
        <w:rPr>
          <w:rFonts w:ascii="Georgia" w:hAnsi="Georgia"/>
        </w:rPr>
        <w:t xml:space="preserve">Moreover, the marks need not be identical, as the “purpose in considering the similarity of marks as an indicator of likelihood of confusion is that the closer the marks are, the more likely reasonable consumers will mistake the source of the product that each mark represents.” </w:t>
      </w:r>
      <w:r w:rsidRPr="007F0427">
        <w:rPr>
          <w:rFonts w:ascii="Georgia" w:hAnsi="Georgia"/>
          <w:i/>
          <w:iCs/>
        </w:rPr>
        <w:t>Id.</w:t>
      </w:r>
      <w:r w:rsidRPr="007F0427">
        <w:rPr>
          <w:rFonts w:ascii="Georgia" w:hAnsi="Georgia"/>
        </w:rPr>
        <w:t xml:space="preserve"> Thus, while “Fyre” and “fire” are spelled differently, and one is capitalized, the words have the same connotation and </w:t>
      </w:r>
      <w:r w:rsidRPr="007F0427">
        <w:rPr>
          <w:rFonts w:ascii="Georgia" w:hAnsi="Georgia"/>
        </w:rPr>
        <w:lastRenderedPageBreak/>
        <w:t>pronunciation, and the differences in font, color, and capitalization are not dispositive.</w:t>
      </w:r>
    </w:p>
    <w:p w14:paraId="252507C8" w14:textId="57A4AC41" w:rsidR="00BA1C68" w:rsidRPr="007F0427" w:rsidRDefault="00BA1C68" w:rsidP="00BA1C68">
      <w:pPr>
        <w:rPr>
          <w:rFonts w:ascii="Georgia" w:hAnsi="Georgia"/>
        </w:rPr>
      </w:pPr>
      <w:r w:rsidRPr="007F0427">
        <w:rPr>
          <w:rFonts w:ascii="Georgia" w:hAnsi="Georgia"/>
        </w:rPr>
        <w:t xml:space="preserve">The Ninth Circuit’s decision in </w:t>
      </w:r>
      <w:proofErr w:type="spellStart"/>
      <w:r w:rsidRPr="007F0427">
        <w:rPr>
          <w:rFonts w:ascii="Georgia" w:hAnsi="Georgia"/>
          <w:i/>
          <w:iCs/>
        </w:rPr>
        <w:t>Dreamwerks</w:t>
      </w:r>
      <w:proofErr w:type="spellEnd"/>
      <w:r w:rsidRPr="007F0427">
        <w:rPr>
          <w:rFonts w:ascii="Georgia" w:hAnsi="Georgia"/>
          <w:i/>
          <w:iCs/>
        </w:rPr>
        <w:t xml:space="preserve"> Production Group, Inc. v. SKG Studio</w:t>
      </w:r>
      <w:r w:rsidRPr="007F0427">
        <w:rPr>
          <w:rFonts w:ascii="Georgia" w:hAnsi="Georgia"/>
        </w:rPr>
        <w:t>, 142 F.3d 1127, 1130 (9th Cir. 1998) is instructive on this point. In that case, the court had to assess the similarity of the marks “</w:t>
      </w:r>
      <w:proofErr w:type="spellStart"/>
      <w:r w:rsidRPr="007F0427">
        <w:rPr>
          <w:rFonts w:ascii="Georgia" w:hAnsi="Georgia"/>
        </w:rPr>
        <w:t>Dreamwerks</w:t>
      </w:r>
      <w:proofErr w:type="spellEnd"/>
      <w:r w:rsidRPr="007F0427">
        <w:rPr>
          <w:rFonts w:ascii="Georgia" w:hAnsi="Georgia"/>
        </w:rPr>
        <w:t xml:space="preserve">” and “DreamWorks,” which, like the marks at issue here, utilized different spellings and capitalization. </w:t>
      </w:r>
      <w:r w:rsidRPr="007F0427">
        <w:rPr>
          <w:rFonts w:ascii="Georgia" w:hAnsi="Georgia"/>
          <w:i/>
          <w:iCs/>
        </w:rPr>
        <w:t>Id.</w:t>
      </w:r>
      <w:r w:rsidRPr="007F0427">
        <w:rPr>
          <w:rFonts w:ascii="Georgia" w:hAnsi="Georgia"/>
        </w:rPr>
        <w:t xml:space="preserve"> The Ninth Circuit concluded that the marks were similar, noting the obvious “perfect similarity of sound” and “similarity of meaning” while determining that even the similarity of sight </w:t>
      </w:r>
      <w:r w:rsidRPr="007F0427">
        <w:rPr>
          <w:rFonts w:ascii="Georgia" w:hAnsi="Georgia"/>
          <w:i/>
          <w:iCs/>
        </w:rPr>
        <w:t>also</w:t>
      </w:r>
      <w:r w:rsidRPr="007F0427">
        <w:rPr>
          <w:rFonts w:ascii="Georgia" w:hAnsi="Georgia"/>
        </w:rPr>
        <w:t xml:space="preserve"> weighed in favor of a finding of similarity, as consumers “might shrug off the difference [in spelling and capitalization] as an intentional modification.” </w:t>
      </w:r>
      <w:r w:rsidRPr="007F0427">
        <w:rPr>
          <w:rFonts w:ascii="Georgia" w:hAnsi="Georgia"/>
          <w:i/>
          <w:iCs/>
        </w:rPr>
        <w:t>Id.</w:t>
      </w:r>
      <w:r w:rsidRPr="007F0427">
        <w:rPr>
          <w:rFonts w:ascii="Georgia" w:hAnsi="Georgia"/>
        </w:rPr>
        <w:t xml:space="preserve"> at 1131. Our decision in </w:t>
      </w:r>
      <w:proofErr w:type="spellStart"/>
      <w:r w:rsidRPr="007F0427">
        <w:rPr>
          <w:rFonts w:ascii="Georgia" w:hAnsi="Georgia"/>
          <w:i/>
          <w:iCs/>
        </w:rPr>
        <w:t>Frehling</w:t>
      </w:r>
      <w:proofErr w:type="spellEnd"/>
      <w:r w:rsidRPr="007F0427">
        <w:rPr>
          <w:rFonts w:ascii="Georgia" w:hAnsi="Georgia"/>
        </w:rPr>
        <w:t xml:space="preserve"> is also instructive. There, we said that the marks “BELL’ OGGETTI” and “Tavola Collection by OGGETTI” were similar because the presence of the dominant and protected “OGGETTI” in both was likely to be confusing. </w:t>
      </w:r>
      <w:proofErr w:type="spellStart"/>
      <w:r w:rsidRPr="007F0427">
        <w:rPr>
          <w:rFonts w:ascii="Georgia" w:hAnsi="Georgia"/>
          <w:i/>
          <w:iCs/>
        </w:rPr>
        <w:t>Frehling</w:t>
      </w:r>
      <w:proofErr w:type="spellEnd"/>
      <w:r w:rsidRPr="007F0427">
        <w:rPr>
          <w:rFonts w:ascii="Georgia" w:hAnsi="Georgia"/>
        </w:rPr>
        <w:t>, 192 F.3d at 1337. Each of these conclusions applies here.</w:t>
      </w:r>
    </w:p>
    <w:p w14:paraId="18A8509C" w14:textId="63710BA8" w:rsidR="00BA1C68" w:rsidRPr="007F0427" w:rsidRDefault="00BA1C68" w:rsidP="00BA1C68">
      <w:pPr>
        <w:rPr>
          <w:rFonts w:ascii="Georgia" w:hAnsi="Georgia"/>
        </w:rPr>
      </w:pPr>
      <w:bookmarkStart w:id="45" w:name="co_anchor_B192056495078_1"/>
      <w:bookmarkEnd w:id="45"/>
      <w:r w:rsidRPr="007F0427">
        <w:rPr>
          <w:rFonts w:ascii="Georgia" w:hAnsi="Georgia"/>
        </w:rPr>
        <w:t xml:space="preserve">Amazon’s pervasive use of its “amazon” </w:t>
      </w:r>
      <w:proofErr w:type="spellStart"/>
      <w:r w:rsidRPr="007F0427">
        <w:rPr>
          <w:rFonts w:ascii="Georgia" w:hAnsi="Georgia"/>
        </w:rPr>
        <w:t>housemark</w:t>
      </w:r>
      <w:proofErr w:type="spellEnd"/>
      <w:r w:rsidRPr="007F0427">
        <w:rPr>
          <w:rFonts w:ascii="Georgia" w:hAnsi="Georgia"/>
        </w:rPr>
        <w:t xml:space="preserve"> alongside “</w:t>
      </w:r>
      <w:proofErr w:type="spellStart"/>
      <w:r w:rsidRPr="007F0427">
        <w:rPr>
          <w:rFonts w:ascii="Georgia" w:hAnsi="Georgia"/>
        </w:rPr>
        <w:t>fireTV</w:t>
      </w:r>
      <w:proofErr w:type="spellEnd"/>
      <w:r w:rsidRPr="007F0427">
        <w:rPr>
          <w:rFonts w:ascii="Georgia" w:hAnsi="Georgia"/>
        </w:rPr>
        <w:t xml:space="preserve">” in advertisements warrants separate discussion. In forward-confusion cases—where a commercially superior plaintiff with a strong conceptual mark sues a defendant for attempting to profit off its goodwill—the presence of a </w:t>
      </w:r>
      <w:proofErr w:type="spellStart"/>
      <w:r w:rsidRPr="007F0427">
        <w:rPr>
          <w:rFonts w:ascii="Georgia" w:hAnsi="Georgia"/>
        </w:rPr>
        <w:t>housemark</w:t>
      </w:r>
      <w:proofErr w:type="spellEnd"/>
      <w:r w:rsidRPr="007F0427">
        <w:rPr>
          <w:rFonts w:ascii="Georgia" w:hAnsi="Georgia"/>
        </w:rPr>
        <w:t xml:space="preserve"> is indeed likely to dispel confusion in ordinarily prudent consumers. </w:t>
      </w:r>
      <w:r w:rsidRPr="007F0427">
        <w:rPr>
          <w:rFonts w:ascii="Georgia" w:hAnsi="Georgia"/>
          <w:i/>
          <w:iCs/>
        </w:rPr>
        <w:t>See, e.g.</w:t>
      </w:r>
      <w:r w:rsidRPr="007F0427">
        <w:rPr>
          <w:rFonts w:ascii="Georgia" w:hAnsi="Georgia"/>
        </w:rPr>
        <w:t xml:space="preserve">, </w:t>
      </w:r>
      <w:r w:rsidRPr="007F0427">
        <w:rPr>
          <w:rFonts w:ascii="Georgia" w:hAnsi="Georgia"/>
          <w:i/>
          <w:iCs/>
        </w:rPr>
        <w:t>Custom Mfg.</w:t>
      </w:r>
      <w:r w:rsidRPr="007F0427">
        <w:rPr>
          <w:rFonts w:ascii="Georgia" w:hAnsi="Georgia"/>
        </w:rPr>
        <w:t xml:space="preserve">, 508 F.3d at 652 n.10. But in reverse-confusion cases, this presumption is reversed; because the harm is false association of the plaintiff’s mark with the defendant’s corporate identity, the defendant’s use of a </w:t>
      </w:r>
      <w:proofErr w:type="spellStart"/>
      <w:r w:rsidRPr="007F0427">
        <w:rPr>
          <w:rFonts w:ascii="Georgia" w:hAnsi="Georgia"/>
        </w:rPr>
        <w:t>housemark</w:t>
      </w:r>
      <w:proofErr w:type="spellEnd"/>
      <w:r w:rsidRPr="007F0427">
        <w:rPr>
          <w:rFonts w:ascii="Georgia" w:hAnsi="Georgia"/>
        </w:rPr>
        <w:t xml:space="preserve"> alongside the mark is more likely to </w:t>
      </w:r>
      <w:r w:rsidRPr="007F0427">
        <w:rPr>
          <w:rFonts w:ascii="Georgia" w:hAnsi="Georgia"/>
          <w:i/>
          <w:iCs/>
        </w:rPr>
        <w:t>cause</w:t>
      </w:r>
      <w:r w:rsidRPr="007F0427">
        <w:rPr>
          <w:rFonts w:ascii="Georgia" w:hAnsi="Georgia"/>
        </w:rPr>
        <w:t xml:space="preserve"> confusion. </w:t>
      </w:r>
      <w:r w:rsidRPr="007F0427">
        <w:rPr>
          <w:rFonts w:ascii="Georgia" w:hAnsi="Georgia"/>
          <w:i/>
          <w:iCs/>
        </w:rPr>
        <w:t>See, e.g.</w:t>
      </w:r>
      <w:r w:rsidRPr="007F0427">
        <w:rPr>
          <w:rFonts w:ascii="Georgia" w:hAnsi="Georgia"/>
        </w:rPr>
        <w:t xml:space="preserve">, </w:t>
      </w:r>
      <w:r w:rsidRPr="007F0427">
        <w:rPr>
          <w:rFonts w:ascii="Georgia" w:hAnsi="Georgia"/>
          <w:i/>
          <w:iCs/>
        </w:rPr>
        <w:t>A &amp; H Sportswear</w:t>
      </w:r>
      <w:r w:rsidRPr="007F0427">
        <w:rPr>
          <w:rFonts w:ascii="Georgia" w:hAnsi="Georgia"/>
        </w:rPr>
        <w:t>, 237 F.3d at 230 (noting that there is a “possibility that the [</w:t>
      </w:r>
      <w:proofErr w:type="spellStart"/>
      <w:r w:rsidRPr="007F0427">
        <w:rPr>
          <w:rFonts w:ascii="Georgia" w:hAnsi="Georgia"/>
        </w:rPr>
        <w:t>housemark</w:t>
      </w:r>
      <w:proofErr w:type="spellEnd"/>
      <w:r w:rsidRPr="007F0427">
        <w:rPr>
          <w:rFonts w:ascii="Georgia" w:hAnsi="Georgia"/>
        </w:rPr>
        <w:t xml:space="preserve">] will </w:t>
      </w:r>
      <w:r w:rsidRPr="007F0427">
        <w:rPr>
          <w:rFonts w:ascii="Georgia" w:hAnsi="Georgia"/>
          <w:i/>
          <w:iCs/>
        </w:rPr>
        <w:t>aggravate</w:t>
      </w:r>
      <w:r w:rsidRPr="007F0427">
        <w:rPr>
          <w:rFonts w:ascii="Georgia" w:hAnsi="Georgia"/>
        </w:rPr>
        <w:t xml:space="preserve">, rather than mitigate, reverse confusion, by reinforcing the association of the [trademark] exclusively with [the </w:t>
      </w:r>
      <w:proofErr w:type="spellStart"/>
      <w:r w:rsidRPr="007F0427">
        <w:rPr>
          <w:rFonts w:ascii="Georgia" w:hAnsi="Georgia"/>
        </w:rPr>
        <w:t>housemark</w:t>
      </w:r>
      <w:proofErr w:type="spellEnd"/>
      <w:r w:rsidRPr="007F0427">
        <w:rPr>
          <w:rFonts w:ascii="Georgia" w:hAnsi="Georgia"/>
        </w:rPr>
        <w:t xml:space="preserve">]”) (emphasis added); </w:t>
      </w:r>
      <w:proofErr w:type="spellStart"/>
      <w:r w:rsidRPr="007F0427">
        <w:rPr>
          <w:rFonts w:ascii="Georgia" w:hAnsi="Georgia"/>
          <w:i/>
          <w:iCs/>
        </w:rPr>
        <w:t>Attrezzi</w:t>
      </w:r>
      <w:proofErr w:type="spellEnd"/>
      <w:r w:rsidRPr="007F0427">
        <w:rPr>
          <w:rFonts w:ascii="Georgia" w:hAnsi="Georgia"/>
          <w:i/>
          <w:iCs/>
        </w:rPr>
        <w:t>, LLC v. Maytag Corp</w:t>
      </w:r>
      <w:r w:rsidRPr="007F0427">
        <w:rPr>
          <w:rFonts w:ascii="Georgia" w:hAnsi="Georgia"/>
        </w:rPr>
        <w:t xml:space="preserve">., 436 F.3d 32, 39 (1st Cir. 2006) (“Yet since the alleged harm is </w:t>
      </w:r>
      <w:r w:rsidRPr="007F0427">
        <w:rPr>
          <w:rFonts w:ascii="Georgia" w:hAnsi="Georgia"/>
          <w:i/>
          <w:iCs/>
        </w:rPr>
        <w:t>reverse</w:t>
      </w:r>
      <w:r w:rsidRPr="007F0427">
        <w:rPr>
          <w:rFonts w:ascii="Georgia" w:hAnsi="Georgia"/>
        </w:rPr>
        <w:t xml:space="preserve"> confusion, to the extent [the defendant’s </w:t>
      </w:r>
      <w:proofErr w:type="spellStart"/>
      <w:r w:rsidRPr="007F0427">
        <w:rPr>
          <w:rFonts w:ascii="Georgia" w:hAnsi="Georgia"/>
        </w:rPr>
        <w:t>housemark</w:t>
      </w:r>
      <w:proofErr w:type="spellEnd"/>
      <w:r w:rsidRPr="007F0427">
        <w:rPr>
          <w:rFonts w:ascii="Georgia" w:hAnsi="Georgia"/>
        </w:rPr>
        <w:t>] is itself the more recognized label the linkage could actually aggravate the threat to [the plaintiff].”) . . .</w:t>
      </w:r>
    </w:p>
    <w:p w14:paraId="0C29390E" w14:textId="02D92844" w:rsidR="00BA1C68" w:rsidRPr="007F0427" w:rsidRDefault="00BA1C68" w:rsidP="00BA1C68">
      <w:pPr>
        <w:rPr>
          <w:rFonts w:ascii="Georgia" w:hAnsi="Georgia"/>
        </w:rPr>
      </w:pPr>
      <w:bookmarkStart w:id="46" w:name="co_anchor_B202056495078_1"/>
      <w:bookmarkEnd w:id="46"/>
      <w:r w:rsidRPr="007F0427">
        <w:rPr>
          <w:rFonts w:ascii="Georgia" w:hAnsi="Georgia"/>
        </w:rPr>
        <w:t xml:space="preserve">Amazon’s use of its </w:t>
      </w:r>
      <w:proofErr w:type="spellStart"/>
      <w:r w:rsidRPr="007F0427">
        <w:rPr>
          <w:rFonts w:ascii="Georgia" w:hAnsi="Georgia"/>
        </w:rPr>
        <w:t>housemark</w:t>
      </w:r>
      <w:proofErr w:type="spellEnd"/>
      <w:r w:rsidRPr="007F0427">
        <w:rPr>
          <w:rFonts w:ascii="Georgia" w:hAnsi="Georgia"/>
        </w:rPr>
        <w:t xml:space="preserve"> alongside advertisements for the “</w:t>
      </w:r>
      <w:proofErr w:type="spellStart"/>
      <w:r w:rsidRPr="007F0427">
        <w:rPr>
          <w:rFonts w:ascii="Georgia" w:hAnsi="Georgia"/>
        </w:rPr>
        <w:t>fireTV</w:t>
      </w:r>
      <w:proofErr w:type="spellEnd"/>
      <w:r w:rsidRPr="007F0427">
        <w:rPr>
          <w:rFonts w:ascii="Georgia" w:hAnsi="Georgia"/>
        </w:rPr>
        <w:t xml:space="preserve">” does exactly what one might expect it to do: it causes consumers to associate Amazon with </w:t>
      </w:r>
      <w:proofErr w:type="spellStart"/>
      <w:r w:rsidRPr="007F0427">
        <w:rPr>
          <w:rFonts w:ascii="Georgia" w:hAnsi="Georgia"/>
        </w:rPr>
        <w:t>fireTV</w:t>
      </w:r>
      <w:proofErr w:type="spellEnd"/>
      <w:r w:rsidRPr="007F0427">
        <w:rPr>
          <w:rFonts w:ascii="Georgia" w:hAnsi="Georgia"/>
        </w:rPr>
        <w:t xml:space="preserve">. Because this is a reverse-confusion case asserting that Amazon’s use of </w:t>
      </w:r>
      <w:proofErr w:type="spellStart"/>
      <w:r w:rsidRPr="007F0427">
        <w:rPr>
          <w:rFonts w:ascii="Georgia" w:hAnsi="Georgia"/>
        </w:rPr>
        <w:t>fireTV</w:t>
      </w:r>
      <w:proofErr w:type="spellEnd"/>
      <w:r w:rsidRPr="007F0427">
        <w:rPr>
          <w:rFonts w:ascii="Georgia" w:hAnsi="Georgia"/>
        </w:rPr>
        <w:t xml:space="preserve"> causes consumers to associate </w:t>
      </w:r>
      <w:proofErr w:type="spellStart"/>
      <w:r w:rsidRPr="007F0427">
        <w:rPr>
          <w:rFonts w:ascii="Georgia" w:hAnsi="Georgia"/>
        </w:rPr>
        <w:t>FyreTV</w:t>
      </w:r>
      <w:proofErr w:type="spellEnd"/>
      <w:r w:rsidRPr="007F0427">
        <w:rPr>
          <w:rFonts w:ascii="Georgia" w:hAnsi="Georgia"/>
        </w:rPr>
        <w:t xml:space="preserve"> with Amazon instead of </w:t>
      </w:r>
      <w:proofErr w:type="spellStart"/>
      <w:r w:rsidRPr="007F0427">
        <w:rPr>
          <w:rFonts w:ascii="Georgia" w:hAnsi="Georgia"/>
        </w:rPr>
        <w:t>Wreal</w:t>
      </w:r>
      <w:proofErr w:type="spellEnd"/>
      <w:r w:rsidRPr="007F0427">
        <w:rPr>
          <w:rFonts w:ascii="Georgia" w:hAnsi="Georgia"/>
        </w:rPr>
        <w:t xml:space="preserve">, Amazon’s use of the </w:t>
      </w:r>
      <w:proofErr w:type="spellStart"/>
      <w:r w:rsidRPr="007F0427">
        <w:rPr>
          <w:rFonts w:ascii="Georgia" w:hAnsi="Georgia"/>
        </w:rPr>
        <w:t>housemark</w:t>
      </w:r>
      <w:proofErr w:type="spellEnd"/>
      <w:r w:rsidRPr="007F0427">
        <w:rPr>
          <w:rFonts w:ascii="Georgia" w:hAnsi="Georgia"/>
        </w:rPr>
        <w:t xml:space="preserve"> supports </w:t>
      </w:r>
      <w:proofErr w:type="spellStart"/>
      <w:r w:rsidRPr="007F0427">
        <w:rPr>
          <w:rFonts w:ascii="Georgia" w:hAnsi="Georgia"/>
        </w:rPr>
        <w:t>Wreal’s</w:t>
      </w:r>
      <w:proofErr w:type="spellEnd"/>
      <w:r w:rsidRPr="007F0427">
        <w:rPr>
          <w:rFonts w:ascii="Georgia" w:hAnsi="Georgia"/>
        </w:rPr>
        <w:t xml:space="preserve"> theory of recovery. The district court erred in concluding otherwise.</w:t>
      </w:r>
    </w:p>
    <w:p w14:paraId="247E9366" w14:textId="5FEA7252" w:rsidR="00BA1C68" w:rsidRPr="007F0427" w:rsidRDefault="00BA1C68" w:rsidP="00BA1C68">
      <w:pPr>
        <w:rPr>
          <w:rFonts w:ascii="Georgia" w:hAnsi="Georgia"/>
        </w:rPr>
      </w:pPr>
      <w:bookmarkStart w:id="47" w:name="co_anchor_B212056495078_1"/>
      <w:bookmarkEnd w:id="47"/>
      <w:r w:rsidRPr="007F0427">
        <w:rPr>
          <w:rFonts w:ascii="Georgia" w:hAnsi="Georgia"/>
        </w:rPr>
        <w:t xml:space="preserve">In short, the parties’ marks are nearly identical. Both use the same words, are pronounced the same, and have the same meaning. While they are spelled slightly differently and use different fonts, this is not enough to conclude that the marks are dissimilar. Moreover, Amazon’s pervasive use of its </w:t>
      </w:r>
      <w:proofErr w:type="spellStart"/>
      <w:r w:rsidRPr="007F0427">
        <w:rPr>
          <w:rFonts w:ascii="Georgia" w:hAnsi="Georgia"/>
        </w:rPr>
        <w:t>housemark</w:t>
      </w:r>
      <w:proofErr w:type="spellEnd"/>
      <w:r w:rsidRPr="007F0427">
        <w:rPr>
          <w:rFonts w:ascii="Georgia" w:hAnsi="Georgia"/>
        </w:rPr>
        <w:t xml:space="preserve"> alongside “</w:t>
      </w:r>
      <w:proofErr w:type="spellStart"/>
      <w:r w:rsidRPr="007F0427">
        <w:rPr>
          <w:rFonts w:ascii="Georgia" w:hAnsi="Georgia"/>
        </w:rPr>
        <w:t>fireTV</w:t>
      </w:r>
      <w:proofErr w:type="spellEnd"/>
      <w:r w:rsidRPr="007F0427">
        <w:rPr>
          <w:rFonts w:ascii="Georgia" w:hAnsi="Georgia"/>
        </w:rPr>
        <w:t xml:space="preserve">” pushes this factor even further in favor of </w:t>
      </w:r>
      <w:proofErr w:type="spellStart"/>
      <w:r w:rsidRPr="007F0427">
        <w:rPr>
          <w:rFonts w:ascii="Georgia" w:hAnsi="Georgia"/>
        </w:rPr>
        <w:t>Wreal</w:t>
      </w:r>
      <w:proofErr w:type="spellEnd"/>
      <w:r w:rsidRPr="007F0427">
        <w:rPr>
          <w:rFonts w:ascii="Georgia" w:hAnsi="Georgia"/>
        </w:rPr>
        <w:t xml:space="preserve">, as it is likely to confuse </w:t>
      </w:r>
      <w:r w:rsidRPr="007F0427">
        <w:rPr>
          <w:rFonts w:ascii="Georgia" w:hAnsi="Georgia"/>
        </w:rPr>
        <w:lastRenderedPageBreak/>
        <w:t xml:space="preserve">consumers into believing that Amazon is the origin of the </w:t>
      </w:r>
      <w:proofErr w:type="spellStart"/>
      <w:r w:rsidRPr="007F0427">
        <w:rPr>
          <w:rFonts w:ascii="Georgia" w:hAnsi="Georgia"/>
        </w:rPr>
        <w:t>FyreTV</w:t>
      </w:r>
      <w:proofErr w:type="spellEnd"/>
      <w:r w:rsidRPr="007F0427">
        <w:rPr>
          <w:rFonts w:ascii="Georgia" w:hAnsi="Georgia"/>
        </w:rPr>
        <w:t xml:space="preserve"> mark. Thus, the similarity-of-the-marks factor weighs heavily in favor of </w:t>
      </w:r>
      <w:proofErr w:type="spellStart"/>
      <w:r w:rsidRPr="007F0427">
        <w:rPr>
          <w:rFonts w:ascii="Georgia" w:hAnsi="Georgia"/>
        </w:rPr>
        <w:t>Wreal</w:t>
      </w:r>
      <w:proofErr w:type="spellEnd"/>
      <w:r w:rsidRPr="007F0427">
        <w:rPr>
          <w:rFonts w:ascii="Georgia" w:hAnsi="Georgia"/>
        </w:rPr>
        <w:t>.</w:t>
      </w:r>
    </w:p>
    <w:p w14:paraId="26E96435" w14:textId="77777777" w:rsidR="00BA1C68" w:rsidRPr="007F0427" w:rsidRDefault="00BA1C68" w:rsidP="00BA1C68">
      <w:pPr>
        <w:rPr>
          <w:rFonts w:ascii="Georgia" w:hAnsi="Georgia"/>
          <w:b/>
          <w:bCs/>
        </w:rPr>
      </w:pPr>
      <w:bookmarkStart w:id="48" w:name="co_anchor_I40805481fcf211ecb4fdd6112f0b9"/>
      <w:bookmarkEnd w:id="48"/>
      <w:r w:rsidRPr="007F0427">
        <w:rPr>
          <w:rFonts w:ascii="Georgia" w:hAnsi="Georgia"/>
          <w:b/>
          <w:bCs/>
        </w:rPr>
        <w:t>C. Similarity of the Products</w:t>
      </w:r>
    </w:p>
    <w:p w14:paraId="62B608EA" w14:textId="4030A7C8" w:rsidR="00BA1C68" w:rsidRPr="007F0427" w:rsidRDefault="00BA1C68" w:rsidP="00BA1C68">
      <w:pPr>
        <w:rPr>
          <w:rFonts w:ascii="Georgia" w:hAnsi="Georgia"/>
        </w:rPr>
      </w:pPr>
      <w:bookmarkStart w:id="49" w:name="co_anchor_B222056495078_1"/>
      <w:bookmarkStart w:id="50" w:name="co_anchor_B232056495078_1"/>
      <w:bookmarkStart w:id="51" w:name="co_anchor_B242056495078_1"/>
      <w:bookmarkEnd w:id="49"/>
      <w:bookmarkEnd w:id="50"/>
      <w:bookmarkEnd w:id="51"/>
      <w:r w:rsidRPr="007F0427">
        <w:rPr>
          <w:rFonts w:ascii="Georgia" w:hAnsi="Georgia"/>
        </w:rPr>
        <w:t xml:space="preserve">The analysis of this factor is the same regardless of the theory of confusion, and “requires a determination as to whether the products are the kind that the public attributes to a single source, not whether or not the purchasing public can readily distinguish between the products of the respective parties.” </w:t>
      </w:r>
      <w:proofErr w:type="spellStart"/>
      <w:r w:rsidRPr="007F0427">
        <w:rPr>
          <w:rFonts w:ascii="Georgia" w:hAnsi="Georgia"/>
          <w:i/>
          <w:iCs/>
        </w:rPr>
        <w:t>Frehling</w:t>
      </w:r>
      <w:proofErr w:type="spellEnd"/>
      <w:r w:rsidRPr="007F0427">
        <w:rPr>
          <w:rFonts w:ascii="Georgia" w:hAnsi="Georgia"/>
        </w:rPr>
        <w:t>, 192 F.3d at 1338 </w:t>
      </w:r>
      <w:proofErr w:type="gramStart"/>
      <w:r w:rsidRPr="007F0427">
        <w:rPr>
          <w:rFonts w:ascii="Georgia" w:hAnsi="Georgia"/>
        </w:rPr>
        <w:t>. . . .</w:t>
      </w:r>
      <w:proofErr w:type="gramEnd"/>
      <w:r w:rsidRPr="007F0427">
        <w:rPr>
          <w:rFonts w:ascii="Georgia" w:hAnsi="Georgia"/>
        </w:rPr>
        <w:t xml:space="preserve"> In reverse-confusion cases, it also is relevant to ask whether consumers might expect the defendant to “bridge the gap” and enter the plaintiff’s market. </w:t>
      </w:r>
      <w:r w:rsidRPr="007F0427">
        <w:rPr>
          <w:rFonts w:ascii="Georgia" w:hAnsi="Georgia"/>
          <w:i/>
          <w:iCs/>
        </w:rPr>
        <w:t xml:space="preserve">See </w:t>
      </w:r>
      <w:proofErr w:type="spellStart"/>
      <w:r w:rsidRPr="007F0427">
        <w:rPr>
          <w:rFonts w:ascii="Georgia" w:hAnsi="Georgia"/>
          <w:i/>
          <w:iCs/>
        </w:rPr>
        <w:t>Fisons</w:t>
      </w:r>
      <w:proofErr w:type="spellEnd"/>
      <w:r w:rsidRPr="007F0427">
        <w:rPr>
          <w:rFonts w:ascii="Georgia" w:hAnsi="Georgia"/>
          <w:i/>
          <w:iCs/>
        </w:rPr>
        <w:t xml:space="preserve"> Horticulture, Inc. v. Vigoro Indus., Inc.</w:t>
      </w:r>
      <w:r w:rsidRPr="007F0427">
        <w:rPr>
          <w:rFonts w:ascii="Georgia" w:hAnsi="Georgia"/>
        </w:rPr>
        <w:t>, 30 F.3d 466, 480 (3d Cir. 1994).</w:t>
      </w:r>
    </w:p>
    <w:p w14:paraId="7C80D3AB" w14:textId="25A17508" w:rsidR="00BA1C68" w:rsidRPr="007F0427" w:rsidRDefault="00BA1C68" w:rsidP="00BA1C68">
      <w:pPr>
        <w:rPr>
          <w:rFonts w:ascii="Georgia" w:hAnsi="Georgia"/>
        </w:rPr>
      </w:pPr>
      <w:r w:rsidRPr="007F0427">
        <w:rPr>
          <w:rFonts w:ascii="Georgia" w:hAnsi="Georgia"/>
        </w:rPr>
        <w:t xml:space="preserve">Here, many pieces of record evidence are relevant to the question of whether the </w:t>
      </w:r>
      <w:proofErr w:type="spellStart"/>
      <w:r w:rsidRPr="007F0427">
        <w:rPr>
          <w:rFonts w:ascii="Georgia" w:hAnsi="Georgia"/>
        </w:rPr>
        <w:t>fireTV</w:t>
      </w:r>
      <w:proofErr w:type="spellEnd"/>
      <w:r w:rsidRPr="007F0427">
        <w:rPr>
          <w:rFonts w:ascii="Georgia" w:hAnsi="Georgia"/>
        </w:rPr>
        <w:t xml:space="preserve"> set-top box is </w:t>
      </w:r>
      <w:proofErr w:type="gramStart"/>
      <w:r w:rsidRPr="007F0427">
        <w:rPr>
          <w:rFonts w:ascii="Georgia" w:hAnsi="Georgia"/>
        </w:rPr>
        <w:t>similar to</w:t>
      </w:r>
      <w:proofErr w:type="gramEnd"/>
      <w:r w:rsidRPr="007F0427">
        <w:rPr>
          <w:rFonts w:ascii="Georgia" w:hAnsi="Georgia"/>
        </w:rPr>
        <w:t xml:space="preserve"> the </w:t>
      </w:r>
      <w:proofErr w:type="spellStart"/>
      <w:r w:rsidRPr="007F0427">
        <w:rPr>
          <w:rFonts w:ascii="Georgia" w:hAnsi="Georgia"/>
        </w:rPr>
        <w:t>FyreBoXXX</w:t>
      </w:r>
      <w:proofErr w:type="spellEnd"/>
      <w:r w:rsidRPr="007F0427">
        <w:rPr>
          <w:rFonts w:ascii="Georgia" w:hAnsi="Georgia"/>
        </w:rPr>
        <w:t xml:space="preserve">. The record evidence presented in the district court established that consumers were already able to stream softcore pornography on Amazon’s </w:t>
      </w:r>
      <w:proofErr w:type="spellStart"/>
      <w:r w:rsidRPr="007F0427">
        <w:rPr>
          <w:rFonts w:ascii="Georgia" w:hAnsi="Georgia"/>
        </w:rPr>
        <w:t>fireTV</w:t>
      </w:r>
      <w:proofErr w:type="spellEnd"/>
      <w:r w:rsidRPr="007F0427">
        <w:rPr>
          <w:rFonts w:ascii="Georgia" w:hAnsi="Georgia"/>
        </w:rPr>
        <w:t xml:space="preserve"> through content providers like HBO GO and Showtime. The record evidence also established that Amazon Prime Instant Video—Amazon’s own streaming service, which, like HBO GO and Showtime, is available on the </w:t>
      </w:r>
      <w:proofErr w:type="spellStart"/>
      <w:r w:rsidRPr="007F0427">
        <w:rPr>
          <w:rFonts w:ascii="Georgia" w:hAnsi="Georgia"/>
        </w:rPr>
        <w:t>fireTV</w:t>
      </w:r>
      <w:proofErr w:type="spellEnd"/>
      <w:r w:rsidRPr="007F0427">
        <w:rPr>
          <w:rFonts w:ascii="Georgia" w:hAnsi="Georgia"/>
        </w:rPr>
        <w:t xml:space="preserve">— offered consumers softcore pornography. And the record evidence also established that: (1) Amazon already offered the sale of hardcore pornographic DVDs and magazines on its related consumer website, amazon.com; (2) the parties’ devices are visually similar— both are plain black set-top boxes that come with a small remote; and (3) Amazon’s direct competitors in the mainstream set-top box market—Roku and Apple TV—already provided access to hardcore pornography, including </w:t>
      </w:r>
      <w:proofErr w:type="spellStart"/>
      <w:r w:rsidRPr="007F0427">
        <w:rPr>
          <w:rFonts w:ascii="Georgia" w:hAnsi="Georgia"/>
        </w:rPr>
        <w:t>FyreTV</w:t>
      </w:r>
      <w:proofErr w:type="spellEnd"/>
      <w:r w:rsidRPr="007F0427">
        <w:rPr>
          <w:rFonts w:ascii="Georgia" w:hAnsi="Georgia"/>
        </w:rPr>
        <w:t>.</w:t>
      </w:r>
    </w:p>
    <w:p w14:paraId="75453F14" w14:textId="3E13716C" w:rsidR="00BA1C68" w:rsidRPr="007F0427" w:rsidRDefault="00BA1C68" w:rsidP="00BA1C68">
      <w:pPr>
        <w:rPr>
          <w:rFonts w:ascii="Georgia" w:hAnsi="Georgia"/>
        </w:rPr>
      </w:pPr>
      <w:bookmarkStart w:id="52" w:name="co_anchor_B252056495078_1"/>
      <w:bookmarkEnd w:id="52"/>
      <w:r w:rsidRPr="007F0427">
        <w:rPr>
          <w:rFonts w:ascii="Georgia" w:hAnsi="Georgia"/>
        </w:rPr>
        <w:t xml:space="preserve">The question therefore is whether this record evidence would suggest to an ordinarily prudent consumer that a do-it-all giant like Amazon—which already sells a set-top box that streams softcore </w:t>
      </w:r>
      <w:proofErr w:type="gramStart"/>
      <w:r w:rsidRPr="007F0427">
        <w:rPr>
          <w:rFonts w:ascii="Georgia" w:hAnsi="Georgia"/>
        </w:rPr>
        <w:t>pornography</w:t>
      </w:r>
      <w:proofErr w:type="gramEnd"/>
      <w:r w:rsidRPr="007F0427">
        <w:rPr>
          <w:rFonts w:ascii="Georgia" w:hAnsi="Georgia"/>
        </w:rPr>
        <w:t xml:space="preserve"> and which competes against other set-top boxes that stream hardcore pornography—would “bridge the gap” to hardcore pornography streaming and release a set-top box that streams exclusively pornographic content. We answer that question in the affirmative. Amazon is a company that already sells hardcore pornography on its website and offers softcore pornography on its set-top box. And it competes in a market in which its direct competitors offer hardcore pornography streaming directly on their set-top boxes. Given this information, a reasonable juror could conclude that Amazon decided to “bridge the gap” and offer a standalone set-top box dedicated to streaming hardcore pornography. </w:t>
      </w:r>
      <w:r w:rsidRPr="007F0427">
        <w:rPr>
          <w:rFonts w:ascii="Georgia" w:hAnsi="Georgia"/>
          <w:i/>
          <w:iCs/>
        </w:rPr>
        <w:t>See id.</w:t>
      </w:r>
      <w:r w:rsidRPr="007F0427">
        <w:rPr>
          <w:rFonts w:ascii="Georgia" w:hAnsi="Georgia"/>
        </w:rPr>
        <w:t xml:space="preserve"> The two products at issue therefore “are the kind the public attributes to a single source.” </w:t>
      </w:r>
      <w:r w:rsidRPr="007F0427">
        <w:rPr>
          <w:rFonts w:ascii="Georgia" w:hAnsi="Georgia"/>
          <w:i/>
          <w:iCs/>
        </w:rPr>
        <w:t>E. Remy Martin</w:t>
      </w:r>
      <w:r w:rsidRPr="007F0427">
        <w:rPr>
          <w:rFonts w:ascii="Georgia" w:hAnsi="Georgia"/>
        </w:rPr>
        <w:t>, 756 F.2d at 1530.</w:t>
      </w:r>
    </w:p>
    <w:p w14:paraId="7C91DB1F" w14:textId="0AF31AF3" w:rsidR="00BA1C68" w:rsidRPr="007F0427" w:rsidRDefault="00BA1C68" w:rsidP="00BA1C68">
      <w:pPr>
        <w:rPr>
          <w:rFonts w:ascii="Georgia" w:hAnsi="Georgia"/>
        </w:rPr>
      </w:pPr>
      <w:r w:rsidRPr="007F0427">
        <w:rPr>
          <w:rFonts w:ascii="Georgia" w:hAnsi="Georgia"/>
        </w:rPr>
        <w:t>Our caselaw provides ample support for this conclusion.</w:t>
      </w:r>
      <w:bookmarkStart w:id="53" w:name="co_fnRef_B00142056495078_ID0EFAAK_1"/>
      <w:bookmarkEnd w:id="53"/>
      <w:r w:rsidRPr="007F0427">
        <w:rPr>
          <w:rFonts w:ascii="Georgia" w:hAnsi="Georgia"/>
        </w:rPr>
        <w:t xml:space="preserve"> In </w:t>
      </w:r>
      <w:r w:rsidRPr="007F0427">
        <w:rPr>
          <w:rFonts w:ascii="Georgia" w:hAnsi="Georgia"/>
          <w:i/>
          <w:iCs/>
        </w:rPr>
        <w:t>E. Remy Martin</w:t>
      </w:r>
      <w:r w:rsidRPr="007F0427">
        <w:rPr>
          <w:rFonts w:ascii="Georgia" w:hAnsi="Georgia"/>
        </w:rPr>
        <w:t>, a trademark dispute between a wine company and a liquor company, this Court concluded that cognac and brandy—the products sold by the liquor company—</w:t>
      </w:r>
      <w:r w:rsidRPr="007F0427">
        <w:rPr>
          <w:rFonts w:ascii="Georgia" w:hAnsi="Georgia"/>
        </w:rPr>
        <w:lastRenderedPageBreak/>
        <w:t>were distilled from wine and that, as a result, it was “quite likely that, even assuming a sophisticated consumer from the drinking world, such a consumer could easily conclude that [the liquor company] had undertaken the production and sale of wine and that its name and goodwill therefore attached to [the wine company’s] product.” 756 F.2d at 1530. . . .</w:t>
      </w:r>
    </w:p>
    <w:p w14:paraId="02903405" w14:textId="2B5D802B" w:rsidR="00BA1C68" w:rsidRPr="007F0427" w:rsidRDefault="00BA1C68" w:rsidP="00BA1C68">
      <w:pPr>
        <w:rPr>
          <w:rFonts w:ascii="Georgia" w:hAnsi="Georgia"/>
        </w:rPr>
      </w:pPr>
      <w:r w:rsidRPr="007F0427">
        <w:rPr>
          <w:rFonts w:ascii="Georgia" w:hAnsi="Georgia"/>
        </w:rPr>
        <w:t xml:space="preserve">Decisions from our sister circuits in reverse-confusion cases lend further support to our conclusion here. In </w:t>
      </w:r>
      <w:proofErr w:type="spellStart"/>
      <w:r w:rsidRPr="007F0427">
        <w:rPr>
          <w:rFonts w:ascii="Georgia" w:hAnsi="Georgia"/>
          <w:i/>
          <w:iCs/>
        </w:rPr>
        <w:t>Attrezzi</w:t>
      </w:r>
      <w:proofErr w:type="spellEnd"/>
      <w:r w:rsidRPr="007F0427">
        <w:rPr>
          <w:rFonts w:ascii="Georgia" w:hAnsi="Georgia"/>
        </w:rPr>
        <w:t xml:space="preserve">, the First Circuit held that the products of two “small electric appliance” manufacturers </w:t>
      </w:r>
      <w:proofErr w:type="gramStart"/>
      <w:r w:rsidRPr="007F0427">
        <w:rPr>
          <w:rFonts w:ascii="Georgia" w:hAnsi="Georgia"/>
        </w:rPr>
        <w:t>were</w:t>
      </w:r>
      <w:proofErr w:type="gramEnd"/>
      <w:r w:rsidRPr="007F0427">
        <w:rPr>
          <w:rFonts w:ascii="Georgia" w:hAnsi="Georgia"/>
        </w:rPr>
        <w:t xml:space="preserve"> similar even though one manufacturer also used the mark on its gourmet foods and dinnerware. 436 F.3d at 39. In </w:t>
      </w:r>
      <w:proofErr w:type="spellStart"/>
      <w:r w:rsidRPr="007F0427">
        <w:rPr>
          <w:rFonts w:ascii="Georgia" w:hAnsi="Georgia"/>
          <w:i/>
          <w:iCs/>
        </w:rPr>
        <w:t>Dreamwerks</w:t>
      </w:r>
      <w:proofErr w:type="spellEnd"/>
      <w:r w:rsidRPr="007F0427">
        <w:rPr>
          <w:rFonts w:ascii="Georgia" w:hAnsi="Georgia"/>
        </w:rPr>
        <w:t xml:space="preserve">, the Ninth Circuit concluded that a movie studio and a convention holder had similar products because it would not be unreasonable for consumers to presume that the production company behind Star Trek decided to bridge the gap to convention holding and had begun to host Star Trek conventions. </w:t>
      </w:r>
      <w:r w:rsidRPr="007F0427">
        <w:rPr>
          <w:rFonts w:ascii="Georgia" w:hAnsi="Georgia"/>
          <w:i/>
          <w:iCs/>
        </w:rPr>
        <w:t>See</w:t>
      </w:r>
      <w:r w:rsidRPr="007F0427">
        <w:rPr>
          <w:rFonts w:ascii="Georgia" w:hAnsi="Georgia"/>
        </w:rPr>
        <w:t xml:space="preserve"> 142 F.3d at 1131 (“[M]</w:t>
      </w:r>
      <w:proofErr w:type="spellStart"/>
      <w:r w:rsidRPr="007F0427">
        <w:rPr>
          <w:rFonts w:ascii="Georgia" w:hAnsi="Georgia"/>
        </w:rPr>
        <w:t>ovies</w:t>
      </w:r>
      <w:proofErr w:type="spellEnd"/>
      <w:r w:rsidRPr="007F0427">
        <w:rPr>
          <w:rFonts w:ascii="Georgia" w:hAnsi="Georgia"/>
        </w:rPr>
        <w:t xml:space="preserve"> and sci-fi merchandise are now as complementary as baseball and hot dogs. The main products sold at </w:t>
      </w:r>
      <w:proofErr w:type="spellStart"/>
      <w:r w:rsidRPr="007F0427">
        <w:rPr>
          <w:rFonts w:ascii="Georgia" w:hAnsi="Georgia"/>
        </w:rPr>
        <w:t>Dreamwerks</w:t>
      </w:r>
      <w:proofErr w:type="spellEnd"/>
      <w:r w:rsidRPr="007F0427">
        <w:rPr>
          <w:rFonts w:ascii="Georgia" w:hAnsi="Georgia"/>
        </w:rPr>
        <w:t xml:space="preserve"> conventions are movie and TV collectibles and memorabilia; the lectures, previews and appearances by actors which attract customers to </w:t>
      </w:r>
      <w:proofErr w:type="spellStart"/>
      <w:r w:rsidRPr="007F0427">
        <w:rPr>
          <w:rFonts w:ascii="Georgia" w:hAnsi="Georgia"/>
        </w:rPr>
        <w:t>Dreamwerks</w:t>
      </w:r>
      <w:proofErr w:type="spellEnd"/>
      <w:r w:rsidRPr="007F0427">
        <w:rPr>
          <w:rFonts w:ascii="Georgia" w:hAnsi="Georgia"/>
        </w:rPr>
        <w:t xml:space="preserve"> conventions are all dependent, in one way or another, on the output of entertainment giants like DreamWorks.”).</w:t>
      </w:r>
    </w:p>
    <w:p w14:paraId="71284BC0" w14:textId="3D0ACBAF" w:rsidR="00BA1C68" w:rsidRPr="007F0427" w:rsidRDefault="00BA1C68" w:rsidP="00BA1C68">
      <w:pPr>
        <w:rPr>
          <w:rFonts w:ascii="Georgia" w:hAnsi="Georgia"/>
        </w:rPr>
      </w:pPr>
      <w:r w:rsidRPr="007F0427">
        <w:rPr>
          <w:rFonts w:ascii="Georgia" w:hAnsi="Georgia"/>
        </w:rPr>
        <w:t xml:space="preserve">Here, as in </w:t>
      </w:r>
      <w:r w:rsidRPr="007F0427">
        <w:rPr>
          <w:rFonts w:ascii="Georgia" w:hAnsi="Georgia"/>
          <w:i/>
          <w:iCs/>
        </w:rPr>
        <w:t>E. Remy Martin</w:t>
      </w:r>
      <w:r w:rsidRPr="007F0427">
        <w:rPr>
          <w:rFonts w:ascii="Georgia" w:hAnsi="Georgia"/>
        </w:rPr>
        <w:t xml:space="preserve"> and </w:t>
      </w:r>
      <w:proofErr w:type="spellStart"/>
      <w:r w:rsidRPr="007F0427">
        <w:rPr>
          <w:rFonts w:ascii="Georgia" w:hAnsi="Georgia"/>
          <w:i/>
          <w:iCs/>
        </w:rPr>
        <w:t>Dreamwerks</w:t>
      </w:r>
      <w:proofErr w:type="spellEnd"/>
      <w:r w:rsidRPr="007F0427">
        <w:rPr>
          <w:rFonts w:ascii="Georgia" w:hAnsi="Georgia"/>
        </w:rPr>
        <w:t xml:space="preserve">, a reasonable juror could conclude that Amazon was likely to market and sell a product like </w:t>
      </w:r>
      <w:proofErr w:type="spellStart"/>
      <w:r w:rsidRPr="007F0427">
        <w:rPr>
          <w:rFonts w:ascii="Georgia" w:hAnsi="Georgia"/>
        </w:rPr>
        <w:t>Wreal’s</w:t>
      </w:r>
      <w:proofErr w:type="spellEnd"/>
      <w:r w:rsidRPr="007F0427">
        <w:rPr>
          <w:rFonts w:ascii="Georgia" w:hAnsi="Georgia"/>
        </w:rPr>
        <w:t xml:space="preserve">. Indeed, to see a do-it-all giant like Amazon enter the pornographic streaming industry requires no more of an inferential leap than seeing a movie studio begin holding public conventions (as in </w:t>
      </w:r>
      <w:proofErr w:type="spellStart"/>
      <w:r w:rsidRPr="007F0427">
        <w:rPr>
          <w:rFonts w:ascii="Georgia" w:hAnsi="Georgia"/>
          <w:i/>
          <w:iCs/>
        </w:rPr>
        <w:t>Dreamwerks</w:t>
      </w:r>
      <w:proofErr w:type="spellEnd"/>
      <w:r w:rsidRPr="007F0427">
        <w:rPr>
          <w:rFonts w:ascii="Georgia" w:hAnsi="Georgia"/>
        </w:rPr>
        <w:t xml:space="preserve">) or a liquor company begin selling wine (as in </w:t>
      </w:r>
      <w:r w:rsidRPr="007F0427">
        <w:rPr>
          <w:rFonts w:ascii="Georgia" w:hAnsi="Georgia"/>
          <w:i/>
          <w:iCs/>
        </w:rPr>
        <w:t>E. Remy Martin</w:t>
      </w:r>
      <w:r w:rsidRPr="007F0427">
        <w:rPr>
          <w:rFonts w:ascii="Georgia" w:hAnsi="Georgia"/>
        </w:rPr>
        <w:t xml:space="preserve">). Amazon already offers at least some softcore pornography on its streaming services and competes with other general-interest set-top boxes that offer hardcore pornography content on theirs, including the </w:t>
      </w:r>
      <w:proofErr w:type="spellStart"/>
      <w:r w:rsidRPr="007F0427">
        <w:rPr>
          <w:rFonts w:ascii="Georgia" w:hAnsi="Georgia"/>
        </w:rPr>
        <w:t>FyreTV</w:t>
      </w:r>
      <w:proofErr w:type="spellEnd"/>
      <w:r w:rsidRPr="007F0427">
        <w:rPr>
          <w:rFonts w:ascii="Georgia" w:hAnsi="Georgia"/>
        </w:rPr>
        <w:t xml:space="preserve"> streaming service at issue here. Amazon also sells hardcore pornographic materials on its website. It would not be unreasonable for a reasonable consumer to see </w:t>
      </w:r>
      <w:proofErr w:type="spellStart"/>
      <w:r w:rsidRPr="007F0427">
        <w:rPr>
          <w:rFonts w:ascii="Georgia" w:hAnsi="Georgia"/>
        </w:rPr>
        <w:t>FyreTV</w:t>
      </w:r>
      <w:proofErr w:type="spellEnd"/>
      <w:r w:rsidRPr="007F0427">
        <w:rPr>
          <w:rFonts w:ascii="Georgia" w:hAnsi="Georgia"/>
        </w:rPr>
        <w:t xml:space="preserve"> and think Amazon was the source.</w:t>
      </w:r>
    </w:p>
    <w:p w14:paraId="31EEFDD6" w14:textId="6234DF26" w:rsidR="00BA1C68" w:rsidRPr="007F0427" w:rsidRDefault="00BA1C68" w:rsidP="00BA1C68">
      <w:pPr>
        <w:rPr>
          <w:rFonts w:ascii="Georgia" w:hAnsi="Georgia"/>
        </w:rPr>
      </w:pPr>
      <w:r w:rsidRPr="007F0427">
        <w:rPr>
          <w:rFonts w:ascii="Georgia" w:hAnsi="Georgia"/>
        </w:rPr>
        <w:t xml:space="preserve">Finally, we note that “the more similar the marks are, the less necessary it is that the products themselves be very similar to create confusion.” </w:t>
      </w:r>
      <w:proofErr w:type="spellStart"/>
      <w:r w:rsidRPr="007F0427">
        <w:rPr>
          <w:rFonts w:ascii="Georgia" w:hAnsi="Georgia"/>
          <w:i/>
          <w:iCs/>
        </w:rPr>
        <w:t>Attrezzi</w:t>
      </w:r>
      <w:proofErr w:type="spellEnd"/>
      <w:r w:rsidRPr="007F0427">
        <w:rPr>
          <w:rFonts w:ascii="Georgia" w:hAnsi="Georgia"/>
        </w:rPr>
        <w:t xml:space="preserve">, 436 F.3d at 39. Accordingly, we conclude that this factor favors </w:t>
      </w:r>
      <w:proofErr w:type="spellStart"/>
      <w:r w:rsidRPr="007F0427">
        <w:rPr>
          <w:rFonts w:ascii="Georgia" w:hAnsi="Georgia"/>
        </w:rPr>
        <w:t>Wreal</w:t>
      </w:r>
      <w:proofErr w:type="spellEnd"/>
      <w:r w:rsidRPr="007F0427">
        <w:rPr>
          <w:rFonts w:ascii="Georgia" w:hAnsi="Georgia"/>
        </w:rPr>
        <w:t>.</w:t>
      </w:r>
    </w:p>
    <w:p w14:paraId="388CD9AD" w14:textId="77777777" w:rsidR="00BA1C68" w:rsidRPr="007F0427" w:rsidRDefault="00BA1C68" w:rsidP="00BA1C68">
      <w:pPr>
        <w:rPr>
          <w:rFonts w:ascii="Georgia" w:hAnsi="Georgia"/>
          <w:b/>
          <w:bCs/>
        </w:rPr>
      </w:pPr>
      <w:bookmarkStart w:id="54" w:name="co_anchor_I4087f5a1fcf211ecb4fdd6112f0b9"/>
      <w:bookmarkEnd w:id="54"/>
      <w:r w:rsidRPr="007F0427">
        <w:rPr>
          <w:rFonts w:ascii="Georgia" w:hAnsi="Georgia"/>
          <w:b/>
          <w:bCs/>
        </w:rPr>
        <w:t>D. Similarity of Sales Outlets and Customer Bases</w:t>
      </w:r>
    </w:p>
    <w:p w14:paraId="0E87A103" w14:textId="2161A832" w:rsidR="00BA1C68" w:rsidRPr="007F0427" w:rsidRDefault="00BA1C68" w:rsidP="00BA1C68">
      <w:pPr>
        <w:rPr>
          <w:rFonts w:ascii="Georgia" w:hAnsi="Georgia"/>
        </w:rPr>
      </w:pPr>
      <w:bookmarkStart w:id="55" w:name="co_anchor_B262056495078_1"/>
      <w:bookmarkEnd w:id="55"/>
      <w:r w:rsidRPr="007F0427">
        <w:rPr>
          <w:rFonts w:ascii="Georgia" w:hAnsi="Georgia"/>
        </w:rPr>
        <w:t>As for the “similarity of sales outlets” factor, we have held:</w:t>
      </w:r>
    </w:p>
    <w:p w14:paraId="0438976E" w14:textId="77777777" w:rsidR="00BA1C68" w:rsidRPr="007F0427" w:rsidRDefault="00BA1C68" w:rsidP="00BA1C68">
      <w:pPr>
        <w:pStyle w:val="Blockquote"/>
        <w:rPr>
          <w:rFonts w:ascii="Georgia" w:hAnsi="Georgia"/>
        </w:rPr>
      </w:pPr>
      <w:r w:rsidRPr="007F0427">
        <w:rPr>
          <w:rFonts w:ascii="Georgia" w:hAnsi="Georgia"/>
        </w:rPr>
        <w:t xml:space="preserve">This factor takes into consideration where, how, and to whom the parties’ products are sold. Direct competition between the parties is not required for this factor to weigh in favor of a likelihood of confusion, though evidence that the products are sold in the same </w:t>
      </w:r>
      <w:r w:rsidRPr="007F0427">
        <w:rPr>
          <w:rFonts w:ascii="Georgia" w:hAnsi="Georgia"/>
        </w:rPr>
        <w:lastRenderedPageBreak/>
        <w:t>stores is certainly strong. The parties’ outlets and customer bases need not be identical, but some degree of overlap should be present.</w:t>
      </w:r>
    </w:p>
    <w:p w14:paraId="0A16184D" w14:textId="77777777" w:rsidR="00BA1C68" w:rsidRPr="007F0427" w:rsidRDefault="00BA1C68" w:rsidP="00BA1C68">
      <w:pPr>
        <w:pStyle w:val="NormalNoIndent"/>
        <w:rPr>
          <w:rFonts w:ascii="Georgia" w:hAnsi="Georgia"/>
        </w:rPr>
      </w:pPr>
      <w:proofErr w:type="spellStart"/>
      <w:r w:rsidRPr="007F0427">
        <w:rPr>
          <w:rFonts w:ascii="Georgia" w:hAnsi="Georgia"/>
          <w:i/>
          <w:iCs/>
        </w:rPr>
        <w:t>Frehling</w:t>
      </w:r>
      <w:proofErr w:type="spellEnd"/>
      <w:r w:rsidRPr="007F0427">
        <w:rPr>
          <w:rFonts w:ascii="Georgia" w:hAnsi="Georgia"/>
        </w:rPr>
        <w:t>, 192 F.3d at 1339 (citations omitted). The analysis of this factor is the same in forward-confusion and reverse-confusion cases.</w:t>
      </w:r>
    </w:p>
    <w:p w14:paraId="0CAF0470" w14:textId="3A7E5584" w:rsidR="00BA1C68" w:rsidRPr="007F0427" w:rsidRDefault="00BA1C68" w:rsidP="00BA1C68">
      <w:pPr>
        <w:rPr>
          <w:rFonts w:ascii="Georgia" w:hAnsi="Georgia"/>
        </w:rPr>
      </w:pPr>
      <w:bookmarkStart w:id="56" w:name="co_anchor_B272056495078_1"/>
      <w:bookmarkEnd w:id="56"/>
      <w:r w:rsidRPr="007F0427">
        <w:rPr>
          <w:rFonts w:ascii="Georgia" w:hAnsi="Georgia"/>
        </w:rPr>
        <w:t xml:space="preserve">Here, the district court concluded that the “similarity of sales outlets” factor weighs in favor of Amazon. Amazon’s </w:t>
      </w:r>
      <w:proofErr w:type="spellStart"/>
      <w:r w:rsidRPr="007F0427">
        <w:rPr>
          <w:rFonts w:ascii="Georgia" w:hAnsi="Georgia"/>
        </w:rPr>
        <w:t>fireTV</w:t>
      </w:r>
      <w:proofErr w:type="spellEnd"/>
      <w:r w:rsidRPr="007F0427">
        <w:rPr>
          <w:rFonts w:ascii="Georgia" w:hAnsi="Georgia"/>
        </w:rPr>
        <w:t xml:space="preserve"> is available everywhere—on multiple internet sites and in brick-and-mortar locations around the world. </w:t>
      </w:r>
      <w:proofErr w:type="spellStart"/>
      <w:r w:rsidRPr="007F0427">
        <w:rPr>
          <w:rFonts w:ascii="Georgia" w:hAnsi="Georgia"/>
        </w:rPr>
        <w:t>Wreal’s</w:t>
      </w:r>
      <w:proofErr w:type="spellEnd"/>
      <w:r w:rsidRPr="007F0427">
        <w:rPr>
          <w:rFonts w:ascii="Georgia" w:hAnsi="Georgia"/>
        </w:rPr>
        <w:t xml:space="preserve"> </w:t>
      </w:r>
      <w:proofErr w:type="spellStart"/>
      <w:r w:rsidRPr="007F0427">
        <w:rPr>
          <w:rFonts w:ascii="Georgia" w:hAnsi="Georgia"/>
        </w:rPr>
        <w:t>FyreTV</w:t>
      </w:r>
      <w:proofErr w:type="spellEnd"/>
      <w:r w:rsidRPr="007F0427">
        <w:rPr>
          <w:rFonts w:ascii="Georgia" w:hAnsi="Georgia"/>
        </w:rPr>
        <w:t xml:space="preserve">, on the other hand, is available in only one place and can only be purchased one way—a consumer must make his way to FyreTV.com, navigate through an eighteen-year-olds-only banner, certify that he is interested in purchasing pornography, and find the product on the website. And crucially, Amazon’s </w:t>
      </w:r>
      <w:proofErr w:type="spellStart"/>
      <w:r w:rsidRPr="007F0427">
        <w:rPr>
          <w:rFonts w:ascii="Georgia" w:hAnsi="Georgia"/>
        </w:rPr>
        <w:t>fireTV</w:t>
      </w:r>
      <w:proofErr w:type="spellEnd"/>
      <w:r w:rsidRPr="007F0427">
        <w:rPr>
          <w:rFonts w:ascii="Georgia" w:hAnsi="Georgia"/>
        </w:rPr>
        <w:t xml:space="preserve"> is unavailable on FyreTV.com. Both </w:t>
      </w:r>
      <w:r w:rsidRPr="007F0427">
        <w:rPr>
          <w:rFonts w:ascii="Georgia" w:hAnsi="Georgia"/>
          <w:i/>
          <w:iCs/>
        </w:rPr>
        <w:t>where</w:t>
      </w:r>
      <w:r w:rsidRPr="007F0427">
        <w:rPr>
          <w:rFonts w:ascii="Georgia" w:hAnsi="Georgia"/>
        </w:rPr>
        <w:t xml:space="preserve"> the products are sold and </w:t>
      </w:r>
      <w:r w:rsidRPr="007F0427">
        <w:rPr>
          <w:rFonts w:ascii="Georgia" w:hAnsi="Georgia"/>
          <w:i/>
          <w:iCs/>
        </w:rPr>
        <w:t>how</w:t>
      </w:r>
      <w:r w:rsidRPr="007F0427">
        <w:rPr>
          <w:rFonts w:ascii="Georgia" w:hAnsi="Georgia"/>
        </w:rPr>
        <w:t xml:space="preserve"> the products are sold are thus different. Only to </w:t>
      </w:r>
      <w:r w:rsidRPr="007F0427">
        <w:rPr>
          <w:rFonts w:ascii="Georgia" w:hAnsi="Georgia"/>
          <w:i/>
          <w:iCs/>
        </w:rPr>
        <w:t>whom</w:t>
      </w:r>
      <w:r w:rsidRPr="007F0427">
        <w:rPr>
          <w:rFonts w:ascii="Georgia" w:hAnsi="Georgia"/>
        </w:rPr>
        <w:t xml:space="preserve"> the products are sold is arguably similar, as the record evidence shows that both companies target twenty- to fifty-year-old men with disposable income. The difference, however, is that </w:t>
      </w:r>
      <w:proofErr w:type="spellStart"/>
      <w:r w:rsidRPr="007F0427">
        <w:rPr>
          <w:rFonts w:ascii="Georgia" w:hAnsi="Georgia"/>
        </w:rPr>
        <w:t>Wreal</w:t>
      </w:r>
      <w:proofErr w:type="spellEnd"/>
      <w:r w:rsidRPr="007F0427">
        <w:rPr>
          <w:rFonts w:ascii="Georgia" w:hAnsi="Georgia"/>
        </w:rPr>
        <w:t xml:space="preserve"> targets only individuals who “are interested in purchasing pornography”—a uniquely identifiable subset of Amazon’s customer base. </w:t>
      </w:r>
      <w:r w:rsidRPr="007F0427">
        <w:rPr>
          <w:rFonts w:ascii="Georgia" w:hAnsi="Georgia"/>
          <w:i/>
          <w:iCs/>
        </w:rPr>
        <w:t>Cf. Amstar</w:t>
      </w:r>
      <w:r w:rsidRPr="007F0427">
        <w:rPr>
          <w:rFonts w:ascii="Georgia" w:hAnsi="Georgia"/>
        </w:rPr>
        <w:t>, 615 F.2d at 262 (noting that Domino Sugar and Domino’s Pizza had different sales outlets and customer bases because they were distributed through different outlets despite the fact both were “in the restaurant business”). We therefore conclude that this factor favors Amazon.</w:t>
      </w:r>
    </w:p>
    <w:p w14:paraId="3149F496" w14:textId="77777777" w:rsidR="00BA1C68" w:rsidRPr="007F0427" w:rsidRDefault="00BA1C68" w:rsidP="00BA1C68">
      <w:pPr>
        <w:rPr>
          <w:rFonts w:ascii="Georgia" w:hAnsi="Georgia"/>
        </w:rPr>
      </w:pPr>
      <w:r w:rsidRPr="007F0427">
        <w:rPr>
          <w:rFonts w:ascii="Georgia" w:hAnsi="Georgia"/>
        </w:rPr>
        <w:t> </w:t>
      </w:r>
    </w:p>
    <w:p w14:paraId="7D38E54C" w14:textId="77777777" w:rsidR="00BA1C68" w:rsidRPr="007F0427" w:rsidRDefault="00BA1C68" w:rsidP="00BA1C68">
      <w:pPr>
        <w:keepNext/>
        <w:rPr>
          <w:rFonts w:ascii="Georgia" w:hAnsi="Georgia"/>
          <w:b/>
          <w:bCs/>
        </w:rPr>
      </w:pPr>
      <w:bookmarkStart w:id="57" w:name="co_anchor_I4089ca61fcf211ecb4fdd6112f0b9"/>
      <w:bookmarkEnd w:id="57"/>
      <w:r w:rsidRPr="007F0427">
        <w:rPr>
          <w:rFonts w:ascii="Georgia" w:hAnsi="Georgia"/>
          <w:b/>
          <w:bCs/>
        </w:rPr>
        <w:t>E. Similarity of Advertising</w:t>
      </w:r>
    </w:p>
    <w:p w14:paraId="0AC18767" w14:textId="1BA36A25" w:rsidR="00BA1C68" w:rsidRPr="007F0427" w:rsidRDefault="00BA1C68" w:rsidP="00BA1C68">
      <w:pPr>
        <w:rPr>
          <w:rFonts w:ascii="Georgia" w:hAnsi="Georgia"/>
        </w:rPr>
      </w:pPr>
      <w:bookmarkStart w:id="58" w:name="co_anchor_B282056495078_1"/>
      <w:bookmarkStart w:id="59" w:name="co_anchor_B292056495078_1"/>
      <w:bookmarkEnd w:id="58"/>
      <w:bookmarkEnd w:id="59"/>
      <w:r w:rsidRPr="007F0427">
        <w:rPr>
          <w:rFonts w:ascii="Georgia" w:hAnsi="Georgia"/>
        </w:rPr>
        <w:t xml:space="preserve">This similarity of advertising “factor looks to each party’s method of advertising.” </w:t>
      </w:r>
      <w:proofErr w:type="spellStart"/>
      <w:r w:rsidRPr="007F0427">
        <w:rPr>
          <w:rFonts w:ascii="Georgia" w:hAnsi="Georgia"/>
          <w:i/>
          <w:iCs/>
        </w:rPr>
        <w:t>Frehling</w:t>
      </w:r>
      <w:proofErr w:type="spellEnd"/>
      <w:r w:rsidRPr="007F0427">
        <w:rPr>
          <w:rFonts w:ascii="Georgia" w:hAnsi="Georgia"/>
        </w:rPr>
        <w:t xml:space="preserve">, 192 F.3d at 1339. “[T]he standard is whether there is likely to be significant enough overlap in the readership of the publications in which the parties advertise that a possibility of confusion could result.” </w:t>
      </w:r>
      <w:r w:rsidRPr="007F0427">
        <w:rPr>
          <w:rFonts w:ascii="Georgia" w:hAnsi="Georgia"/>
          <w:i/>
          <w:iCs/>
        </w:rPr>
        <w:t>Id.</w:t>
      </w:r>
      <w:r w:rsidRPr="007F0427">
        <w:rPr>
          <w:rFonts w:ascii="Georgia" w:hAnsi="Georgia"/>
        </w:rPr>
        <w:t xml:space="preserve"> at 1340. This inquiry is the same in both forward- and reverse-confusion cases.</w:t>
      </w:r>
    </w:p>
    <w:p w14:paraId="3D743862" w14:textId="672BC1F7" w:rsidR="00BA1C68" w:rsidRPr="007F0427" w:rsidRDefault="00BA1C68" w:rsidP="00BA1C68">
      <w:pPr>
        <w:rPr>
          <w:rFonts w:ascii="Georgia" w:hAnsi="Georgia"/>
        </w:rPr>
      </w:pPr>
      <w:bookmarkStart w:id="60" w:name="co_anchor_B302056495078_1"/>
      <w:bookmarkEnd w:id="60"/>
      <w:r w:rsidRPr="007F0427">
        <w:rPr>
          <w:rFonts w:ascii="Georgia" w:hAnsi="Georgia"/>
        </w:rPr>
        <w:t xml:space="preserve">There is no dispute in this case that the parties advertise in completely different media. Amazon advertises the </w:t>
      </w:r>
      <w:proofErr w:type="spellStart"/>
      <w:r w:rsidRPr="007F0427">
        <w:rPr>
          <w:rFonts w:ascii="Georgia" w:hAnsi="Georgia"/>
        </w:rPr>
        <w:t>fireTV</w:t>
      </w:r>
      <w:proofErr w:type="spellEnd"/>
      <w:r w:rsidRPr="007F0427">
        <w:rPr>
          <w:rFonts w:ascii="Georgia" w:hAnsi="Georgia"/>
        </w:rPr>
        <w:t xml:space="preserve"> on the amazon.com homepage, on television, in print media, and on in-store displays. </w:t>
      </w:r>
      <w:proofErr w:type="spellStart"/>
      <w:r w:rsidRPr="007F0427">
        <w:rPr>
          <w:rFonts w:ascii="Georgia" w:hAnsi="Georgia"/>
        </w:rPr>
        <w:t>Wreal</w:t>
      </w:r>
      <w:proofErr w:type="spellEnd"/>
      <w:r w:rsidRPr="007F0427">
        <w:rPr>
          <w:rFonts w:ascii="Georgia" w:hAnsi="Georgia"/>
        </w:rPr>
        <w:t xml:space="preserve"> stopped advertising on television and in print in 2012, two years before Amazon launched the </w:t>
      </w:r>
      <w:proofErr w:type="spellStart"/>
      <w:r w:rsidRPr="007F0427">
        <w:rPr>
          <w:rFonts w:ascii="Georgia" w:hAnsi="Georgia"/>
        </w:rPr>
        <w:t>fireTV</w:t>
      </w:r>
      <w:proofErr w:type="spellEnd"/>
      <w:r w:rsidRPr="007F0427">
        <w:rPr>
          <w:rFonts w:ascii="Georgia" w:hAnsi="Georgia"/>
        </w:rPr>
        <w:t xml:space="preserve">. In fact, </w:t>
      </w:r>
      <w:proofErr w:type="gramStart"/>
      <w:r w:rsidRPr="007F0427">
        <w:rPr>
          <w:rFonts w:ascii="Georgia" w:hAnsi="Georgia"/>
        </w:rPr>
        <w:t>at all times</w:t>
      </w:r>
      <w:proofErr w:type="gramEnd"/>
      <w:r w:rsidRPr="007F0427">
        <w:rPr>
          <w:rFonts w:ascii="Georgia" w:hAnsi="Georgia"/>
        </w:rPr>
        <w:t xml:space="preserve"> relevant to the lawsuit, </w:t>
      </w:r>
      <w:proofErr w:type="spellStart"/>
      <w:r w:rsidRPr="007F0427">
        <w:rPr>
          <w:rFonts w:ascii="Georgia" w:hAnsi="Georgia"/>
        </w:rPr>
        <w:t>Wreal</w:t>
      </w:r>
      <w:proofErr w:type="spellEnd"/>
      <w:r w:rsidRPr="007F0427">
        <w:rPr>
          <w:rFonts w:ascii="Georgia" w:hAnsi="Georgia"/>
        </w:rPr>
        <w:t xml:space="preserve"> advertised the </w:t>
      </w:r>
      <w:proofErr w:type="spellStart"/>
      <w:r w:rsidRPr="007F0427">
        <w:rPr>
          <w:rFonts w:ascii="Georgia" w:hAnsi="Georgia"/>
        </w:rPr>
        <w:t>FyreTV</w:t>
      </w:r>
      <w:proofErr w:type="spellEnd"/>
      <w:r w:rsidRPr="007F0427">
        <w:rPr>
          <w:rFonts w:ascii="Georgia" w:hAnsi="Georgia"/>
        </w:rPr>
        <w:t xml:space="preserve"> and </w:t>
      </w:r>
      <w:proofErr w:type="spellStart"/>
      <w:r w:rsidRPr="007F0427">
        <w:rPr>
          <w:rFonts w:ascii="Georgia" w:hAnsi="Georgia"/>
        </w:rPr>
        <w:t>FyreBoXXX</w:t>
      </w:r>
      <w:proofErr w:type="spellEnd"/>
      <w:r w:rsidRPr="007F0427">
        <w:rPr>
          <w:rFonts w:ascii="Georgia" w:hAnsi="Georgia"/>
        </w:rPr>
        <w:t xml:space="preserve"> only through pornographic websites, social media, and newsletters—i.e., only on the internet or other media dedicated to similarly prurient content.</w:t>
      </w:r>
    </w:p>
    <w:p w14:paraId="2EA3E9C2" w14:textId="14BD073C" w:rsidR="00BA1C68" w:rsidRPr="007F0427" w:rsidRDefault="00BA1C68" w:rsidP="00BA1C68">
      <w:pPr>
        <w:rPr>
          <w:rFonts w:ascii="Georgia" w:hAnsi="Georgia"/>
        </w:rPr>
      </w:pPr>
      <w:proofErr w:type="spellStart"/>
      <w:r w:rsidRPr="007F0427">
        <w:rPr>
          <w:rFonts w:ascii="Georgia" w:hAnsi="Georgia"/>
        </w:rPr>
        <w:t>Wreal</w:t>
      </w:r>
      <w:proofErr w:type="spellEnd"/>
      <w:r w:rsidRPr="007F0427">
        <w:rPr>
          <w:rFonts w:ascii="Georgia" w:hAnsi="Georgia"/>
        </w:rPr>
        <w:t xml:space="preserve"> nonetheless argues that this factor favors it because, very broadly speaking, both the </w:t>
      </w:r>
      <w:proofErr w:type="spellStart"/>
      <w:r w:rsidRPr="007F0427">
        <w:rPr>
          <w:rFonts w:ascii="Georgia" w:hAnsi="Georgia"/>
        </w:rPr>
        <w:t>fireTV</w:t>
      </w:r>
      <w:proofErr w:type="spellEnd"/>
      <w:r w:rsidRPr="007F0427">
        <w:rPr>
          <w:rFonts w:ascii="Georgia" w:hAnsi="Georgia"/>
        </w:rPr>
        <w:t xml:space="preserve"> and the </w:t>
      </w:r>
      <w:proofErr w:type="spellStart"/>
      <w:r w:rsidRPr="007F0427">
        <w:rPr>
          <w:rFonts w:ascii="Georgia" w:hAnsi="Georgia"/>
        </w:rPr>
        <w:t>FyreBoXXX</w:t>
      </w:r>
      <w:proofErr w:type="spellEnd"/>
      <w:r w:rsidRPr="007F0427">
        <w:rPr>
          <w:rFonts w:ascii="Georgia" w:hAnsi="Georgia"/>
        </w:rPr>
        <w:t xml:space="preserve"> advertise through search engines, word of mouth, and social media. But </w:t>
      </w:r>
      <w:proofErr w:type="spellStart"/>
      <w:r w:rsidRPr="007F0427">
        <w:rPr>
          <w:rFonts w:ascii="Georgia" w:hAnsi="Georgia"/>
        </w:rPr>
        <w:t>Wreal</w:t>
      </w:r>
      <w:proofErr w:type="spellEnd"/>
      <w:r w:rsidRPr="007F0427">
        <w:rPr>
          <w:rFonts w:ascii="Georgia" w:hAnsi="Georgia"/>
        </w:rPr>
        <w:t xml:space="preserve"> presented no record evidence of audience overlap. Nor does </w:t>
      </w:r>
      <w:proofErr w:type="spellStart"/>
      <w:r w:rsidRPr="007F0427">
        <w:rPr>
          <w:rFonts w:ascii="Georgia" w:hAnsi="Georgia"/>
        </w:rPr>
        <w:t>Wreal</w:t>
      </w:r>
      <w:proofErr w:type="spellEnd"/>
      <w:r w:rsidRPr="007F0427">
        <w:rPr>
          <w:rFonts w:ascii="Georgia" w:hAnsi="Georgia"/>
        </w:rPr>
        <w:t xml:space="preserve"> identify any website (outside of search engines like Google) where both the </w:t>
      </w:r>
      <w:proofErr w:type="spellStart"/>
      <w:r w:rsidRPr="007F0427">
        <w:rPr>
          <w:rFonts w:ascii="Georgia" w:hAnsi="Georgia"/>
        </w:rPr>
        <w:t>fireTV</w:t>
      </w:r>
      <w:proofErr w:type="spellEnd"/>
      <w:r w:rsidRPr="007F0427">
        <w:rPr>
          <w:rFonts w:ascii="Georgia" w:hAnsi="Georgia"/>
        </w:rPr>
        <w:t xml:space="preserve"> and the </w:t>
      </w:r>
      <w:proofErr w:type="spellStart"/>
      <w:r w:rsidRPr="007F0427">
        <w:rPr>
          <w:rFonts w:ascii="Georgia" w:hAnsi="Georgia"/>
        </w:rPr>
        <w:t>FyreBoXXX</w:t>
      </w:r>
      <w:proofErr w:type="spellEnd"/>
      <w:r w:rsidRPr="007F0427">
        <w:rPr>
          <w:rFonts w:ascii="Georgia" w:hAnsi="Georgia"/>
        </w:rPr>
        <w:t xml:space="preserve"> are advertised. As we </w:t>
      </w:r>
      <w:r w:rsidRPr="007F0427">
        <w:rPr>
          <w:rFonts w:ascii="Georgia" w:hAnsi="Georgia"/>
        </w:rPr>
        <w:lastRenderedPageBreak/>
        <w:t xml:space="preserve">explained in </w:t>
      </w:r>
      <w:r w:rsidRPr="007F0427">
        <w:rPr>
          <w:rFonts w:ascii="Georgia" w:hAnsi="Georgia"/>
          <w:i/>
          <w:iCs/>
        </w:rPr>
        <w:t>Tana</w:t>
      </w:r>
      <w:r w:rsidRPr="007F0427">
        <w:rPr>
          <w:rFonts w:ascii="Georgia" w:hAnsi="Georgia"/>
        </w:rPr>
        <w:t xml:space="preserve">, rejecting a similar argument: “[T]he only similarity in the advertising channels used by the two parties is their maintenance of websites on the World Wide Web. This similarity would dispel rather than cause confusion, however, because the websites are separate and distinct, suggesting two completely unrelated business entities.” 611 F.3d at 778; </w:t>
      </w:r>
      <w:r w:rsidRPr="007F0427">
        <w:rPr>
          <w:rFonts w:ascii="Georgia" w:hAnsi="Georgia"/>
          <w:i/>
          <w:iCs/>
        </w:rPr>
        <w:t xml:space="preserve">see also Therma-Scan, Inc. v. </w:t>
      </w:r>
      <w:proofErr w:type="spellStart"/>
      <w:r w:rsidRPr="007F0427">
        <w:rPr>
          <w:rFonts w:ascii="Georgia" w:hAnsi="Georgia"/>
          <w:i/>
          <w:iCs/>
        </w:rPr>
        <w:t>Thermoscan</w:t>
      </w:r>
      <w:proofErr w:type="spellEnd"/>
      <w:r w:rsidRPr="007F0427">
        <w:rPr>
          <w:rFonts w:ascii="Georgia" w:hAnsi="Georgia"/>
          <w:i/>
          <w:iCs/>
        </w:rPr>
        <w:t>, Inc.</w:t>
      </w:r>
      <w:r w:rsidRPr="007F0427">
        <w:rPr>
          <w:rFonts w:ascii="Georgia" w:hAnsi="Georgia"/>
        </w:rPr>
        <w:t>, 295 F.3d 623, 637 (6th Cir. 2002) (noting that the availability of information about the parties’ goods on the internet does not lead to the conclusion that they use the same marketing channels).</w:t>
      </w:r>
    </w:p>
    <w:p w14:paraId="614B8F5E" w14:textId="32CB4EDB" w:rsidR="00BA1C68" w:rsidRPr="007F0427" w:rsidRDefault="00BA1C68" w:rsidP="00BA1C68">
      <w:pPr>
        <w:rPr>
          <w:rFonts w:ascii="Georgia" w:hAnsi="Georgia"/>
        </w:rPr>
      </w:pPr>
      <w:r w:rsidRPr="007F0427">
        <w:rPr>
          <w:rFonts w:ascii="Georgia" w:hAnsi="Georgia"/>
        </w:rPr>
        <w:t>We therefore conclude that this factor weighs heavily in Amazon’s favor.</w:t>
      </w:r>
    </w:p>
    <w:p w14:paraId="2AC7E576" w14:textId="77777777" w:rsidR="00BA1C68" w:rsidRPr="007F0427" w:rsidRDefault="00BA1C68" w:rsidP="00BA1C68">
      <w:pPr>
        <w:rPr>
          <w:rFonts w:ascii="Georgia" w:hAnsi="Georgia"/>
          <w:b/>
          <w:bCs/>
        </w:rPr>
      </w:pPr>
      <w:bookmarkStart w:id="61" w:name="co_anchor_I408bc631fcf211ecb4fdd6112f0b9"/>
      <w:bookmarkEnd w:id="61"/>
      <w:r w:rsidRPr="007F0427">
        <w:rPr>
          <w:rFonts w:ascii="Georgia" w:hAnsi="Georgia"/>
          <w:b/>
          <w:bCs/>
        </w:rPr>
        <w:t>F. Amazon’s Intent</w:t>
      </w:r>
    </w:p>
    <w:p w14:paraId="51BAB150" w14:textId="3C9CFB07" w:rsidR="00BA1C68" w:rsidRPr="007F0427" w:rsidRDefault="00BA1C68" w:rsidP="00BA1C68">
      <w:pPr>
        <w:rPr>
          <w:rFonts w:ascii="Georgia" w:hAnsi="Georgia"/>
        </w:rPr>
      </w:pPr>
      <w:bookmarkStart w:id="62" w:name="co_anchor_B312056495078_1"/>
      <w:bookmarkEnd w:id="62"/>
      <w:r w:rsidRPr="007F0427">
        <w:rPr>
          <w:rFonts w:ascii="Georgia" w:hAnsi="Georgia"/>
        </w:rPr>
        <w:t xml:space="preserve">In the forward-confusion context, the intent factor asks whether the “defendant adopted [the] plaintiff’s mark with the intention of deriving a benefit from the plaintiff’s business reputation.” </w:t>
      </w:r>
      <w:proofErr w:type="spellStart"/>
      <w:r w:rsidRPr="007F0427">
        <w:rPr>
          <w:rFonts w:ascii="Georgia" w:hAnsi="Georgia"/>
          <w:i/>
          <w:iCs/>
        </w:rPr>
        <w:t>Frehling</w:t>
      </w:r>
      <w:proofErr w:type="spellEnd"/>
      <w:r w:rsidRPr="007F0427">
        <w:rPr>
          <w:rFonts w:ascii="Georgia" w:hAnsi="Georgia"/>
        </w:rPr>
        <w:t xml:space="preserve">, 192 F.3d at 1340. This is because in forward-confusion cases, “customers mistakenly think that the junior user’s goods or services are from the same source as or are connected with the senior user’s goods or services.” 4 McCarthy, </w:t>
      </w:r>
      <w:r w:rsidRPr="007F0427">
        <w:rPr>
          <w:rFonts w:ascii="Georgia" w:hAnsi="Georgia"/>
          <w:i/>
          <w:iCs/>
        </w:rPr>
        <w:t>supra</w:t>
      </w:r>
      <w:r w:rsidRPr="007F0427">
        <w:rPr>
          <w:rFonts w:ascii="Georgia" w:hAnsi="Georgia"/>
        </w:rPr>
        <w:t xml:space="preserve">, § 23:10. Without precedent pointing in any other direction, the district court understandably applied this test for intent and found that Amazon did not adopt the </w:t>
      </w:r>
      <w:proofErr w:type="spellStart"/>
      <w:r w:rsidRPr="007F0427">
        <w:rPr>
          <w:rFonts w:ascii="Georgia" w:hAnsi="Georgia"/>
        </w:rPr>
        <w:t>fireTV</w:t>
      </w:r>
      <w:proofErr w:type="spellEnd"/>
      <w:r w:rsidRPr="007F0427">
        <w:rPr>
          <w:rFonts w:ascii="Georgia" w:hAnsi="Georgia"/>
        </w:rPr>
        <w:t xml:space="preserve"> mark with any intent to derive a benefit from </w:t>
      </w:r>
      <w:proofErr w:type="spellStart"/>
      <w:r w:rsidRPr="007F0427">
        <w:rPr>
          <w:rFonts w:ascii="Georgia" w:hAnsi="Georgia"/>
        </w:rPr>
        <w:t>Wreal’s</w:t>
      </w:r>
      <w:proofErr w:type="spellEnd"/>
      <w:r w:rsidRPr="007F0427">
        <w:rPr>
          <w:rFonts w:ascii="Georgia" w:hAnsi="Georgia"/>
        </w:rPr>
        <w:t xml:space="preserve"> </w:t>
      </w:r>
      <w:proofErr w:type="spellStart"/>
      <w:r w:rsidRPr="007F0427">
        <w:rPr>
          <w:rFonts w:ascii="Georgia" w:hAnsi="Georgia"/>
        </w:rPr>
        <w:t>FyreTV</w:t>
      </w:r>
      <w:proofErr w:type="spellEnd"/>
      <w:r w:rsidRPr="007F0427">
        <w:rPr>
          <w:rFonts w:ascii="Georgia" w:hAnsi="Georgia"/>
        </w:rPr>
        <w:t xml:space="preserve"> mark.</w:t>
      </w:r>
    </w:p>
    <w:p w14:paraId="023134EA" w14:textId="6D5722B7" w:rsidR="00BA1C68" w:rsidRPr="007F0427" w:rsidRDefault="00BA1C68" w:rsidP="00BA1C68">
      <w:pPr>
        <w:rPr>
          <w:rFonts w:ascii="Georgia" w:hAnsi="Georgia"/>
        </w:rPr>
      </w:pPr>
      <w:r w:rsidRPr="007F0427">
        <w:rPr>
          <w:rFonts w:ascii="Georgia" w:hAnsi="Georgia"/>
        </w:rPr>
        <w:t xml:space="preserve">But reverse-confusion cases are different. In this context, the concern is that customers will “purchase the senior user’s goods under the mistaken impression that they are getting the goods of the junior user.” </w:t>
      </w:r>
      <w:r w:rsidRPr="007F0427">
        <w:rPr>
          <w:rFonts w:ascii="Georgia" w:hAnsi="Georgia"/>
          <w:i/>
          <w:iCs/>
        </w:rPr>
        <w:t>Id.</w:t>
      </w:r>
      <w:r w:rsidRPr="007F0427">
        <w:rPr>
          <w:rFonts w:ascii="Georgia" w:hAnsi="Georgia"/>
        </w:rPr>
        <w:t xml:space="preserve"> In other words, that “the junior user’s advertising and promotion so swamps the senior user’s reputation in the market that customers are likely to be confused into thinking that the senior user’s goods are those of the junior user.” </w:t>
      </w:r>
      <w:r w:rsidRPr="007F0427">
        <w:rPr>
          <w:rFonts w:ascii="Georgia" w:hAnsi="Georgia"/>
          <w:i/>
          <w:iCs/>
        </w:rPr>
        <w:t>Id.</w:t>
      </w:r>
      <w:r w:rsidRPr="007F0427">
        <w:rPr>
          <w:rFonts w:ascii="Georgia" w:hAnsi="Georgia"/>
        </w:rPr>
        <w:t xml:space="preserve"> In this case, </w:t>
      </w:r>
      <w:proofErr w:type="spellStart"/>
      <w:r w:rsidRPr="007F0427">
        <w:rPr>
          <w:rFonts w:ascii="Georgia" w:hAnsi="Georgia"/>
        </w:rPr>
        <w:t>Wreal</w:t>
      </w:r>
      <w:proofErr w:type="spellEnd"/>
      <w:r w:rsidRPr="007F0427">
        <w:rPr>
          <w:rFonts w:ascii="Georgia" w:hAnsi="Georgia"/>
        </w:rPr>
        <w:t xml:space="preserve"> is not suggesting that Amazon chose the </w:t>
      </w:r>
      <w:proofErr w:type="spellStart"/>
      <w:r w:rsidRPr="007F0427">
        <w:rPr>
          <w:rFonts w:ascii="Georgia" w:hAnsi="Georgia"/>
        </w:rPr>
        <w:t>fireTV</w:t>
      </w:r>
      <w:proofErr w:type="spellEnd"/>
      <w:r w:rsidRPr="007F0427">
        <w:rPr>
          <w:rFonts w:ascii="Georgia" w:hAnsi="Georgia"/>
        </w:rPr>
        <w:t xml:space="preserve"> mark with the intention of siphoning </w:t>
      </w:r>
      <w:proofErr w:type="spellStart"/>
      <w:r w:rsidRPr="007F0427">
        <w:rPr>
          <w:rFonts w:ascii="Georgia" w:hAnsi="Georgia"/>
        </w:rPr>
        <w:t>Wreal’s</w:t>
      </w:r>
      <w:proofErr w:type="spellEnd"/>
      <w:r w:rsidRPr="007F0427">
        <w:rPr>
          <w:rFonts w:ascii="Georgia" w:hAnsi="Georgia"/>
        </w:rPr>
        <w:t xml:space="preserve"> goodwill; instead, </w:t>
      </w:r>
      <w:proofErr w:type="spellStart"/>
      <w:r w:rsidRPr="007F0427">
        <w:rPr>
          <w:rFonts w:ascii="Georgia" w:hAnsi="Georgia"/>
        </w:rPr>
        <w:t>Wreal</w:t>
      </w:r>
      <w:proofErr w:type="spellEnd"/>
      <w:r w:rsidRPr="007F0427">
        <w:rPr>
          <w:rFonts w:ascii="Georgia" w:hAnsi="Georgia"/>
        </w:rPr>
        <w:t xml:space="preserve"> claims that, by Amazon’s use of the </w:t>
      </w:r>
      <w:proofErr w:type="spellStart"/>
      <w:r w:rsidRPr="007F0427">
        <w:rPr>
          <w:rFonts w:ascii="Georgia" w:hAnsi="Georgia"/>
        </w:rPr>
        <w:t>fireTV</w:t>
      </w:r>
      <w:proofErr w:type="spellEnd"/>
      <w:r w:rsidRPr="007F0427">
        <w:rPr>
          <w:rFonts w:ascii="Georgia" w:hAnsi="Georgia"/>
        </w:rPr>
        <w:t xml:space="preserve"> mark, </w:t>
      </w:r>
      <w:proofErr w:type="spellStart"/>
      <w:r w:rsidRPr="007F0427">
        <w:rPr>
          <w:rFonts w:ascii="Georgia" w:hAnsi="Georgia"/>
        </w:rPr>
        <w:t>Wreal</w:t>
      </w:r>
      <w:proofErr w:type="spellEnd"/>
      <w:r w:rsidRPr="007F0427">
        <w:rPr>
          <w:rFonts w:ascii="Georgia" w:hAnsi="Georgia"/>
        </w:rPr>
        <w:t xml:space="preserve"> has lost control over its own, more senior mark.</w:t>
      </w:r>
    </w:p>
    <w:p w14:paraId="34C7A93C" w14:textId="42DBCB41" w:rsidR="00BA1C68" w:rsidRPr="007F0427" w:rsidRDefault="00BA1C68" w:rsidP="00BA1C68">
      <w:pPr>
        <w:rPr>
          <w:rFonts w:ascii="Georgia" w:hAnsi="Georgia"/>
        </w:rPr>
      </w:pPr>
      <w:r w:rsidRPr="007F0427">
        <w:rPr>
          <w:rFonts w:ascii="Georgia" w:hAnsi="Georgia"/>
        </w:rPr>
        <w:t xml:space="preserve">Courts have responded to this problem in varying ways. The Seventh Circuit, for example, has eliminated the intent element from its likelihood-of-confusion test in reverse-confusion cases. </w:t>
      </w:r>
      <w:r w:rsidRPr="007F0427">
        <w:rPr>
          <w:rFonts w:ascii="Georgia" w:hAnsi="Georgia"/>
          <w:i/>
          <w:iCs/>
        </w:rPr>
        <w:t>See Sands</w:t>
      </w:r>
      <w:r w:rsidRPr="007F0427">
        <w:rPr>
          <w:rFonts w:ascii="Georgia" w:hAnsi="Georgia"/>
        </w:rPr>
        <w:t xml:space="preserve">, 978 F.2d at 961. The Third Circuit has acknowledged that evidence of intent to infringe is not expected in reverse-confusion </w:t>
      </w:r>
      <w:proofErr w:type="gramStart"/>
      <w:r w:rsidRPr="007F0427">
        <w:rPr>
          <w:rFonts w:ascii="Georgia" w:hAnsi="Georgia"/>
        </w:rPr>
        <w:t>cases, but</w:t>
      </w:r>
      <w:proofErr w:type="gramEnd"/>
      <w:r w:rsidRPr="007F0427">
        <w:rPr>
          <w:rFonts w:ascii="Georgia" w:hAnsi="Georgia"/>
        </w:rPr>
        <w:t xml:space="preserve"> continues to consider such evidence if it exists. </w:t>
      </w:r>
      <w:r w:rsidRPr="007F0427">
        <w:rPr>
          <w:rFonts w:ascii="Georgia" w:hAnsi="Georgia"/>
          <w:i/>
          <w:iCs/>
        </w:rPr>
        <w:t>See A &amp; H Sportswear</w:t>
      </w:r>
      <w:r w:rsidRPr="007F0427">
        <w:rPr>
          <w:rFonts w:ascii="Georgia" w:hAnsi="Georgia"/>
        </w:rPr>
        <w:t xml:space="preserve">, 237 F.3d at 232. And the Tenth Circuit, while similarly discounting the importance of the intent factor in reverse-confusion cases, has continued to apply it in the same manner in both forward- and reverse-confusion cases. </w:t>
      </w:r>
      <w:r w:rsidRPr="007F0427">
        <w:rPr>
          <w:rFonts w:ascii="Georgia" w:hAnsi="Georgia"/>
          <w:i/>
          <w:iCs/>
        </w:rPr>
        <w:t xml:space="preserve">See Universal Money </w:t>
      </w:r>
      <w:proofErr w:type="spellStart"/>
      <w:r w:rsidRPr="007F0427">
        <w:rPr>
          <w:rFonts w:ascii="Georgia" w:hAnsi="Georgia"/>
          <w:i/>
          <w:iCs/>
        </w:rPr>
        <w:t>Ctrs</w:t>
      </w:r>
      <w:proofErr w:type="spellEnd"/>
      <w:r w:rsidRPr="007F0427">
        <w:rPr>
          <w:rFonts w:ascii="Georgia" w:hAnsi="Georgia"/>
          <w:i/>
          <w:iCs/>
        </w:rPr>
        <w:t>., Inc. v. Am. Tel. &amp; Tel. Co.</w:t>
      </w:r>
      <w:r w:rsidRPr="007F0427">
        <w:rPr>
          <w:rFonts w:ascii="Georgia" w:hAnsi="Georgia"/>
        </w:rPr>
        <w:t>, 22 F.3d 1527, 1531–32 (10th Cir. 1994). Finally, the Ninth Circuit applies a modified version of the intent factor in reverse-confusion cases, under which indicia of intent may come from a variety of sources:</w:t>
      </w:r>
    </w:p>
    <w:p w14:paraId="6AB42D6D" w14:textId="77777777" w:rsidR="00BA1C68" w:rsidRPr="007F0427" w:rsidRDefault="00BA1C68" w:rsidP="00BA1C68">
      <w:pPr>
        <w:pStyle w:val="Blockquote"/>
        <w:rPr>
          <w:rFonts w:ascii="Georgia" w:hAnsi="Georgia"/>
        </w:rPr>
      </w:pPr>
      <w:r w:rsidRPr="007F0427">
        <w:rPr>
          <w:rFonts w:ascii="Georgia" w:hAnsi="Georgia"/>
        </w:rPr>
        <w:lastRenderedPageBreak/>
        <w:t>At one extreme, intent could be shown through evidence that a defendant deliberately intended to push the plaintiff out of the market by flooding the market with advertising to create reverse confusion. Intent could also be shown by evidence that, for example, the defendant knew of the mark, should have known of the mark, intended to copy the plaintiff, failed to conduct a reasonably adequate trademark search, or otherwise culpably disregarded the risk of reverse confusion. The tenor of the intent inquiry shifts when considering reverse confusion due to the shift in the theory of confusion, but no specific type of evidence is necessary to establish intent, and the importance of intent and evidence presented will vary by case.</w:t>
      </w:r>
    </w:p>
    <w:p w14:paraId="1D3F9C25" w14:textId="77777777" w:rsidR="00BA1C68" w:rsidRPr="007F0427" w:rsidRDefault="00BA1C68" w:rsidP="00BA1C68">
      <w:pPr>
        <w:pStyle w:val="NormalNoIndent"/>
        <w:rPr>
          <w:rFonts w:ascii="Georgia" w:hAnsi="Georgia"/>
        </w:rPr>
      </w:pPr>
      <w:proofErr w:type="spellStart"/>
      <w:r w:rsidRPr="007F0427">
        <w:rPr>
          <w:rFonts w:ascii="Georgia" w:hAnsi="Georgia"/>
          <w:i/>
          <w:iCs/>
        </w:rPr>
        <w:t>Marketquest</w:t>
      </w:r>
      <w:proofErr w:type="spellEnd"/>
      <w:r w:rsidRPr="007F0427">
        <w:rPr>
          <w:rFonts w:ascii="Georgia" w:hAnsi="Georgia"/>
          <w:i/>
          <w:iCs/>
        </w:rPr>
        <w:t xml:space="preserve"> Grp., Inc. v. BIC Corp.</w:t>
      </w:r>
      <w:r w:rsidRPr="007F0427">
        <w:rPr>
          <w:rFonts w:ascii="Georgia" w:hAnsi="Georgia"/>
        </w:rPr>
        <w:t>, 862 F.3d 927, 934–35 (9th Cir. 2017) (citations omitted).</w:t>
      </w:r>
    </w:p>
    <w:p w14:paraId="2C560059" w14:textId="0511515C" w:rsidR="00BA1C68" w:rsidRPr="007F0427" w:rsidRDefault="00BA1C68" w:rsidP="00BA1C68">
      <w:pPr>
        <w:rPr>
          <w:rFonts w:ascii="Georgia" w:hAnsi="Georgia"/>
        </w:rPr>
      </w:pPr>
      <w:bookmarkStart w:id="63" w:name="co_anchor_B322056495078_1"/>
      <w:bookmarkStart w:id="64" w:name="co_anchor_B332056495078_1"/>
      <w:bookmarkStart w:id="65" w:name="co_anchor_B342056495078_1"/>
      <w:bookmarkEnd w:id="63"/>
      <w:bookmarkEnd w:id="64"/>
      <w:bookmarkEnd w:id="65"/>
      <w:r w:rsidRPr="007F0427">
        <w:rPr>
          <w:rFonts w:ascii="Georgia" w:hAnsi="Georgia"/>
        </w:rPr>
        <w:t>We agree with and adopt the Ninth Circuit’s approach. Evidence of a specific intent to deceive is not a prerequisite to establish intent in reverse-confusion cases, as it is in forward-confusion cases. Indicia of intent can come from a wide variety of sources, including a more generalized intent to obtain market saturation or to proceed with the adoption of a mark in circumstances where the defendant had constructive knowledge of the plaintiff’s mark. The facts of each case will vary, and district courts should accord the intent factor whatever weight it is due under the circumstances.</w:t>
      </w:r>
    </w:p>
    <w:p w14:paraId="7A58260D" w14:textId="046AFA9C" w:rsidR="00BA1C68" w:rsidRPr="007F0427" w:rsidRDefault="00BA1C68" w:rsidP="00BA1C68">
      <w:pPr>
        <w:rPr>
          <w:rFonts w:ascii="Georgia" w:hAnsi="Georgia"/>
        </w:rPr>
      </w:pPr>
      <w:bookmarkStart w:id="66" w:name="co_anchor_B352056495078_1"/>
      <w:bookmarkEnd w:id="66"/>
      <w:r w:rsidRPr="007F0427">
        <w:rPr>
          <w:rFonts w:ascii="Georgia" w:hAnsi="Georgia"/>
        </w:rPr>
        <w:t xml:space="preserve">Here, applying this standard, the evidence of intent is strong. First, Amazon has admitted that, before launching the </w:t>
      </w:r>
      <w:proofErr w:type="spellStart"/>
      <w:r w:rsidRPr="007F0427">
        <w:rPr>
          <w:rFonts w:ascii="Georgia" w:hAnsi="Georgia"/>
        </w:rPr>
        <w:t>fireTV</w:t>
      </w:r>
      <w:proofErr w:type="spellEnd"/>
      <w:r w:rsidRPr="007F0427">
        <w:rPr>
          <w:rFonts w:ascii="Georgia" w:hAnsi="Georgia"/>
        </w:rPr>
        <w:t xml:space="preserve">, it had actual knowledge of both the </w:t>
      </w:r>
      <w:proofErr w:type="spellStart"/>
      <w:r w:rsidRPr="007F0427">
        <w:rPr>
          <w:rFonts w:ascii="Georgia" w:hAnsi="Georgia"/>
        </w:rPr>
        <w:t>FyreBoXXX</w:t>
      </w:r>
      <w:proofErr w:type="spellEnd"/>
      <w:r w:rsidRPr="007F0427">
        <w:rPr>
          <w:rFonts w:ascii="Georgia" w:hAnsi="Georgia"/>
        </w:rPr>
        <w:t xml:space="preserve"> and </w:t>
      </w:r>
      <w:proofErr w:type="spellStart"/>
      <w:r w:rsidRPr="007F0427">
        <w:rPr>
          <w:rFonts w:ascii="Georgia" w:hAnsi="Georgia"/>
        </w:rPr>
        <w:t>Wreal’s</w:t>
      </w:r>
      <w:proofErr w:type="spellEnd"/>
      <w:r w:rsidRPr="007F0427">
        <w:rPr>
          <w:rFonts w:ascii="Georgia" w:hAnsi="Georgia"/>
        </w:rPr>
        <w:t xml:space="preserve"> </w:t>
      </w:r>
      <w:proofErr w:type="spellStart"/>
      <w:r w:rsidRPr="007F0427">
        <w:rPr>
          <w:rFonts w:ascii="Georgia" w:hAnsi="Georgia"/>
        </w:rPr>
        <w:t>FyreTV</w:t>
      </w:r>
      <w:proofErr w:type="spellEnd"/>
      <w:r w:rsidRPr="007F0427">
        <w:rPr>
          <w:rFonts w:ascii="Georgia" w:hAnsi="Georgia"/>
        </w:rPr>
        <w:t xml:space="preserve"> trademark registration. </w:t>
      </w:r>
      <w:proofErr w:type="spellStart"/>
      <w:r w:rsidRPr="007F0427">
        <w:rPr>
          <w:rFonts w:ascii="Georgia" w:hAnsi="Georgia"/>
          <w:i/>
          <w:iCs/>
        </w:rPr>
        <w:t>Wreal</w:t>
      </w:r>
      <w:proofErr w:type="spellEnd"/>
      <w:r w:rsidRPr="007F0427">
        <w:rPr>
          <w:rFonts w:ascii="Georgia" w:hAnsi="Georgia"/>
          <w:i/>
          <w:iCs/>
        </w:rPr>
        <w:t xml:space="preserve"> I</w:t>
      </w:r>
      <w:r w:rsidRPr="007F0427">
        <w:rPr>
          <w:rFonts w:ascii="Georgia" w:hAnsi="Georgia"/>
        </w:rPr>
        <w:t xml:space="preserve">, 840 F.3d at 1247 (“Amazon was aware of </w:t>
      </w:r>
      <w:proofErr w:type="spellStart"/>
      <w:r w:rsidRPr="007F0427">
        <w:rPr>
          <w:rFonts w:ascii="Georgia" w:hAnsi="Georgia"/>
        </w:rPr>
        <w:t>Wreal’s</w:t>
      </w:r>
      <w:proofErr w:type="spellEnd"/>
      <w:r w:rsidRPr="007F0427">
        <w:rPr>
          <w:rFonts w:ascii="Georgia" w:hAnsi="Georgia"/>
        </w:rPr>
        <w:t xml:space="preserve"> </w:t>
      </w:r>
      <w:proofErr w:type="spellStart"/>
      <w:r w:rsidRPr="007F0427">
        <w:rPr>
          <w:rFonts w:ascii="Georgia" w:hAnsi="Georgia"/>
        </w:rPr>
        <w:t>FyreTV</w:t>
      </w:r>
      <w:proofErr w:type="spellEnd"/>
      <w:r w:rsidRPr="007F0427">
        <w:rPr>
          <w:rFonts w:ascii="Georgia" w:hAnsi="Georgia"/>
        </w:rPr>
        <w:t xml:space="preserve"> mark when it launched Fire TV but did not contact </w:t>
      </w:r>
      <w:proofErr w:type="spellStart"/>
      <w:r w:rsidRPr="007F0427">
        <w:rPr>
          <w:rFonts w:ascii="Georgia" w:hAnsi="Georgia"/>
        </w:rPr>
        <w:t>Wreal</w:t>
      </w:r>
      <w:proofErr w:type="spellEnd"/>
      <w:r w:rsidRPr="007F0427">
        <w:rPr>
          <w:rFonts w:ascii="Georgia" w:hAnsi="Georgia"/>
        </w:rPr>
        <w:t xml:space="preserve"> before launching Fire TV.”). Amazon’s Vice President of Marketing further testified in his deposition that Amazon not only chose to proceed with its usage of the </w:t>
      </w:r>
      <w:proofErr w:type="spellStart"/>
      <w:r w:rsidRPr="007F0427">
        <w:rPr>
          <w:rFonts w:ascii="Georgia" w:hAnsi="Georgia"/>
        </w:rPr>
        <w:t>fireTV</w:t>
      </w:r>
      <w:proofErr w:type="spellEnd"/>
      <w:r w:rsidRPr="007F0427">
        <w:rPr>
          <w:rFonts w:ascii="Georgia" w:hAnsi="Georgia"/>
        </w:rPr>
        <w:t xml:space="preserve"> mark after becoming aware of the </w:t>
      </w:r>
      <w:proofErr w:type="spellStart"/>
      <w:r w:rsidRPr="007F0427">
        <w:rPr>
          <w:rFonts w:ascii="Georgia" w:hAnsi="Georgia"/>
        </w:rPr>
        <w:t>FyreTV</w:t>
      </w:r>
      <w:proofErr w:type="spellEnd"/>
      <w:r w:rsidRPr="007F0427">
        <w:rPr>
          <w:rFonts w:ascii="Georgia" w:hAnsi="Georgia"/>
        </w:rPr>
        <w:t xml:space="preserve"> registration, but that his “goal was customers . . . if they search for Amazon Fire TV, if they search for our </w:t>
      </w:r>
      <w:proofErr w:type="gramStart"/>
      <w:r w:rsidRPr="007F0427">
        <w:rPr>
          <w:rFonts w:ascii="Georgia" w:hAnsi="Georgia"/>
        </w:rPr>
        <w:t>product</w:t>
      </w:r>
      <w:proofErr w:type="gramEnd"/>
      <w:r w:rsidRPr="007F0427">
        <w:rPr>
          <w:rFonts w:ascii="Georgia" w:hAnsi="Georgia"/>
        </w:rPr>
        <w:t xml:space="preserve"> I did not want them to first come across a porn site and have that experience.” The district court, upon reviewing that testimony, concluded that no reasonable juror could view it and conclude that Amazon had any “bad faith (or other) intent to deceive consumers or drive </w:t>
      </w:r>
      <w:proofErr w:type="spellStart"/>
      <w:r w:rsidRPr="007F0427">
        <w:rPr>
          <w:rFonts w:ascii="Georgia" w:hAnsi="Georgia"/>
        </w:rPr>
        <w:t>Wreal</w:t>
      </w:r>
      <w:proofErr w:type="spellEnd"/>
      <w:r w:rsidRPr="007F0427">
        <w:rPr>
          <w:rFonts w:ascii="Georgia" w:hAnsi="Georgia"/>
        </w:rPr>
        <w:t xml:space="preserve"> out of the market.” That conclusion was erroneous. The record evidence established that when Amazon launched the </w:t>
      </w:r>
      <w:proofErr w:type="spellStart"/>
      <w:r w:rsidRPr="007F0427">
        <w:rPr>
          <w:rFonts w:ascii="Georgia" w:hAnsi="Georgia"/>
        </w:rPr>
        <w:t>fireTV</w:t>
      </w:r>
      <w:proofErr w:type="spellEnd"/>
      <w:r w:rsidRPr="007F0427">
        <w:rPr>
          <w:rFonts w:ascii="Georgia" w:hAnsi="Georgia"/>
        </w:rPr>
        <w:t xml:space="preserve">, it specifically tried to flood the market with advertising </w:t>
      </w:r>
      <w:proofErr w:type="gramStart"/>
      <w:r w:rsidRPr="007F0427">
        <w:rPr>
          <w:rFonts w:ascii="Georgia" w:hAnsi="Georgia"/>
        </w:rPr>
        <w:t>in an attempt to</w:t>
      </w:r>
      <w:proofErr w:type="gramEnd"/>
      <w:r w:rsidRPr="007F0427">
        <w:rPr>
          <w:rFonts w:ascii="Georgia" w:hAnsi="Georgia"/>
        </w:rPr>
        <w:t xml:space="preserve"> lower awareness of </w:t>
      </w:r>
      <w:proofErr w:type="spellStart"/>
      <w:r w:rsidRPr="007F0427">
        <w:rPr>
          <w:rFonts w:ascii="Georgia" w:hAnsi="Georgia"/>
        </w:rPr>
        <w:t>Wreal’s</w:t>
      </w:r>
      <w:proofErr w:type="spellEnd"/>
      <w:r w:rsidRPr="007F0427">
        <w:rPr>
          <w:rFonts w:ascii="Georgia" w:hAnsi="Georgia"/>
        </w:rPr>
        <w:t xml:space="preserve"> similarly named mark. We take Amazon at its word, and we therefore conclude that the intent factor weighs heavily in favor of </w:t>
      </w:r>
      <w:proofErr w:type="spellStart"/>
      <w:r w:rsidRPr="007F0427">
        <w:rPr>
          <w:rFonts w:ascii="Georgia" w:hAnsi="Georgia"/>
        </w:rPr>
        <w:t>Wreal</w:t>
      </w:r>
      <w:proofErr w:type="spellEnd"/>
      <w:r w:rsidRPr="007F0427">
        <w:rPr>
          <w:rFonts w:ascii="Georgia" w:hAnsi="Georgia"/>
        </w:rPr>
        <w:t>.</w:t>
      </w:r>
    </w:p>
    <w:p w14:paraId="22B8CB1E" w14:textId="77777777" w:rsidR="00BA1C68" w:rsidRPr="007F0427" w:rsidRDefault="00BA1C68" w:rsidP="00BA1C68">
      <w:pPr>
        <w:rPr>
          <w:rFonts w:ascii="Georgia" w:hAnsi="Georgia"/>
          <w:b/>
          <w:bCs/>
        </w:rPr>
      </w:pPr>
      <w:bookmarkStart w:id="67" w:name="co_anchor_I408fe4e1fcf211ecb4fdd6112f0b9"/>
      <w:bookmarkEnd w:id="67"/>
      <w:r w:rsidRPr="007F0427">
        <w:rPr>
          <w:rFonts w:ascii="Georgia" w:hAnsi="Georgia"/>
          <w:b/>
          <w:bCs/>
        </w:rPr>
        <w:t>G. Actual Confusion</w:t>
      </w:r>
    </w:p>
    <w:p w14:paraId="26550442" w14:textId="171CF164" w:rsidR="00BA1C68" w:rsidRPr="007F0427" w:rsidRDefault="00BA1C68" w:rsidP="00BA1C68">
      <w:pPr>
        <w:rPr>
          <w:rFonts w:ascii="Georgia" w:hAnsi="Georgia"/>
          <w:i/>
          <w:iCs/>
        </w:rPr>
      </w:pPr>
      <w:bookmarkStart w:id="68" w:name="co_anchor_B362056495078_1"/>
      <w:bookmarkStart w:id="69" w:name="co_anchor_B372056495078_1"/>
      <w:bookmarkStart w:id="70" w:name="co_anchor_B382056495078_1"/>
      <w:bookmarkEnd w:id="68"/>
      <w:bookmarkEnd w:id="69"/>
      <w:bookmarkEnd w:id="70"/>
      <w:r w:rsidRPr="007F0427">
        <w:rPr>
          <w:rFonts w:ascii="Georgia" w:hAnsi="Georgia"/>
        </w:rPr>
        <w:lastRenderedPageBreak/>
        <w:t xml:space="preserve"> “[E]</w:t>
      </w:r>
      <w:proofErr w:type="spellStart"/>
      <w:r w:rsidRPr="007F0427">
        <w:rPr>
          <w:rFonts w:ascii="Georgia" w:hAnsi="Georgia"/>
        </w:rPr>
        <w:t>vidence</w:t>
      </w:r>
      <w:proofErr w:type="spellEnd"/>
      <w:r w:rsidRPr="007F0427">
        <w:rPr>
          <w:rFonts w:ascii="Georgia" w:hAnsi="Georgia"/>
        </w:rPr>
        <w:t xml:space="preserve"> of actual confusion is the best evidence of a likelihood of confusion.” </w:t>
      </w:r>
      <w:proofErr w:type="spellStart"/>
      <w:r w:rsidRPr="007F0427">
        <w:rPr>
          <w:rFonts w:ascii="Georgia" w:hAnsi="Georgia"/>
          <w:i/>
          <w:iCs/>
        </w:rPr>
        <w:t>Frehling</w:t>
      </w:r>
      <w:proofErr w:type="spellEnd"/>
      <w:r w:rsidRPr="007F0427">
        <w:rPr>
          <w:rFonts w:ascii="Georgia" w:hAnsi="Georgia"/>
        </w:rPr>
        <w:t xml:space="preserve"> 192 F.3d at 1340. But the presence of such evidence is obviously not a prerequisite to a finding of likelihood of confusion, as it is one of seven factors considered in the likelihood-of-confusion determination. </w:t>
      </w:r>
      <w:r w:rsidRPr="007F0427">
        <w:rPr>
          <w:rFonts w:ascii="Georgia" w:hAnsi="Georgia"/>
          <w:i/>
          <w:iCs/>
        </w:rPr>
        <w:t>Id.</w:t>
      </w:r>
      <w:r w:rsidRPr="007F0427">
        <w:rPr>
          <w:rFonts w:ascii="Georgia" w:hAnsi="Georgia"/>
        </w:rPr>
        <w:t xml:space="preserve"> Indeed, “it is not necessary to show actual confusion. One merely </w:t>
      </w:r>
      <w:proofErr w:type="gramStart"/>
      <w:r w:rsidRPr="007F0427">
        <w:rPr>
          <w:rFonts w:ascii="Georgia" w:hAnsi="Georgia"/>
        </w:rPr>
        <w:t>has to</w:t>
      </w:r>
      <w:proofErr w:type="gramEnd"/>
      <w:r w:rsidRPr="007F0427">
        <w:rPr>
          <w:rFonts w:ascii="Georgia" w:hAnsi="Georgia"/>
        </w:rPr>
        <w:t xml:space="preserve"> show that the likelihood of confusion exists.” </w:t>
      </w:r>
      <w:r w:rsidRPr="007F0427">
        <w:rPr>
          <w:rFonts w:ascii="Georgia" w:hAnsi="Georgia"/>
          <w:i/>
          <w:iCs/>
        </w:rPr>
        <w:t>World Carpets, Inc. v. Dick Littrell’s New World Carpets</w:t>
      </w:r>
      <w:r w:rsidRPr="007F0427">
        <w:rPr>
          <w:rFonts w:ascii="Georgia" w:hAnsi="Georgia"/>
        </w:rPr>
        <w:t>, 438 F.2d 482, 489 (5th Cir. 1971).</w:t>
      </w:r>
      <w:bookmarkStart w:id="71" w:name="co_fnRef_B00152056495078_ID0EGDBK_1"/>
      <w:bookmarkEnd w:id="71"/>
      <w:r w:rsidRPr="007F0427">
        <w:rPr>
          <w:rFonts w:ascii="Georgia" w:hAnsi="Georgia"/>
        </w:rPr>
        <w:t xml:space="preserve"> But in assessing the quantum of actual confusion required for a finding in the plaintiff’s favor, even a “very little” amount of actual confusion is highly probative. </w:t>
      </w:r>
      <w:r w:rsidRPr="007F0427">
        <w:rPr>
          <w:rFonts w:ascii="Georgia" w:hAnsi="Georgia"/>
          <w:i/>
          <w:iCs/>
        </w:rPr>
        <w:t>See id.</w:t>
      </w:r>
    </w:p>
    <w:p w14:paraId="269120F5" w14:textId="4C653E14" w:rsidR="00BA1C68" w:rsidRPr="007F0427" w:rsidRDefault="00BA1C68" w:rsidP="00BA1C68">
      <w:pPr>
        <w:rPr>
          <w:rFonts w:ascii="Georgia" w:hAnsi="Georgia"/>
        </w:rPr>
      </w:pPr>
      <w:bookmarkStart w:id="72" w:name="co_footnote_B00152056495078_1"/>
      <w:bookmarkStart w:id="73" w:name="co_anchor_B392056495078_1"/>
      <w:bookmarkStart w:id="74" w:name="co_anchor_B402056495078_1"/>
      <w:bookmarkEnd w:id="72"/>
      <w:bookmarkEnd w:id="73"/>
      <w:bookmarkEnd w:id="74"/>
      <w:proofErr w:type="gramStart"/>
      <w:r w:rsidRPr="007F0427">
        <w:rPr>
          <w:rFonts w:ascii="Georgia" w:hAnsi="Georgia"/>
        </w:rPr>
        <w:t>”The</w:t>
      </w:r>
      <w:proofErr w:type="gramEnd"/>
      <w:r w:rsidRPr="007F0427">
        <w:rPr>
          <w:rFonts w:ascii="Georgia" w:hAnsi="Georgia"/>
        </w:rPr>
        <w:t xml:space="preserve"> strength of such evidence depends on ‘the number of instances of confusion,’ ‘the kinds of persons confused’ and the ‘degree of confusion.’ </w:t>
      </w:r>
      <w:proofErr w:type="gramStart"/>
      <w:r w:rsidRPr="007F0427">
        <w:rPr>
          <w:rFonts w:ascii="Georgia" w:hAnsi="Georgia"/>
        </w:rPr>
        <w:t xml:space="preserve">“ </w:t>
      </w:r>
      <w:r w:rsidRPr="007F0427">
        <w:rPr>
          <w:rFonts w:ascii="Georgia" w:hAnsi="Georgia"/>
          <w:i/>
          <w:iCs/>
        </w:rPr>
        <w:t>Sovereign</w:t>
      </w:r>
      <w:proofErr w:type="gramEnd"/>
      <w:r w:rsidRPr="007F0427">
        <w:rPr>
          <w:rFonts w:ascii="Georgia" w:hAnsi="Georgia"/>
          <w:i/>
          <w:iCs/>
        </w:rPr>
        <w:t xml:space="preserve"> Mil. Hospitaller v. Fla. Priory of the Knights</w:t>
      </w:r>
      <w:r w:rsidRPr="007F0427">
        <w:rPr>
          <w:rFonts w:ascii="Georgia" w:hAnsi="Georgia"/>
        </w:rPr>
        <w:t xml:space="preserve">, 809 F.3d 1171, 1189 (11th Cir. 2015). But even more important than the </w:t>
      </w:r>
      <w:r w:rsidRPr="007F0427">
        <w:rPr>
          <w:rFonts w:ascii="Georgia" w:hAnsi="Georgia"/>
          <w:i/>
          <w:iCs/>
        </w:rPr>
        <w:t>number</w:t>
      </w:r>
      <w:r w:rsidRPr="007F0427">
        <w:rPr>
          <w:rFonts w:ascii="Georgia" w:hAnsi="Georgia"/>
        </w:rPr>
        <w:t xml:space="preserve"> of persons confused is the </w:t>
      </w:r>
      <w:r w:rsidRPr="007F0427">
        <w:rPr>
          <w:rFonts w:ascii="Georgia" w:hAnsi="Georgia"/>
          <w:i/>
          <w:iCs/>
        </w:rPr>
        <w:t>type</w:t>
      </w:r>
      <w:r w:rsidRPr="007F0427">
        <w:rPr>
          <w:rFonts w:ascii="Georgia" w:hAnsi="Georgia"/>
        </w:rPr>
        <w:t xml:space="preserve"> of person confused; our “caselaw makes plain that the consumers of the relevant product or service, especially the mark holder’s customers, turn the key.” </w:t>
      </w:r>
      <w:r w:rsidRPr="007F0427">
        <w:rPr>
          <w:rFonts w:ascii="Georgia" w:hAnsi="Georgia"/>
          <w:i/>
          <w:iCs/>
        </w:rPr>
        <w:t>Caliber Auto. Liquidators, Inc. v. Premier Chrysler, Jeep, Dodge, LLC</w:t>
      </w:r>
      <w:r w:rsidRPr="007F0427">
        <w:rPr>
          <w:rFonts w:ascii="Georgia" w:hAnsi="Georgia"/>
        </w:rPr>
        <w:t xml:space="preserve">, 605 F.3d 931, 936 (11th Cir. 2010). Indeed, we have accorded “substantial weight” to any instances of “evidence that actual customers were confused by the use of a mark as opposed to other categories of people.” </w:t>
      </w:r>
      <w:r w:rsidRPr="007F0427">
        <w:rPr>
          <w:rFonts w:ascii="Georgia" w:hAnsi="Georgia"/>
          <w:i/>
          <w:iCs/>
        </w:rPr>
        <w:t>Aronowitz v. Health-Chem Corp.</w:t>
      </w:r>
      <w:r w:rsidRPr="007F0427">
        <w:rPr>
          <w:rFonts w:ascii="Georgia" w:hAnsi="Georgia"/>
        </w:rPr>
        <w:t>, 513 F.3d 1229, 1240 (11th Cir. 2008).</w:t>
      </w:r>
    </w:p>
    <w:p w14:paraId="28AA2DB3" w14:textId="630B5A4F" w:rsidR="00BA1C68" w:rsidRPr="007F0427" w:rsidRDefault="00BA1C68" w:rsidP="00BA1C68">
      <w:pPr>
        <w:rPr>
          <w:rFonts w:ascii="Georgia" w:hAnsi="Georgia"/>
        </w:rPr>
      </w:pPr>
      <w:bookmarkStart w:id="75" w:name="co_anchor_B412056495078_1"/>
      <w:bookmarkEnd w:id="75"/>
      <w:r w:rsidRPr="007F0427">
        <w:rPr>
          <w:rFonts w:ascii="Georgia" w:hAnsi="Georgia"/>
        </w:rPr>
        <w:t xml:space="preserve">In reverse-confusion cases, evidence of forward confusion will usually be probative. </w:t>
      </w:r>
      <w:r w:rsidRPr="007F0427">
        <w:rPr>
          <w:rFonts w:ascii="Georgia" w:hAnsi="Georgia"/>
          <w:i/>
          <w:iCs/>
        </w:rPr>
        <w:t>See Freedom Card, Inc. v. JPMorgan Chase &amp; Co.</w:t>
      </w:r>
      <w:r w:rsidRPr="007F0427">
        <w:rPr>
          <w:rFonts w:ascii="Georgia" w:hAnsi="Georgia"/>
        </w:rPr>
        <w:t xml:space="preserve">, 432 F.3d 463, 473 (3d Cir. 2005). But even more relevant is direct evidence of </w:t>
      </w:r>
      <w:r w:rsidRPr="007F0427">
        <w:rPr>
          <w:rFonts w:ascii="Georgia" w:hAnsi="Georgia"/>
          <w:i/>
          <w:iCs/>
        </w:rPr>
        <w:t>reverse</w:t>
      </w:r>
      <w:r w:rsidRPr="007F0427">
        <w:rPr>
          <w:rFonts w:ascii="Georgia" w:hAnsi="Georgia"/>
        </w:rPr>
        <w:t xml:space="preserve"> confusion—i.e., evidence that consumers of the plaintiff’s more senior mark became confused as to its source following the launch of the defendant’s more junior mark. </w:t>
      </w:r>
      <w:r w:rsidRPr="007F0427">
        <w:rPr>
          <w:rFonts w:ascii="Georgia" w:hAnsi="Georgia"/>
          <w:i/>
          <w:iCs/>
        </w:rPr>
        <w:t>See Sterling Drug, Inc. v. Bayer AG</w:t>
      </w:r>
      <w:r w:rsidRPr="007F0427">
        <w:rPr>
          <w:rFonts w:ascii="Georgia" w:hAnsi="Georgia"/>
        </w:rPr>
        <w:t>, 14 F.3d 733, 741 (2d Cir. 1994) (noting that, in a reverse-confusion claim, “the relevant issue is whether consumers mistakenly believe that the senior user’s products actually originate with the junior user” and that “it is appropriate to survey the senior user’s customers”). Survey evidence—while perhaps more accurately described as circumstantial evidence of confusion</w:t>
      </w:r>
      <w:bookmarkStart w:id="76" w:name="co_fnRef_B00162056495078_ID0ESKBK_1"/>
      <w:bookmarkEnd w:id="76"/>
      <w:r w:rsidRPr="007F0427">
        <w:rPr>
          <w:rStyle w:val="FootnoteReference"/>
          <w:rFonts w:ascii="Georgia" w:hAnsi="Georgia"/>
        </w:rPr>
        <w:footnoteReference w:customMarkFollows="1" w:id="9"/>
        <w:t>16</w:t>
      </w:r>
      <w:r w:rsidRPr="007F0427">
        <w:rPr>
          <w:rFonts w:ascii="Georgia" w:hAnsi="Georgia"/>
        </w:rPr>
        <w:t xml:space="preserve"> rather than direct evidence—is, of course, admissible. But because the theory of reverse confusion depends on market saturation by the defendant’s mark, a reliable survey “cannot be run in a reverse confusion case prior to the junior user’s saturation of the market with its mark because, until that time, consumers have not been exposed to the relatively large advertising and promotion of the junior user that is the hallmark of a reverse confusion case.” 4 McCarthy, </w:t>
      </w:r>
      <w:r w:rsidRPr="007F0427">
        <w:rPr>
          <w:rFonts w:ascii="Georgia" w:hAnsi="Georgia"/>
          <w:i/>
          <w:iCs/>
        </w:rPr>
        <w:t>supra</w:t>
      </w:r>
      <w:r w:rsidRPr="007F0427">
        <w:rPr>
          <w:rFonts w:ascii="Georgia" w:hAnsi="Georgia"/>
        </w:rPr>
        <w:t>, § 23:10.</w:t>
      </w:r>
    </w:p>
    <w:p w14:paraId="23A7E593" w14:textId="459468C2" w:rsidR="00BA1C68" w:rsidRPr="007F0427" w:rsidRDefault="00BA1C68" w:rsidP="00BA1C68">
      <w:pPr>
        <w:rPr>
          <w:rFonts w:ascii="Georgia" w:hAnsi="Georgia"/>
        </w:rPr>
      </w:pPr>
      <w:bookmarkStart w:id="77" w:name="co_footnote_B00162056495078_1"/>
      <w:bookmarkEnd w:id="77"/>
      <w:r w:rsidRPr="007F0427">
        <w:rPr>
          <w:rFonts w:ascii="Georgia" w:hAnsi="Georgia"/>
        </w:rPr>
        <w:lastRenderedPageBreak/>
        <w:t xml:space="preserve">The record evidence here contains some evidence of actual confusion. For example, </w:t>
      </w:r>
      <w:proofErr w:type="spellStart"/>
      <w:r w:rsidRPr="007F0427">
        <w:rPr>
          <w:rFonts w:ascii="Georgia" w:hAnsi="Georgia"/>
        </w:rPr>
        <w:t>Wreal</w:t>
      </w:r>
      <w:proofErr w:type="spellEnd"/>
      <w:r w:rsidRPr="007F0427">
        <w:rPr>
          <w:rFonts w:ascii="Georgia" w:hAnsi="Georgia"/>
        </w:rPr>
        <w:t xml:space="preserve"> introduced evidence that one of its customers asked over Twitter, “Did you guys just merge with Amazon?” And one of Amazon’s customers communicated with Amazon to ask whether he could access “adult content” on his Amazon “</w:t>
      </w:r>
      <w:proofErr w:type="spellStart"/>
      <w:r w:rsidRPr="007F0427">
        <w:rPr>
          <w:rFonts w:ascii="Georgia" w:hAnsi="Georgia"/>
        </w:rPr>
        <w:t>fyre</w:t>
      </w:r>
      <w:proofErr w:type="spellEnd"/>
      <w:r w:rsidRPr="007F0427">
        <w:rPr>
          <w:rFonts w:ascii="Georgia" w:hAnsi="Georgia"/>
        </w:rPr>
        <w:t xml:space="preserve">” TV. Both instances directly suggest reverse confusion; the first consumer believed Amazon had purchased </w:t>
      </w:r>
      <w:proofErr w:type="spellStart"/>
      <w:r w:rsidRPr="007F0427">
        <w:rPr>
          <w:rFonts w:ascii="Georgia" w:hAnsi="Georgia"/>
        </w:rPr>
        <w:t>Wreal’s</w:t>
      </w:r>
      <w:proofErr w:type="spellEnd"/>
      <w:r w:rsidRPr="007F0427">
        <w:rPr>
          <w:rFonts w:ascii="Georgia" w:hAnsi="Georgia"/>
        </w:rPr>
        <w:t xml:space="preserve"> trademark, and the second consumer contacted Amazon to inquire about </w:t>
      </w:r>
      <w:proofErr w:type="spellStart"/>
      <w:r w:rsidRPr="007F0427">
        <w:rPr>
          <w:rFonts w:ascii="Georgia" w:hAnsi="Georgia"/>
        </w:rPr>
        <w:t>Wreal’s</w:t>
      </w:r>
      <w:proofErr w:type="spellEnd"/>
      <w:r w:rsidRPr="007F0427">
        <w:rPr>
          <w:rFonts w:ascii="Georgia" w:hAnsi="Georgia"/>
        </w:rPr>
        <w:t xml:space="preserve"> product.</w:t>
      </w:r>
      <w:bookmarkStart w:id="78" w:name="co_fnRef_B00172056495078_ID0ELNBK_1"/>
      <w:bookmarkEnd w:id="78"/>
      <w:r w:rsidRPr="007F0427">
        <w:rPr>
          <w:rStyle w:val="FootnoteReference"/>
          <w:rFonts w:ascii="Georgia" w:hAnsi="Georgia"/>
        </w:rPr>
        <w:footnoteReference w:customMarkFollows="1" w:id="10"/>
        <w:t>17</w:t>
      </w:r>
      <w:r w:rsidRPr="007F0427">
        <w:rPr>
          <w:rFonts w:ascii="Georgia" w:hAnsi="Georgia"/>
        </w:rPr>
        <w:t xml:space="preserve"> But these are the only two true instances of confusion present in the record.</w:t>
      </w:r>
      <w:bookmarkStart w:id="79" w:name="co_fnRef_B00182056495078_ID0EVNBK_1"/>
      <w:bookmarkEnd w:id="79"/>
      <w:r w:rsidRPr="007F0427">
        <w:rPr>
          <w:rStyle w:val="FootnoteReference"/>
          <w:rFonts w:ascii="Georgia" w:hAnsi="Georgia"/>
        </w:rPr>
        <w:footnoteReference w:customMarkFollows="1" w:id="11"/>
        <w:t>18</w:t>
      </w:r>
    </w:p>
    <w:p w14:paraId="7B1EFF0E" w14:textId="6983AF12" w:rsidR="00BA1C68" w:rsidRPr="007F0427" w:rsidRDefault="00BA1C68" w:rsidP="00BA1C68">
      <w:pPr>
        <w:rPr>
          <w:rFonts w:ascii="Georgia" w:hAnsi="Georgia"/>
        </w:rPr>
      </w:pPr>
      <w:bookmarkStart w:id="80" w:name="co_footnote_B00172056495078_1"/>
      <w:bookmarkStart w:id="81" w:name="co_footnote_B00182056495078_1"/>
      <w:bookmarkEnd w:id="80"/>
      <w:bookmarkEnd w:id="81"/>
      <w:r w:rsidRPr="007F0427">
        <w:rPr>
          <w:rFonts w:ascii="Georgia" w:hAnsi="Georgia"/>
        </w:rPr>
        <w:t xml:space="preserve">Amazon and </w:t>
      </w:r>
      <w:proofErr w:type="spellStart"/>
      <w:r w:rsidRPr="007F0427">
        <w:rPr>
          <w:rFonts w:ascii="Georgia" w:hAnsi="Georgia"/>
        </w:rPr>
        <w:t>Wreal</w:t>
      </w:r>
      <w:proofErr w:type="spellEnd"/>
      <w:r w:rsidRPr="007F0427">
        <w:rPr>
          <w:rFonts w:ascii="Georgia" w:hAnsi="Georgia"/>
        </w:rPr>
        <w:t xml:space="preserve"> both also introduced survey evidence regarding the rate of confusion. Dr. Thomas </w:t>
      </w:r>
      <w:proofErr w:type="spellStart"/>
      <w:r w:rsidRPr="007F0427">
        <w:rPr>
          <w:rFonts w:ascii="Georgia" w:hAnsi="Georgia"/>
        </w:rPr>
        <w:t>Maronick</w:t>
      </w:r>
      <w:proofErr w:type="spellEnd"/>
      <w:r w:rsidRPr="007F0427">
        <w:rPr>
          <w:rFonts w:ascii="Georgia" w:hAnsi="Georgia"/>
        </w:rPr>
        <w:t xml:space="preserve">, who testified for </w:t>
      </w:r>
      <w:proofErr w:type="spellStart"/>
      <w:r w:rsidRPr="007F0427">
        <w:rPr>
          <w:rFonts w:ascii="Georgia" w:hAnsi="Georgia"/>
        </w:rPr>
        <w:t>Wreal</w:t>
      </w:r>
      <w:proofErr w:type="spellEnd"/>
      <w:r w:rsidRPr="007F0427">
        <w:rPr>
          <w:rFonts w:ascii="Georgia" w:hAnsi="Georgia"/>
        </w:rPr>
        <w:t xml:space="preserve"> at the preliminary injunction hearing, conducted a preliminary survey in April 2014 and found “very low consumer confusion” between </w:t>
      </w:r>
      <w:proofErr w:type="spellStart"/>
      <w:r w:rsidRPr="007F0427">
        <w:rPr>
          <w:rFonts w:ascii="Georgia" w:hAnsi="Georgia"/>
        </w:rPr>
        <w:t>FyreTV</w:t>
      </w:r>
      <w:proofErr w:type="spellEnd"/>
      <w:r w:rsidRPr="007F0427">
        <w:rPr>
          <w:rFonts w:ascii="Georgia" w:hAnsi="Georgia"/>
        </w:rPr>
        <w:t xml:space="preserve"> and </w:t>
      </w:r>
      <w:proofErr w:type="spellStart"/>
      <w:r w:rsidRPr="007F0427">
        <w:rPr>
          <w:rFonts w:ascii="Georgia" w:hAnsi="Georgia"/>
        </w:rPr>
        <w:t>fireTV</w:t>
      </w:r>
      <w:proofErr w:type="spellEnd"/>
      <w:r w:rsidRPr="007F0427">
        <w:rPr>
          <w:rFonts w:ascii="Georgia" w:hAnsi="Georgia"/>
        </w:rPr>
        <w:t xml:space="preserve">. Dr. </w:t>
      </w:r>
      <w:proofErr w:type="spellStart"/>
      <w:r w:rsidRPr="007F0427">
        <w:rPr>
          <w:rFonts w:ascii="Georgia" w:hAnsi="Georgia"/>
        </w:rPr>
        <w:t>Maronick</w:t>
      </w:r>
      <w:proofErr w:type="spellEnd"/>
      <w:r w:rsidRPr="007F0427">
        <w:rPr>
          <w:rFonts w:ascii="Georgia" w:hAnsi="Georgia"/>
        </w:rPr>
        <w:t xml:space="preserve"> also testified that awareness of the </w:t>
      </w:r>
      <w:proofErr w:type="spellStart"/>
      <w:r w:rsidRPr="007F0427">
        <w:rPr>
          <w:rFonts w:ascii="Georgia" w:hAnsi="Georgia"/>
        </w:rPr>
        <w:t>FyreTV</w:t>
      </w:r>
      <w:proofErr w:type="spellEnd"/>
      <w:r w:rsidRPr="007F0427">
        <w:rPr>
          <w:rFonts w:ascii="Georgia" w:hAnsi="Georgia"/>
        </w:rPr>
        <w:t xml:space="preserve"> mark was “very low.” In a similar vein, Dr. Dan Sarel, Amazon’s expert, conducted a consumer survey and found a confusion rate of one percent, which he testified was “nonexistent” and “statistically insignificant.”</w:t>
      </w:r>
    </w:p>
    <w:p w14:paraId="6F2BC74D" w14:textId="7BE02226" w:rsidR="00BA1C68" w:rsidRPr="007F0427" w:rsidRDefault="00BA1C68" w:rsidP="00BA1C68">
      <w:pPr>
        <w:rPr>
          <w:rFonts w:ascii="Georgia" w:hAnsi="Georgia"/>
        </w:rPr>
      </w:pPr>
      <w:r w:rsidRPr="007F0427">
        <w:rPr>
          <w:rFonts w:ascii="Georgia" w:hAnsi="Georgia"/>
        </w:rPr>
        <w:t>We hesitate to give significant weight to either the specifically identified instances of actual confusion or the surveys. Amazon introduced evidence from an expert witness, Peter Lehman, that tended to suggest that watching pornography is an inherently shameful act, and that consumers of pornography are less likely to report their consumption than consumers of other media. With this testimony in mind, we turn first to the first two instances of actual confusion.</w:t>
      </w:r>
    </w:p>
    <w:p w14:paraId="7D89C1B1" w14:textId="608AF920" w:rsidR="00BA1C68" w:rsidRPr="007F0427" w:rsidRDefault="00BA1C68" w:rsidP="00BA1C68">
      <w:pPr>
        <w:rPr>
          <w:rFonts w:ascii="Georgia" w:hAnsi="Georgia"/>
        </w:rPr>
      </w:pPr>
      <w:bookmarkStart w:id="82" w:name="co_anchor_B422056495078_1"/>
      <w:bookmarkStart w:id="83" w:name="co_anchor_B432056495078_1"/>
      <w:bookmarkEnd w:id="82"/>
      <w:bookmarkEnd w:id="83"/>
      <w:r w:rsidRPr="007F0427">
        <w:rPr>
          <w:rFonts w:ascii="Georgia" w:hAnsi="Georgia"/>
        </w:rPr>
        <w:t xml:space="preserve">Our caselaw is clear that the “the quantum of evidence needed to show actual confusion is relatively small.” </w:t>
      </w:r>
      <w:proofErr w:type="spellStart"/>
      <w:r w:rsidRPr="007F0427">
        <w:rPr>
          <w:rFonts w:ascii="Georgia" w:hAnsi="Georgia"/>
          <w:i/>
          <w:iCs/>
        </w:rPr>
        <w:t>Jellibeans</w:t>
      </w:r>
      <w:proofErr w:type="spellEnd"/>
      <w:r w:rsidRPr="007F0427">
        <w:rPr>
          <w:rFonts w:ascii="Georgia" w:hAnsi="Georgia"/>
          <w:i/>
          <w:iCs/>
        </w:rPr>
        <w:t>, Inc.,</w:t>
      </w:r>
      <w:r w:rsidRPr="007F0427">
        <w:rPr>
          <w:rFonts w:ascii="Georgia" w:hAnsi="Georgia"/>
        </w:rPr>
        <w:t xml:space="preserve"> 716 F.2d at 845. But our caselaw imposes no hard-and-fast rule regarding the number of instances required to prevail. </w:t>
      </w:r>
      <w:r w:rsidRPr="007F0427">
        <w:rPr>
          <w:rFonts w:ascii="Georgia" w:hAnsi="Georgia"/>
          <w:i/>
          <w:iCs/>
        </w:rPr>
        <w:t>See Caliber Auto. Liquidators</w:t>
      </w:r>
      <w:r w:rsidRPr="007F0427">
        <w:rPr>
          <w:rFonts w:ascii="Georgia" w:hAnsi="Georgia"/>
        </w:rPr>
        <w:t xml:space="preserve">, 605 F.3d at 937. “Rather, the court must evaluate the evidence of actual confusion in the light of the totality of the circumstances involved.” </w:t>
      </w:r>
      <w:proofErr w:type="spellStart"/>
      <w:r w:rsidRPr="007F0427">
        <w:rPr>
          <w:rFonts w:ascii="Georgia" w:hAnsi="Georgia"/>
          <w:i/>
          <w:iCs/>
        </w:rPr>
        <w:t>AmBrit</w:t>
      </w:r>
      <w:proofErr w:type="spellEnd"/>
      <w:r w:rsidRPr="007F0427">
        <w:rPr>
          <w:rFonts w:ascii="Georgia" w:hAnsi="Georgia"/>
        </w:rPr>
        <w:t xml:space="preserve">, 812 F.2d at 1543; </w:t>
      </w:r>
      <w:r w:rsidRPr="007F0427">
        <w:rPr>
          <w:rFonts w:ascii="Georgia" w:hAnsi="Georgia"/>
          <w:i/>
          <w:iCs/>
        </w:rPr>
        <w:t>accord World Carpets</w:t>
      </w:r>
      <w:r w:rsidRPr="007F0427">
        <w:rPr>
          <w:rFonts w:ascii="Georgia" w:hAnsi="Georgia"/>
        </w:rPr>
        <w:t>, 438 F.2d at 489 (5th Cir. 1971)</w:t>
      </w:r>
      <w:bookmarkStart w:id="84" w:name="co_fnRef_B00192056495078_ID0EBUBK_1"/>
      <w:bookmarkEnd w:id="84"/>
      <w:r w:rsidRPr="007F0427">
        <w:rPr>
          <w:rFonts w:ascii="Georgia" w:hAnsi="Georgia"/>
        </w:rPr>
        <w:t xml:space="preserve"> (“[R]</w:t>
      </w:r>
      <w:proofErr w:type="spellStart"/>
      <w:r w:rsidRPr="007F0427">
        <w:rPr>
          <w:rFonts w:ascii="Georgia" w:hAnsi="Georgia"/>
        </w:rPr>
        <w:t>eason</w:t>
      </w:r>
      <w:proofErr w:type="spellEnd"/>
      <w:r w:rsidRPr="007F0427">
        <w:rPr>
          <w:rFonts w:ascii="Georgia" w:hAnsi="Georgia"/>
        </w:rPr>
        <w:t xml:space="preserve"> tells us that while very little proof of actual </w:t>
      </w:r>
      <w:r w:rsidRPr="007F0427">
        <w:rPr>
          <w:rFonts w:ascii="Georgia" w:hAnsi="Georgia"/>
        </w:rPr>
        <w:lastRenderedPageBreak/>
        <w:t>confusion would be necessary to prove the likelihood of confusion, an almost overwhelming amount of proof would be necessary to refute such proof.”).</w:t>
      </w:r>
    </w:p>
    <w:p w14:paraId="28D892B9" w14:textId="4E841B10" w:rsidR="00BA1C68" w:rsidRPr="007F0427" w:rsidRDefault="00BA1C68" w:rsidP="00BA1C68">
      <w:pPr>
        <w:rPr>
          <w:rFonts w:ascii="Georgia" w:hAnsi="Georgia"/>
        </w:rPr>
      </w:pPr>
      <w:bookmarkStart w:id="85" w:name="co_footnote_B00192056495078_1"/>
      <w:bookmarkEnd w:id="85"/>
      <w:r w:rsidRPr="007F0427">
        <w:rPr>
          <w:rFonts w:ascii="Georgia" w:hAnsi="Georgia"/>
        </w:rPr>
        <w:t xml:space="preserve">Our previous decisions serve as guides. In </w:t>
      </w:r>
      <w:r w:rsidRPr="007F0427">
        <w:rPr>
          <w:rFonts w:ascii="Georgia" w:hAnsi="Georgia"/>
          <w:i/>
          <w:iCs/>
        </w:rPr>
        <w:t>Safeway Stores</w:t>
      </w:r>
      <w:r w:rsidRPr="007F0427">
        <w:rPr>
          <w:rFonts w:ascii="Georgia" w:hAnsi="Georgia"/>
        </w:rPr>
        <w:t xml:space="preserve">, when reviewing a district court’s findings following a bench trial, we held that a mere two instances of confusion from relevant consumers was worthy of consideration. 675 F.2d at 1166–67, </w:t>
      </w:r>
      <w:r w:rsidRPr="007F0427">
        <w:rPr>
          <w:rFonts w:ascii="Georgia" w:hAnsi="Georgia"/>
          <w:i/>
          <w:iCs/>
        </w:rPr>
        <w:t>abrogation recognized on other grounds</w:t>
      </w:r>
      <w:r w:rsidRPr="007F0427">
        <w:rPr>
          <w:rFonts w:ascii="Georgia" w:hAnsi="Georgia"/>
        </w:rPr>
        <w:t xml:space="preserve">, </w:t>
      </w:r>
      <w:proofErr w:type="spellStart"/>
      <w:r w:rsidRPr="007F0427">
        <w:rPr>
          <w:rFonts w:ascii="Georgia" w:hAnsi="Georgia"/>
          <w:i/>
          <w:iCs/>
        </w:rPr>
        <w:t>PlayNation</w:t>
      </w:r>
      <w:proofErr w:type="spellEnd"/>
      <w:r w:rsidRPr="007F0427">
        <w:rPr>
          <w:rFonts w:ascii="Georgia" w:hAnsi="Georgia"/>
          <w:i/>
          <w:iCs/>
        </w:rPr>
        <w:t xml:space="preserve"> Play Sys., Inc. v. </w:t>
      </w:r>
      <w:proofErr w:type="spellStart"/>
      <w:r w:rsidRPr="007F0427">
        <w:rPr>
          <w:rFonts w:ascii="Georgia" w:hAnsi="Georgia"/>
          <w:i/>
          <w:iCs/>
        </w:rPr>
        <w:t>Velex</w:t>
      </w:r>
      <w:proofErr w:type="spellEnd"/>
      <w:r w:rsidRPr="007F0427">
        <w:rPr>
          <w:rFonts w:ascii="Georgia" w:hAnsi="Georgia"/>
          <w:i/>
          <w:iCs/>
        </w:rPr>
        <w:t xml:space="preserve"> Corp.</w:t>
      </w:r>
      <w:r w:rsidRPr="007F0427">
        <w:rPr>
          <w:rFonts w:ascii="Georgia" w:hAnsi="Georgia"/>
        </w:rPr>
        <w:t xml:space="preserve">, 924 F.3d 1159, 1166 (11th Cir. 2019). Additionally, in </w:t>
      </w:r>
      <w:r w:rsidRPr="007F0427">
        <w:rPr>
          <w:rFonts w:ascii="Georgia" w:hAnsi="Georgia"/>
          <w:i/>
          <w:iCs/>
        </w:rPr>
        <w:t>Caliber Automotive</w:t>
      </w:r>
      <w:r w:rsidRPr="007F0427">
        <w:rPr>
          <w:rFonts w:ascii="Georgia" w:hAnsi="Georgia"/>
        </w:rPr>
        <w:t xml:space="preserve">, we stated that two instances of confusion among professional buyers weighed in the plaintiff’s favor at the summary judgment stage. 605 F.3d at 937–38. In contrast, in </w:t>
      </w:r>
      <w:proofErr w:type="spellStart"/>
      <w:r w:rsidRPr="007F0427">
        <w:rPr>
          <w:rFonts w:ascii="Georgia" w:hAnsi="Georgia"/>
          <w:i/>
          <w:iCs/>
        </w:rPr>
        <w:t>Frehling</w:t>
      </w:r>
      <w:proofErr w:type="spellEnd"/>
      <w:r w:rsidRPr="007F0427">
        <w:rPr>
          <w:rFonts w:ascii="Georgia" w:hAnsi="Georgia"/>
        </w:rPr>
        <w:t>, when reversing the district court’s entry of judgment for the defendant following a bench trial, we concluded that a single instance of actual confusion from a “professional buyer” while “sufficient to raise an inference of actual confusion” was “not sufficiently dispositive so as to favor either side in an appreciable fashion.” 192 F.3d at 1341. </w:t>
      </w:r>
    </w:p>
    <w:p w14:paraId="17817A95" w14:textId="3D0F17DE" w:rsidR="00BA1C68" w:rsidRPr="007F0427" w:rsidRDefault="00BA1C68" w:rsidP="00BA1C68">
      <w:pPr>
        <w:rPr>
          <w:rFonts w:ascii="Georgia" w:hAnsi="Georgia"/>
        </w:rPr>
      </w:pPr>
      <w:r w:rsidRPr="007F0427">
        <w:rPr>
          <w:rFonts w:ascii="Georgia" w:hAnsi="Georgia"/>
        </w:rPr>
        <w:t xml:space="preserve">Perhaps most analogous are our decisions in </w:t>
      </w:r>
      <w:proofErr w:type="spellStart"/>
      <w:r w:rsidRPr="007F0427">
        <w:rPr>
          <w:rFonts w:ascii="Georgia" w:hAnsi="Georgia"/>
          <w:i/>
          <w:iCs/>
        </w:rPr>
        <w:t>AmBrit</w:t>
      </w:r>
      <w:proofErr w:type="spellEnd"/>
      <w:r w:rsidRPr="007F0427">
        <w:rPr>
          <w:rFonts w:ascii="Georgia" w:hAnsi="Georgia"/>
        </w:rPr>
        <w:t xml:space="preserve"> and </w:t>
      </w:r>
      <w:proofErr w:type="spellStart"/>
      <w:r w:rsidRPr="007F0427">
        <w:rPr>
          <w:rFonts w:ascii="Georgia" w:hAnsi="Georgia"/>
          <w:i/>
          <w:iCs/>
        </w:rPr>
        <w:t>PlayNation</w:t>
      </w:r>
      <w:proofErr w:type="spellEnd"/>
      <w:r w:rsidRPr="007F0427">
        <w:rPr>
          <w:rFonts w:ascii="Georgia" w:hAnsi="Georgia"/>
        </w:rPr>
        <w:t xml:space="preserve">. In </w:t>
      </w:r>
      <w:proofErr w:type="spellStart"/>
      <w:r w:rsidRPr="007F0427">
        <w:rPr>
          <w:rFonts w:ascii="Georgia" w:hAnsi="Georgia"/>
          <w:i/>
          <w:iCs/>
        </w:rPr>
        <w:t>AmBrit</w:t>
      </w:r>
      <w:proofErr w:type="spellEnd"/>
      <w:r w:rsidRPr="007F0427">
        <w:rPr>
          <w:rFonts w:ascii="Georgia" w:hAnsi="Georgia"/>
        </w:rPr>
        <w:t xml:space="preserve"> as in this case, the relevant products (ice cream novelties there and set-top boxes, here) were sold to the </w:t>
      </w:r>
      <w:proofErr w:type="gramStart"/>
      <w:r w:rsidRPr="007F0427">
        <w:rPr>
          <w:rFonts w:ascii="Georgia" w:hAnsi="Georgia"/>
        </w:rPr>
        <w:t>general public</w:t>
      </w:r>
      <w:proofErr w:type="gramEnd"/>
      <w:r w:rsidRPr="007F0427">
        <w:rPr>
          <w:rFonts w:ascii="Georgia" w:hAnsi="Georgia"/>
        </w:rPr>
        <w:t xml:space="preserve">, not professional buyers, and had a “high volume of sales” (at least, such is the case for the </w:t>
      </w:r>
      <w:proofErr w:type="spellStart"/>
      <w:r w:rsidRPr="007F0427">
        <w:rPr>
          <w:rFonts w:ascii="Georgia" w:hAnsi="Georgia"/>
        </w:rPr>
        <w:t>fireTV</w:t>
      </w:r>
      <w:proofErr w:type="spellEnd"/>
      <w:r w:rsidRPr="007F0427">
        <w:rPr>
          <w:rFonts w:ascii="Georgia" w:hAnsi="Georgia"/>
        </w:rPr>
        <w:t xml:space="preserve"> here). </w:t>
      </w:r>
      <w:r w:rsidRPr="007F0427">
        <w:rPr>
          <w:rFonts w:ascii="Georgia" w:hAnsi="Georgia"/>
          <w:i/>
          <w:iCs/>
        </w:rPr>
        <w:t>See</w:t>
      </w:r>
      <w:r w:rsidRPr="007F0427">
        <w:rPr>
          <w:rFonts w:ascii="Georgia" w:hAnsi="Georgia"/>
        </w:rPr>
        <w:t xml:space="preserve"> 812 F.2d at 1544. The district court in </w:t>
      </w:r>
      <w:proofErr w:type="spellStart"/>
      <w:r w:rsidRPr="007F0427">
        <w:rPr>
          <w:rFonts w:ascii="Georgia" w:hAnsi="Georgia"/>
          <w:i/>
          <w:iCs/>
        </w:rPr>
        <w:t>AmBrit</w:t>
      </w:r>
      <w:proofErr w:type="spellEnd"/>
      <w:r w:rsidRPr="007F0427">
        <w:rPr>
          <w:rFonts w:ascii="Georgia" w:hAnsi="Georgia"/>
        </w:rPr>
        <w:t xml:space="preserve">, after a bench trial, found that four instances of actual confusion supported a finding of actual confusion in favor of the plaintiff. </w:t>
      </w:r>
      <w:r w:rsidRPr="007F0427">
        <w:rPr>
          <w:rFonts w:ascii="Georgia" w:hAnsi="Georgia"/>
          <w:i/>
          <w:iCs/>
        </w:rPr>
        <w:t>See id.</w:t>
      </w:r>
      <w:r w:rsidRPr="007F0427">
        <w:rPr>
          <w:rFonts w:ascii="Georgia" w:hAnsi="Georgia"/>
        </w:rPr>
        <w:t xml:space="preserve"> And we, reviewing for clear error, affirmed. </w:t>
      </w:r>
      <w:r w:rsidRPr="007F0427">
        <w:rPr>
          <w:rFonts w:ascii="Georgia" w:hAnsi="Georgia"/>
          <w:i/>
          <w:iCs/>
        </w:rPr>
        <w:t>See id.</w:t>
      </w:r>
      <w:r w:rsidRPr="007F0427">
        <w:rPr>
          <w:rFonts w:ascii="Georgia" w:hAnsi="Georgia"/>
        </w:rPr>
        <w:t xml:space="preserve"> at 1544–45. Similarly, in </w:t>
      </w:r>
      <w:proofErr w:type="spellStart"/>
      <w:r w:rsidRPr="007F0427">
        <w:rPr>
          <w:rFonts w:ascii="Georgia" w:hAnsi="Georgia"/>
          <w:i/>
          <w:iCs/>
        </w:rPr>
        <w:t>PlayNation</w:t>
      </w:r>
      <w:proofErr w:type="spellEnd"/>
      <w:r w:rsidRPr="007F0427">
        <w:rPr>
          <w:rFonts w:ascii="Georgia" w:hAnsi="Georgia"/>
        </w:rPr>
        <w:t xml:space="preserve">, the products at issue were playground equipment and pull-up bars which, like ice cream novelties and set-top boxes, are sold to the </w:t>
      </w:r>
      <w:proofErr w:type="gramStart"/>
      <w:r w:rsidRPr="007F0427">
        <w:rPr>
          <w:rFonts w:ascii="Georgia" w:hAnsi="Georgia"/>
        </w:rPr>
        <w:t>general public</w:t>
      </w:r>
      <w:proofErr w:type="gramEnd"/>
      <w:r w:rsidRPr="007F0427">
        <w:rPr>
          <w:rFonts w:ascii="Georgia" w:hAnsi="Georgia"/>
        </w:rPr>
        <w:t xml:space="preserve"> rather than to professional buyers. </w:t>
      </w:r>
      <w:r w:rsidRPr="007F0427">
        <w:rPr>
          <w:rFonts w:ascii="Georgia" w:hAnsi="Georgia"/>
          <w:i/>
          <w:iCs/>
        </w:rPr>
        <w:t>See</w:t>
      </w:r>
      <w:r w:rsidRPr="007F0427">
        <w:rPr>
          <w:rFonts w:ascii="Georgia" w:hAnsi="Georgia"/>
        </w:rPr>
        <w:t xml:space="preserve"> 924 F.3d at 1164. Following a bench trial, the district court found that just two instances of actual confusion—in which the plaintiff’s customers contacted the defendant for customer support—were sufficient to support a finding of actual confusion. </w:t>
      </w:r>
      <w:r w:rsidRPr="007F0427">
        <w:rPr>
          <w:rFonts w:ascii="Georgia" w:hAnsi="Georgia"/>
          <w:i/>
          <w:iCs/>
        </w:rPr>
        <w:t>See id.</w:t>
      </w:r>
      <w:r w:rsidRPr="007F0427">
        <w:rPr>
          <w:rFonts w:ascii="Georgia" w:hAnsi="Georgia"/>
        </w:rPr>
        <w:t xml:space="preserve"> at 1167. On appeal, we affirmed the ruling. </w:t>
      </w:r>
      <w:r w:rsidRPr="007F0427">
        <w:rPr>
          <w:rFonts w:ascii="Georgia" w:hAnsi="Georgia"/>
          <w:i/>
          <w:iCs/>
        </w:rPr>
        <w:t>See id.</w:t>
      </w:r>
      <w:r w:rsidRPr="007F0427">
        <w:rPr>
          <w:rFonts w:ascii="Georgia" w:hAnsi="Georgia"/>
        </w:rPr>
        <w:t xml:space="preserve"> at 1167–68.</w:t>
      </w:r>
    </w:p>
    <w:p w14:paraId="5D486285" w14:textId="07137E70" w:rsidR="00BA1C68" w:rsidRPr="007F0427" w:rsidRDefault="00BA1C68" w:rsidP="00BA1C68">
      <w:pPr>
        <w:rPr>
          <w:rFonts w:ascii="Georgia" w:hAnsi="Georgia"/>
        </w:rPr>
      </w:pPr>
      <w:r w:rsidRPr="007F0427">
        <w:rPr>
          <w:rFonts w:ascii="Georgia" w:hAnsi="Georgia"/>
        </w:rPr>
        <w:t xml:space="preserve">As in </w:t>
      </w:r>
      <w:proofErr w:type="spellStart"/>
      <w:r w:rsidRPr="007F0427">
        <w:rPr>
          <w:rFonts w:ascii="Georgia" w:hAnsi="Georgia"/>
          <w:i/>
          <w:iCs/>
        </w:rPr>
        <w:t>AmBrit</w:t>
      </w:r>
      <w:proofErr w:type="spellEnd"/>
      <w:r w:rsidRPr="007F0427">
        <w:rPr>
          <w:rFonts w:ascii="Georgia" w:hAnsi="Georgia"/>
        </w:rPr>
        <w:t xml:space="preserve"> and </w:t>
      </w:r>
      <w:proofErr w:type="spellStart"/>
      <w:r w:rsidRPr="007F0427">
        <w:rPr>
          <w:rFonts w:ascii="Georgia" w:hAnsi="Georgia"/>
          <w:i/>
          <w:iCs/>
        </w:rPr>
        <w:t>PlayNation</w:t>
      </w:r>
      <w:proofErr w:type="spellEnd"/>
      <w:r w:rsidRPr="007F0427">
        <w:rPr>
          <w:rFonts w:ascii="Georgia" w:hAnsi="Georgia"/>
        </w:rPr>
        <w:t xml:space="preserve">, the reported instances of confusion in this case are relatively few. Even after years of litigation, </w:t>
      </w:r>
      <w:proofErr w:type="spellStart"/>
      <w:r w:rsidRPr="007F0427">
        <w:rPr>
          <w:rFonts w:ascii="Georgia" w:hAnsi="Georgia"/>
        </w:rPr>
        <w:t>Wreal</w:t>
      </w:r>
      <w:proofErr w:type="spellEnd"/>
      <w:r w:rsidRPr="007F0427">
        <w:rPr>
          <w:rFonts w:ascii="Georgia" w:hAnsi="Georgia"/>
        </w:rPr>
        <w:t xml:space="preserve"> </w:t>
      </w:r>
      <w:proofErr w:type="gramStart"/>
      <w:r w:rsidRPr="007F0427">
        <w:rPr>
          <w:rFonts w:ascii="Georgia" w:hAnsi="Georgia"/>
        </w:rPr>
        <w:t>is able to</w:t>
      </w:r>
      <w:proofErr w:type="gramEnd"/>
      <w:r w:rsidRPr="007F0427">
        <w:rPr>
          <w:rFonts w:ascii="Georgia" w:hAnsi="Georgia"/>
        </w:rPr>
        <w:t xml:space="preserve"> identify only two instances of potential or actual </w:t>
      </w:r>
      <w:proofErr w:type="spellStart"/>
      <w:r w:rsidRPr="007F0427">
        <w:rPr>
          <w:rFonts w:ascii="Georgia" w:hAnsi="Georgia"/>
        </w:rPr>
        <w:t>Wreal</w:t>
      </w:r>
      <w:proofErr w:type="spellEnd"/>
      <w:r w:rsidRPr="007F0427">
        <w:rPr>
          <w:rFonts w:ascii="Georgia" w:hAnsi="Georgia"/>
        </w:rPr>
        <w:t xml:space="preserve"> consumers being confused as to the source of its product. But the record also contains expert testimony that consumers of pornography are less likely to report their consumption than consumers of other media. Given that we are obliged to “evaluate the evidence of actual confusion in the light of the totality of the circumstances involved,” </w:t>
      </w:r>
      <w:proofErr w:type="spellStart"/>
      <w:r w:rsidRPr="007F0427">
        <w:rPr>
          <w:rFonts w:ascii="Georgia" w:hAnsi="Georgia"/>
          <w:i/>
          <w:iCs/>
        </w:rPr>
        <w:t>AmBrit</w:t>
      </w:r>
      <w:proofErr w:type="spellEnd"/>
      <w:r w:rsidRPr="007F0427">
        <w:rPr>
          <w:rFonts w:ascii="Georgia" w:hAnsi="Georgia"/>
        </w:rPr>
        <w:t xml:space="preserve">, 812 F.2d at 1543, we find it appropriate here to take that expert testimony into account when considering the number of reported instances of actual confusion. Although a close call, we conclude that the two reported instances of actual confusion here are sufficient to make the issue one of triable fact and thus weighs in </w:t>
      </w:r>
      <w:proofErr w:type="spellStart"/>
      <w:r w:rsidRPr="007F0427">
        <w:rPr>
          <w:rFonts w:ascii="Georgia" w:hAnsi="Georgia"/>
        </w:rPr>
        <w:t>Wreal’s</w:t>
      </w:r>
      <w:proofErr w:type="spellEnd"/>
      <w:r w:rsidRPr="007F0427">
        <w:rPr>
          <w:rFonts w:ascii="Georgia" w:hAnsi="Georgia"/>
        </w:rPr>
        <w:t xml:space="preserve"> favor.</w:t>
      </w:r>
    </w:p>
    <w:p w14:paraId="3CF87197" w14:textId="11E6398D" w:rsidR="00BA1C68" w:rsidRPr="007F0427" w:rsidRDefault="00BA1C68" w:rsidP="00BA1C68">
      <w:pPr>
        <w:rPr>
          <w:rFonts w:ascii="Georgia" w:hAnsi="Georgia"/>
        </w:rPr>
      </w:pPr>
      <w:bookmarkStart w:id="86" w:name="co_pp_sp_999_16_1"/>
      <w:bookmarkStart w:id="87" w:name="co_anchor_B442056495078_1"/>
      <w:bookmarkEnd w:id="86"/>
      <w:bookmarkEnd w:id="87"/>
      <w:r w:rsidRPr="007F0427">
        <w:rPr>
          <w:rFonts w:ascii="Georgia" w:hAnsi="Georgia"/>
        </w:rPr>
        <w:t xml:space="preserve">Turning to the survey evidence, both parties advance </w:t>
      </w:r>
      <w:proofErr w:type="gramStart"/>
      <w:r w:rsidRPr="007F0427">
        <w:rPr>
          <w:rFonts w:ascii="Georgia" w:hAnsi="Georgia"/>
        </w:rPr>
        <w:t>a number of</w:t>
      </w:r>
      <w:proofErr w:type="gramEnd"/>
      <w:r w:rsidRPr="007F0427">
        <w:rPr>
          <w:rFonts w:ascii="Georgia" w:hAnsi="Georgia"/>
        </w:rPr>
        <w:t xml:space="preserve"> arguments either for or against the consideration of the surveys. But given that we conclude </w:t>
      </w:r>
      <w:r w:rsidRPr="007F0427">
        <w:rPr>
          <w:rFonts w:ascii="Georgia" w:hAnsi="Georgia"/>
        </w:rPr>
        <w:lastRenderedPageBreak/>
        <w:t xml:space="preserve">that the instances of actual confusion present in the record are sufficient to push this factor in </w:t>
      </w:r>
      <w:proofErr w:type="spellStart"/>
      <w:r w:rsidRPr="007F0427">
        <w:rPr>
          <w:rFonts w:ascii="Georgia" w:hAnsi="Georgia"/>
        </w:rPr>
        <w:t>Wreal’s</w:t>
      </w:r>
      <w:proofErr w:type="spellEnd"/>
      <w:r w:rsidRPr="007F0427">
        <w:rPr>
          <w:rFonts w:ascii="Georgia" w:hAnsi="Georgia"/>
        </w:rPr>
        <w:t xml:space="preserve"> favor, we conclude that it is unnecessary to also address the issue of survey evidence especially as a plaintiff need not present survey evidence in a trademark claim </w:t>
      </w:r>
      <w:proofErr w:type="gramStart"/>
      <w:r w:rsidRPr="007F0427">
        <w:rPr>
          <w:rFonts w:ascii="Georgia" w:hAnsi="Georgia"/>
        </w:rPr>
        <w:t>in order to</w:t>
      </w:r>
      <w:proofErr w:type="gramEnd"/>
      <w:r w:rsidRPr="007F0427">
        <w:rPr>
          <w:rFonts w:ascii="Georgia" w:hAnsi="Georgia"/>
        </w:rPr>
        <w:t xml:space="preserve"> escape summary judgment. </w:t>
      </w:r>
      <w:r w:rsidRPr="007F0427">
        <w:rPr>
          <w:rFonts w:ascii="Georgia" w:hAnsi="Georgia"/>
          <w:i/>
          <w:iCs/>
        </w:rPr>
        <w:t xml:space="preserve">See </w:t>
      </w:r>
      <w:proofErr w:type="spellStart"/>
      <w:r w:rsidRPr="007F0427">
        <w:rPr>
          <w:rFonts w:ascii="Georgia" w:hAnsi="Georgia"/>
          <w:i/>
          <w:iCs/>
        </w:rPr>
        <w:t>PlayNation</w:t>
      </w:r>
      <w:proofErr w:type="spellEnd"/>
      <w:r w:rsidRPr="007F0427">
        <w:rPr>
          <w:rFonts w:ascii="Georgia" w:hAnsi="Georgia"/>
        </w:rPr>
        <w:t xml:space="preserve">, 924 F.3d at 1169 (“Lack of survey evidence does not weigh against the plaintiff when determining likelihood of confusion.”) . . . . And, as already noted above, at least in our circuit, survey evidence in trademark actions has always been viewed with a skeptical eye. </w:t>
      </w:r>
      <w:r w:rsidRPr="007F0427">
        <w:rPr>
          <w:rFonts w:ascii="Georgia" w:hAnsi="Georgia"/>
          <w:i/>
          <w:iCs/>
        </w:rPr>
        <w:t xml:space="preserve">See </w:t>
      </w:r>
      <w:proofErr w:type="spellStart"/>
      <w:r w:rsidRPr="007F0427">
        <w:rPr>
          <w:rFonts w:ascii="Georgia" w:hAnsi="Georgia"/>
          <w:i/>
          <w:iCs/>
        </w:rPr>
        <w:t>Frehling</w:t>
      </w:r>
      <w:proofErr w:type="spellEnd"/>
      <w:r w:rsidRPr="007F0427">
        <w:rPr>
          <w:rFonts w:ascii="Georgia" w:hAnsi="Georgia"/>
        </w:rPr>
        <w:t xml:space="preserve">, 192 F.3d at 1341 n.5 (“This Circuit . . . has moved away from relying on survey evidence [in trademark cases].”); </w:t>
      </w:r>
      <w:r w:rsidRPr="007F0427">
        <w:rPr>
          <w:rFonts w:ascii="Georgia" w:hAnsi="Georgia"/>
          <w:i/>
          <w:iCs/>
        </w:rPr>
        <w:t>Safeway Stores</w:t>
      </w:r>
      <w:r w:rsidRPr="007F0427">
        <w:rPr>
          <w:rFonts w:ascii="Georgia" w:hAnsi="Georgia"/>
        </w:rPr>
        <w:t>, 675 F.2d at 1167 n.10 (noting that our circuit has “followed the trend of cases in the former Fifth Circuit, in which market surveys have not fared well as evidence in trademark cases”).</w:t>
      </w:r>
    </w:p>
    <w:p w14:paraId="222A8F90" w14:textId="77777777" w:rsidR="00BA1C68" w:rsidRPr="007F0427" w:rsidRDefault="00BA1C68" w:rsidP="00BA1C68">
      <w:pPr>
        <w:pStyle w:val="CntrdNoItal"/>
        <w:rPr>
          <w:rFonts w:ascii="Georgia" w:hAnsi="Georgia"/>
          <w:b/>
          <w:bCs/>
        </w:rPr>
      </w:pPr>
      <w:r w:rsidRPr="007F0427">
        <w:rPr>
          <w:rFonts w:ascii="Georgia" w:hAnsi="Georgia"/>
          <w:b/>
          <w:bCs/>
        </w:rPr>
        <w:t>IV. CONCLUSION</w:t>
      </w:r>
    </w:p>
    <w:p w14:paraId="55D25BC1" w14:textId="483A85CD" w:rsidR="00BA1C68" w:rsidRPr="007F0427" w:rsidRDefault="00BA1C68" w:rsidP="00BA1C68">
      <w:pPr>
        <w:rPr>
          <w:rFonts w:ascii="Georgia" w:hAnsi="Georgia"/>
        </w:rPr>
      </w:pPr>
      <w:r w:rsidRPr="007F0427">
        <w:rPr>
          <w:rFonts w:ascii="Georgia" w:hAnsi="Georgia"/>
        </w:rPr>
        <w:t>This case addresses the application of the seven likelihood-of-confusion factors to a reverse-confusion trademark infringement case. Although some of those factors are analyzed and applied in the same way in both reverse-confusion cases and the more familiar forward-confusion cases, there are important differences in how other factors are analyzed and applied that stem from the fact that the harm and the theory of infringement differ between forward and reverse confusion.</w:t>
      </w:r>
    </w:p>
    <w:p w14:paraId="0216F028" w14:textId="082BF06E" w:rsidR="00BA1C68" w:rsidRPr="007F0427" w:rsidRDefault="00BA1C68" w:rsidP="00BA1C68">
      <w:pPr>
        <w:rPr>
          <w:rFonts w:ascii="Georgia" w:hAnsi="Georgia"/>
        </w:rPr>
      </w:pPr>
      <w:r w:rsidRPr="007F0427">
        <w:rPr>
          <w:rFonts w:ascii="Georgia" w:hAnsi="Georgia"/>
        </w:rPr>
        <w:t xml:space="preserve">Here, the record evidence establishes that Amazon acquired actual knowledge of </w:t>
      </w:r>
      <w:proofErr w:type="spellStart"/>
      <w:r w:rsidRPr="007F0427">
        <w:rPr>
          <w:rFonts w:ascii="Georgia" w:hAnsi="Georgia"/>
        </w:rPr>
        <w:t>Wreal’s</w:t>
      </w:r>
      <w:proofErr w:type="spellEnd"/>
      <w:r w:rsidRPr="007F0427">
        <w:rPr>
          <w:rFonts w:ascii="Georgia" w:hAnsi="Georgia"/>
        </w:rPr>
        <w:t xml:space="preserve"> registered trademark and still launched a product line with a phonetically similar name. The two marks at issue are nearly identical, the commercial strength of Amazon’s mark is consistent with </w:t>
      </w:r>
      <w:proofErr w:type="spellStart"/>
      <w:r w:rsidRPr="007F0427">
        <w:rPr>
          <w:rFonts w:ascii="Georgia" w:hAnsi="Georgia"/>
        </w:rPr>
        <w:t>Wreal’s</w:t>
      </w:r>
      <w:proofErr w:type="spellEnd"/>
      <w:r w:rsidRPr="007F0427">
        <w:rPr>
          <w:rFonts w:ascii="Georgia" w:hAnsi="Georgia"/>
        </w:rPr>
        <w:t xml:space="preserve"> theory of recovery, the parties’ services are the kind that a reasonable consumer could attribute to a single source, and the record establishes that Amazon intended to swamp the market with its advertising campaign. Furthermore, </w:t>
      </w:r>
      <w:proofErr w:type="spellStart"/>
      <w:r w:rsidRPr="007F0427">
        <w:rPr>
          <w:rFonts w:ascii="Georgia" w:hAnsi="Georgia"/>
        </w:rPr>
        <w:t>Wreal</w:t>
      </w:r>
      <w:proofErr w:type="spellEnd"/>
      <w:r w:rsidRPr="007F0427">
        <w:rPr>
          <w:rFonts w:ascii="Georgia" w:hAnsi="Georgia"/>
        </w:rPr>
        <w:t xml:space="preserve"> has identified two consumers who a reasonable juror could conclude were confused by Amazon’s chosen mark.</w:t>
      </w:r>
    </w:p>
    <w:p w14:paraId="4507D75E" w14:textId="18B34F1B" w:rsidR="00BA1C68" w:rsidRPr="007F0427" w:rsidRDefault="00BA1C68" w:rsidP="00BA1C68">
      <w:pPr>
        <w:rPr>
          <w:rFonts w:ascii="Georgia" w:hAnsi="Georgia"/>
        </w:rPr>
      </w:pPr>
      <w:r w:rsidRPr="007F0427">
        <w:rPr>
          <w:rFonts w:ascii="Georgia" w:hAnsi="Georgia"/>
        </w:rPr>
        <w:t xml:space="preserve">As noted throughout our decision, there is no mechanical formula for applying the seven factors relating to likelihood of confusion. But when considering all seven factors as they apply to a theory of reverse confusion and taking all the circumstances of this case into account on the record before us, we conclude that they weigh heavily in favor of </w:t>
      </w:r>
      <w:proofErr w:type="spellStart"/>
      <w:r w:rsidRPr="007F0427">
        <w:rPr>
          <w:rFonts w:ascii="Georgia" w:hAnsi="Georgia"/>
        </w:rPr>
        <w:t>Wreal</w:t>
      </w:r>
      <w:proofErr w:type="spellEnd"/>
      <w:r w:rsidRPr="007F0427">
        <w:rPr>
          <w:rFonts w:ascii="Georgia" w:hAnsi="Georgia"/>
        </w:rPr>
        <w:t xml:space="preserve"> and that the district court erred when it entered summary judgment in Amazon’s favor. We therefore reverse the district court’s order. This is not to say that Amazon may not ultimately prevail on the merits; rather, it must do so before a jury.</w:t>
      </w:r>
    </w:p>
    <w:p w14:paraId="58DE0AC4" w14:textId="77777777" w:rsidR="00BA1C68" w:rsidRPr="007F0427" w:rsidRDefault="00BA1C68" w:rsidP="00BA1C68">
      <w:pPr>
        <w:rPr>
          <w:rFonts w:ascii="Georgia" w:hAnsi="Georgia"/>
          <w:b/>
          <w:bCs/>
        </w:rPr>
      </w:pPr>
      <w:r w:rsidRPr="007F0427">
        <w:rPr>
          <w:rFonts w:ascii="Georgia" w:hAnsi="Georgia"/>
          <w:b/>
          <w:bCs/>
        </w:rPr>
        <w:t>REVERSED AND REMANDED.</w:t>
      </w:r>
    </w:p>
    <w:p w14:paraId="594FD4F9" w14:textId="77777777" w:rsidR="00EB3DF5" w:rsidRPr="007F0427" w:rsidRDefault="00EB3DF5">
      <w:pPr>
        <w:rPr>
          <w:rFonts w:ascii="Georgia" w:hAnsi="Georgia"/>
        </w:rPr>
      </w:pPr>
    </w:p>
    <w:sectPr w:rsidR="00EB3DF5" w:rsidRPr="007F0427" w:rsidSect="007F0427">
      <w:footerReference w:type="default" r:id="rId9"/>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2D948" w14:textId="77777777" w:rsidR="00C21110" w:rsidRDefault="00C21110" w:rsidP="00BA1C68">
      <w:pPr>
        <w:spacing w:after="0" w:line="240" w:lineRule="auto"/>
      </w:pPr>
      <w:r>
        <w:separator/>
      </w:r>
    </w:p>
  </w:endnote>
  <w:endnote w:type="continuationSeparator" w:id="0">
    <w:p w14:paraId="292DE9F0" w14:textId="77777777" w:rsidR="00C21110" w:rsidRDefault="00C21110" w:rsidP="00BA1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445769"/>
      <w:docPartObj>
        <w:docPartGallery w:val="Page Numbers (Bottom of Page)"/>
        <w:docPartUnique/>
      </w:docPartObj>
    </w:sdtPr>
    <w:sdtContent>
      <w:sdt>
        <w:sdtPr>
          <w:id w:val="1728636285"/>
          <w:docPartObj>
            <w:docPartGallery w:val="Page Numbers (Top of Page)"/>
            <w:docPartUnique/>
          </w:docPartObj>
        </w:sdtPr>
        <w:sdtContent>
          <w:p w14:paraId="74B4805E" w14:textId="2BFF861B" w:rsidR="007F0427" w:rsidRDefault="007F0427">
            <w:pPr>
              <w:pStyle w:val="Footer"/>
              <w:jc w:val="center"/>
            </w:pPr>
            <w:r w:rsidRPr="007F0427">
              <w:rPr>
                <w:rFonts w:ascii="Georgia" w:hAnsi="Georgia"/>
              </w:rPr>
              <w:t xml:space="preserve">Page </w:t>
            </w:r>
            <w:r w:rsidRPr="007F0427">
              <w:rPr>
                <w:rFonts w:ascii="Georgia" w:hAnsi="Georgia"/>
                <w:sz w:val="24"/>
                <w:szCs w:val="24"/>
              </w:rPr>
              <w:fldChar w:fldCharType="begin"/>
            </w:r>
            <w:r w:rsidRPr="007F0427">
              <w:rPr>
                <w:rFonts w:ascii="Georgia" w:hAnsi="Georgia"/>
              </w:rPr>
              <w:instrText xml:space="preserve"> PAGE </w:instrText>
            </w:r>
            <w:r w:rsidRPr="007F0427">
              <w:rPr>
                <w:rFonts w:ascii="Georgia" w:hAnsi="Georgia"/>
                <w:sz w:val="24"/>
                <w:szCs w:val="24"/>
              </w:rPr>
              <w:fldChar w:fldCharType="separate"/>
            </w:r>
            <w:r w:rsidRPr="007F0427">
              <w:rPr>
                <w:rFonts w:ascii="Georgia" w:hAnsi="Georgia"/>
                <w:noProof/>
              </w:rPr>
              <w:t>2</w:t>
            </w:r>
            <w:r w:rsidRPr="007F0427">
              <w:rPr>
                <w:rFonts w:ascii="Georgia" w:hAnsi="Georgia"/>
                <w:sz w:val="24"/>
                <w:szCs w:val="24"/>
              </w:rPr>
              <w:fldChar w:fldCharType="end"/>
            </w:r>
            <w:r w:rsidRPr="007F0427">
              <w:rPr>
                <w:rFonts w:ascii="Georgia" w:hAnsi="Georgia"/>
              </w:rPr>
              <w:t xml:space="preserve"> of </w:t>
            </w:r>
            <w:r w:rsidRPr="007F0427">
              <w:rPr>
                <w:rFonts w:ascii="Georgia" w:hAnsi="Georgia"/>
                <w:sz w:val="24"/>
                <w:szCs w:val="24"/>
              </w:rPr>
              <w:fldChar w:fldCharType="begin"/>
            </w:r>
            <w:r w:rsidRPr="007F0427">
              <w:rPr>
                <w:rFonts w:ascii="Georgia" w:hAnsi="Georgia"/>
              </w:rPr>
              <w:instrText xml:space="preserve"> NUMPAGES  </w:instrText>
            </w:r>
            <w:r w:rsidRPr="007F0427">
              <w:rPr>
                <w:rFonts w:ascii="Georgia" w:hAnsi="Georgia"/>
                <w:sz w:val="24"/>
                <w:szCs w:val="24"/>
              </w:rPr>
              <w:fldChar w:fldCharType="separate"/>
            </w:r>
            <w:r w:rsidRPr="007F0427">
              <w:rPr>
                <w:rFonts w:ascii="Georgia" w:hAnsi="Georgia"/>
                <w:noProof/>
              </w:rPr>
              <w:t>2</w:t>
            </w:r>
            <w:r w:rsidRPr="007F0427">
              <w:rPr>
                <w:rFonts w:ascii="Georgia" w:hAnsi="Georgia"/>
                <w:sz w:val="24"/>
                <w:szCs w:val="24"/>
              </w:rPr>
              <w:fldChar w:fldCharType="end"/>
            </w:r>
          </w:p>
        </w:sdtContent>
      </w:sdt>
    </w:sdtContent>
  </w:sdt>
  <w:p w14:paraId="77B3F7BB" w14:textId="77777777" w:rsidR="007F0427" w:rsidRDefault="007F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05FD4A" w14:textId="77777777" w:rsidR="00C21110" w:rsidRDefault="00C21110" w:rsidP="00BA1C68">
      <w:pPr>
        <w:spacing w:after="0" w:line="240" w:lineRule="auto"/>
      </w:pPr>
      <w:r>
        <w:separator/>
      </w:r>
    </w:p>
  </w:footnote>
  <w:footnote w:type="continuationSeparator" w:id="0">
    <w:p w14:paraId="3E3F3CA5" w14:textId="77777777" w:rsidR="00C21110" w:rsidRDefault="00C21110" w:rsidP="00BA1C68">
      <w:pPr>
        <w:spacing w:after="0" w:line="240" w:lineRule="auto"/>
      </w:pPr>
      <w:r>
        <w:continuationSeparator/>
      </w:r>
    </w:p>
  </w:footnote>
  <w:footnote w:id="1">
    <w:p w14:paraId="714BDF54" w14:textId="77777777" w:rsidR="00BA1C68" w:rsidRPr="007F0427" w:rsidRDefault="00BA1C68" w:rsidP="00BA1C68">
      <w:pPr>
        <w:rPr>
          <w:rFonts w:ascii="Georgia" w:hAnsi="Georgia"/>
          <w:sz w:val="20"/>
          <w:szCs w:val="18"/>
        </w:rPr>
      </w:pPr>
      <w:r w:rsidRPr="007F0427">
        <w:rPr>
          <w:rStyle w:val="FootnoteReference"/>
          <w:rFonts w:ascii="Georgia" w:hAnsi="Georgia"/>
          <w:sz w:val="20"/>
          <w:szCs w:val="18"/>
        </w:rPr>
        <w:t>1</w:t>
      </w:r>
      <w:r w:rsidRPr="007F0427">
        <w:rPr>
          <w:rFonts w:ascii="Georgia" w:hAnsi="Georgia"/>
          <w:sz w:val="20"/>
          <w:szCs w:val="18"/>
        </w:rPr>
        <w:t xml:space="preserve"> On October 14, 2008, </w:t>
      </w:r>
      <w:proofErr w:type="spellStart"/>
      <w:r w:rsidRPr="007F0427">
        <w:rPr>
          <w:rFonts w:ascii="Georgia" w:hAnsi="Georgia"/>
          <w:sz w:val="20"/>
          <w:szCs w:val="18"/>
        </w:rPr>
        <w:t>Wreal</w:t>
      </w:r>
      <w:proofErr w:type="spellEnd"/>
      <w:r w:rsidRPr="007F0427">
        <w:rPr>
          <w:rFonts w:ascii="Georgia" w:hAnsi="Georgia"/>
          <w:sz w:val="20"/>
          <w:szCs w:val="18"/>
        </w:rPr>
        <w:t xml:space="preserve"> registered both of its marks</w:t>
      </w:r>
      <w:proofErr w:type="gramStart"/>
      <w:r w:rsidRPr="007F0427">
        <w:rPr>
          <w:rFonts w:ascii="Georgia" w:hAnsi="Georgia"/>
          <w:sz w:val="20"/>
          <w:szCs w:val="18"/>
        </w:rPr>
        <w:t>—”</w:t>
      </w:r>
      <w:proofErr w:type="spellStart"/>
      <w:r w:rsidRPr="007F0427">
        <w:rPr>
          <w:rFonts w:ascii="Georgia" w:hAnsi="Georgia"/>
          <w:sz w:val="20"/>
          <w:szCs w:val="18"/>
        </w:rPr>
        <w:t>FyreTV</w:t>
      </w:r>
      <w:proofErr w:type="spellEnd"/>
      <w:proofErr w:type="gramEnd"/>
      <w:r w:rsidRPr="007F0427">
        <w:rPr>
          <w:rFonts w:ascii="Georgia" w:hAnsi="Georgia"/>
          <w:sz w:val="20"/>
          <w:szCs w:val="18"/>
        </w:rPr>
        <w:t xml:space="preserve">” and “FyreTV.com”—with the U.S. Patent and Trademark Office. </w:t>
      </w:r>
      <w:proofErr w:type="spellStart"/>
      <w:r w:rsidRPr="007F0427">
        <w:rPr>
          <w:rFonts w:ascii="Georgia" w:hAnsi="Georgia"/>
          <w:sz w:val="20"/>
          <w:szCs w:val="18"/>
        </w:rPr>
        <w:t>Wreal</w:t>
      </w:r>
      <w:proofErr w:type="spellEnd"/>
      <w:r w:rsidRPr="007F0427">
        <w:rPr>
          <w:rFonts w:ascii="Georgia" w:hAnsi="Georgia"/>
          <w:sz w:val="20"/>
          <w:szCs w:val="18"/>
        </w:rPr>
        <w:t xml:space="preserve"> I, 840 F.3d at 1246.</w:t>
      </w:r>
    </w:p>
  </w:footnote>
  <w:footnote w:id="2">
    <w:p w14:paraId="06C391DB" w14:textId="77777777" w:rsidR="00BA1C68" w:rsidRPr="007F0427" w:rsidRDefault="00BA1C68" w:rsidP="00BA1C68">
      <w:pPr>
        <w:pStyle w:val="FootnoteText"/>
        <w:rPr>
          <w:rFonts w:ascii="Georgia" w:hAnsi="Georgia"/>
          <w:sz w:val="20"/>
          <w:szCs w:val="18"/>
        </w:rPr>
      </w:pPr>
      <w:r w:rsidRPr="007F0427">
        <w:rPr>
          <w:rStyle w:val="FootnoteReference"/>
          <w:rFonts w:ascii="Georgia" w:hAnsi="Georgia"/>
          <w:sz w:val="20"/>
          <w:szCs w:val="18"/>
        </w:rPr>
        <w:t>2</w:t>
      </w:r>
      <w:r w:rsidRPr="007F0427">
        <w:rPr>
          <w:rFonts w:ascii="Georgia" w:hAnsi="Georgia"/>
          <w:sz w:val="20"/>
          <w:szCs w:val="18"/>
        </w:rPr>
        <w:t xml:space="preserve"> A “set-top box” is “a device that is connected to a television so that the television can receive digital signals.” </w:t>
      </w:r>
      <w:r w:rsidRPr="007F0427">
        <w:rPr>
          <w:rFonts w:ascii="Georgia" w:hAnsi="Georgia"/>
          <w:i/>
          <w:iCs/>
          <w:sz w:val="20"/>
          <w:szCs w:val="18"/>
        </w:rPr>
        <w:t>Set-top Box</w:t>
      </w:r>
      <w:r w:rsidRPr="007F0427">
        <w:rPr>
          <w:rFonts w:ascii="Georgia" w:hAnsi="Georgia"/>
          <w:sz w:val="20"/>
          <w:szCs w:val="18"/>
        </w:rPr>
        <w:t xml:space="preserve">, </w:t>
      </w:r>
      <w:r w:rsidRPr="007F0427">
        <w:rPr>
          <w:rFonts w:ascii="Georgia" w:hAnsi="Georgia"/>
          <w:i/>
          <w:iCs/>
          <w:sz w:val="20"/>
          <w:szCs w:val="18"/>
        </w:rPr>
        <w:t>Merriam-Webster Online Dictionary</w:t>
      </w:r>
      <w:r w:rsidRPr="007F0427">
        <w:rPr>
          <w:rFonts w:ascii="Georgia" w:hAnsi="Georgia"/>
          <w:sz w:val="20"/>
          <w:szCs w:val="18"/>
        </w:rPr>
        <w:t>, https://www.merriam-webster.com/dictionary/set-top% 20box (last visited June 19, 2022).</w:t>
      </w:r>
    </w:p>
  </w:footnote>
  <w:footnote w:id="3">
    <w:p w14:paraId="17BF273F" w14:textId="77777777" w:rsidR="00BA1C68" w:rsidRPr="007F0427" w:rsidRDefault="00BA1C68" w:rsidP="00BA1C68">
      <w:pPr>
        <w:pStyle w:val="FootnoteText"/>
        <w:rPr>
          <w:rFonts w:ascii="Georgia" w:hAnsi="Georgia"/>
          <w:sz w:val="20"/>
          <w:szCs w:val="18"/>
        </w:rPr>
      </w:pPr>
      <w:r w:rsidRPr="007F0427">
        <w:rPr>
          <w:rStyle w:val="FootnoteReference"/>
          <w:rFonts w:ascii="Georgia" w:hAnsi="Georgia"/>
          <w:sz w:val="20"/>
          <w:szCs w:val="18"/>
        </w:rPr>
        <w:t>3</w:t>
      </w:r>
      <w:r w:rsidRPr="007F0427">
        <w:rPr>
          <w:rFonts w:ascii="Georgia" w:hAnsi="Georgia"/>
          <w:sz w:val="20"/>
          <w:szCs w:val="18"/>
        </w:rPr>
        <w:t xml:space="preserve"> The record shows that Amazon has alternatively used “Fire TV” or “</w:t>
      </w:r>
      <w:proofErr w:type="spellStart"/>
      <w:r w:rsidRPr="007F0427">
        <w:rPr>
          <w:rFonts w:ascii="Georgia" w:hAnsi="Georgia"/>
          <w:sz w:val="20"/>
          <w:szCs w:val="18"/>
        </w:rPr>
        <w:t>fireTV</w:t>
      </w:r>
      <w:proofErr w:type="spellEnd"/>
      <w:r w:rsidRPr="007F0427">
        <w:rPr>
          <w:rFonts w:ascii="Georgia" w:hAnsi="Georgia"/>
          <w:sz w:val="20"/>
          <w:szCs w:val="18"/>
        </w:rPr>
        <w:t>” in its graphics and advertisements for its set-top box. For purposes of this opinion, we use the stylization of “</w:t>
      </w:r>
      <w:proofErr w:type="spellStart"/>
      <w:r w:rsidRPr="007F0427">
        <w:rPr>
          <w:rFonts w:ascii="Georgia" w:hAnsi="Georgia"/>
          <w:sz w:val="20"/>
          <w:szCs w:val="18"/>
        </w:rPr>
        <w:t>fireTV</w:t>
      </w:r>
      <w:proofErr w:type="spellEnd"/>
      <w:r w:rsidRPr="007F0427">
        <w:rPr>
          <w:rFonts w:ascii="Georgia" w:hAnsi="Georgia"/>
          <w:sz w:val="20"/>
          <w:szCs w:val="18"/>
        </w:rPr>
        <w:t xml:space="preserve">,” because </w:t>
      </w:r>
      <w:proofErr w:type="spellStart"/>
      <w:r w:rsidRPr="007F0427">
        <w:rPr>
          <w:rFonts w:ascii="Georgia" w:hAnsi="Georgia"/>
          <w:sz w:val="20"/>
          <w:szCs w:val="18"/>
        </w:rPr>
        <w:t>Wreal</w:t>
      </w:r>
      <w:proofErr w:type="spellEnd"/>
      <w:r w:rsidRPr="007F0427">
        <w:rPr>
          <w:rFonts w:ascii="Georgia" w:hAnsi="Georgia"/>
          <w:sz w:val="20"/>
          <w:szCs w:val="18"/>
        </w:rPr>
        <w:t xml:space="preserve"> highlighted the inconsistency in its response disputing Amazon’s statement of undisputed facts. However, we emphasize that we make no </w:t>
      </w:r>
      <w:proofErr w:type="gramStart"/>
      <w:r w:rsidRPr="007F0427">
        <w:rPr>
          <w:rFonts w:ascii="Georgia" w:hAnsi="Georgia"/>
          <w:sz w:val="20"/>
          <w:szCs w:val="18"/>
        </w:rPr>
        <w:t>ultimate conclusion</w:t>
      </w:r>
      <w:proofErr w:type="gramEnd"/>
      <w:r w:rsidRPr="007F0427">
        <w:rPr>
          <w:rFonts w:ascii="Georgia" w:hAnsi="Georgia"/>
          <w:sz w:val="20"/>
          <w:szCs w:val="18"/>
        </w:rPr>
        <w:t xml:space="preserve"> on whether Amazon’s mark is stylized as “Amazon Fire TV” or “</w:t>
      </w:r>
      <w:proofErr w:type="spellStart"/>
      <w:r w:rsidRPr="007F0427">
        <w:rPr>
          <w:rFonts w:ascii="Georgia" w:hAnsi="Georgia"/>
          <w:sz w:val="20"/>
          <w:szCs w:val="18"/>
        </w:rPr>
        <w:t>fireTV</w:t>
      </w:r>
      <w:proofErr w:type="spellEnd"/>
      <w:r w:rsidRPr="007F0427">
        <w:rPr>
          <w:rFonts w:ascii="Georgia" w:hAnsi="Georgia"/>
          <w:sz w:val="20"/>
          <w:szCs w:val="18"/>
        </w:rPr>
        <w:t>.”</w:t>
      </w:r>
    </w:p>
  </w:footnote>
  <w:footnote w:id="4">
    <w:p w14:paraId="1B516791" w14:textId="77777777" w:rsidR="00BA1C68" w:rsidRPr="007F0427" w:rsidRDefault="00BA1C68" w:rsidP="00BA1C68">
      <w:pPr>
        <w:pStyle w:val="FootnoteText"/>
        <w:rPr>
          <w:rFonts w:ascii="Georgia" w:hAnsi="Georgia"/>
          <w:sz w:val="20"/>
          <w:szCs w:val="18"/>
        </w:rPr>
      </w:pPr>
      <w:r w:rsidRPr="007F0427">
        <w:rPr>
          <w:rStyle w:val="FootnoteReference"/>
          <w:rFonts w:ascii="Georgia" w:hAnsi="Georgia"/>
          <w:sz w:val="20"/>
          <w:szCs w:val="18"/>
        </w:rPr>
        <w:t>4</w:t>
      </w:r>
      <w:r w:rsidRPr="007F0427">
        <w:rPr>
          <w:rFonts w:ascii="Georgia" w:hAnsi="Georgia"/>
          <w:sz w:val="20"/>
          <w:szCs w:val="18"/>
        </w:rPr>
        <w:t xml:space="preserve"> Generally, hardcore pornography refers to “scenes of actual sex acts.” </w:t>
      </w:r>
      <w:r w:rsidRPr="007F0427">
        <w:rPr>
          <w:rFonts w:ascii="Georgia" w:hAnsi="Georgia"/>
          <w:i/>
          <w:iCs/>
          <w:sz w:val="20"/>
          <w:szCs w:val="18"/>
        </w:rPr>
        <w:t>Hardcore</w:t>
      </w:r>
      <w:r w:rsidRPr="007F0427">
        <w:rPr>
          <w:rFonts w:ascii="Georgia" w:hAnsi="Georgia"/>
          <w:sz w:val="20"/>
          <w:szCs w:val="18"/>
        </w:rPr>
        <w:t xml:space="preserve">, </w:t>
      </w:r>
      <w:r w:rsidRPr="007F0427">
        <w:rPr>
          <w:rFonts w:ascii="Georgia" w:hAnsi="Georgia"/>
          <w:i/>
          <w:iCs/>
          <w:sz w:val="20"/>
          <w:szCs w:val="18"/>
        </w:rPr>
        <w:t>Merriam-Webster Online Dictionary</w:t>
      </w:r>
      <w:r w:rsidRPr="007F0427">
        <w:rPr>
          <w:rFonts w:ascii="Georgia" w:hAnsi="Georgia"/>
          <w:sz w:val="20"/>
          <w:szCs w:val="18"/>
        </w:rPr>
        <w:t xml:space="preserve">, https://www.merriam-webster.com/dictionary/hard-core (last visited June 19, 2022). Softcore pornography refers to “scenes of sex acts that are less explicit than hard-core material.” </w:t>
      </w:r>
      <w:r w:rsidRPr="007F0427">
        <w:rPr>
          <w:rFonts w:ascii="Georgia" w:hAnsi="Georgia"/>
          <w:i/>
          <w:iCs/>
          <w:sz w:val="20"/>
          <w:szCs w:val="18"/>
        </w:rPr>
        <w:t>Soft-core, Merriam-Webster Online Dictionary</w:t>
      </w:r>
      <w:r w:rsidRPr="007F0427">
        <w:rPr>
          <w:rFonts w:ascii="Georgia" w:hAnsi="Georgia"/>
          <w:sz w:val="20"/>
          <w:szCs w:val="18"/>
        </w:rPr>
        <w:t>, https://www.merriam-webster.com/dictionary/soft-core (last visited June 19, 2022).</w:t>
      </w:r>
    </w:p>
  </w:footnote>
  <w:footnote w:id="5">
    <w:p w14:paraId="1CFEEAB0" w14:textId="77777777" w:rsidR="00BA1C68" w:rsidRPr="007F0427" w:rsidRDefault="00BA1C68" w:rsidP="00BA1C68">
      <w:pPr>
        <w:pStyle w:val="FootnoteText"/>
        <w:rPr>
          <w:rFonts w:ascii="Georgia" w:hAnsi="Georgia"/>
          <w:sz w:val="20"/>
          <w:szCs w:val="18"/>
        </w:rPr>
      </w:pPr>
      <w:r w:rsidRPr="007F0427">
        <w:rPr>
          <w:rStyle w:val="FootnoteReference"/>
          <w:rFonts w:ascii="Georgia" w:hAnsi="Georgia"/>
          <w:sz w:val="20"/>
          <w:szCs w:val="18"/>
        </w:rPr>
        <w:t>6</w:t>
      </w:r>
      <w:r w:rsidRPr="007F0427">
        <w:rPr>
          <w:rFonts w:ascii="Georgia" w:hAnsi="Georgia"/>
          <w:sz w:val="20"/>
          <w:szCs w:val="18"/>
        </w:rPr>
        <w:t xml:space="preserve"> The district court adopted the magistrate judge’s determination that, while this inquiry appears to show confusion, the sender was not confused. The magistrate judge based its conclusion solely on the text of the inquiry itself, and not on any other record evidence. In other words, the magistrate judge (and, by adoption, the district court) did not believe that the sender was confused. Credibility determinations like this, however, are inappropriate at the summary judgment stage</w:t>
      </w:r>
      <w:proofErr w:type="gramStart"/>
      <w:r w:rsidRPr="007F0427">
        <w:rPr>
          <w:rFonts w:ascii="Georgia" w:hAnsi="Georgia"/>
          <w:sz w:val="20"/>
          <w:szCs w:val="18"/>
        </w:rPr>
        <w:t>. . . .</w:t>
      </w:r>
      <w:proofErr w:type="gramEnd"/>
      <w:r w:rsidRPr="007F0427">
        <w:rPr>
          <w:rFonts w:ascii="Georgia" w:hAnsi="Georgia"/>
          <w:sz w:val="20"/>
          <w:szCs w:val="18"/>
        </w:rPr>
        <w:t xml:space="preserve"> Here, for example, a reasonable juror could view the same evidence and come to the opposite conclusion reached by the magistrate judge and the district court. Because this credibility determination improperly invaded the province of the jury, it must be disregarded.</w:t>
      </w:r>
    </w:p>
  </w:footnote>
  <w:footnote w:id="6">
    <w:p w14:paraId="7A7E2093" w14:textId="77777777" w:rsidR="00BA1C68" w:rsidRPr="007F0427" w:rsidRDefault="00BA1C68" w:rsidP="00BA1C68">
      <w:pPr>
        <w:rPr>
          <w:rFonts w:ascii="Georgia" w:hAnsi="Georgia"/>
          <w:sz w:val="20"/>
          <w:szCs w:val="18"/>
        </w:rPr>
      </w:pPr>
      <w:r w:rsidRPr="007F0427">
        <w:rPr>
          <w:rStyle w:val="FootnoteReference"/>
          <w:rFonts w:ascii="Georgia" w:hAnsi="Georgia"/>
          <w:sz w:val="20"/>
          <w:szCs w:val="18"/>
        </w:rPr>
        <w:t>7</w:t>
      </w:r>
      <w:r w:rsidRPr="007F0427">
        <w:rPr>
          <w:rFonts w:ascii="Georgia" w:hAnsi="Georgia"/>
          <w:sz w:val="20"/>
          <w:szCs w:val="18"/>
        </w:rPr>
        <w:t xml:space="preserve"> </w:t>
      </w:r>
      <w:proofErr w:type="spellStart"/>
      <w:r w:rsidRPr="007F0427">
        <w:rPr>
          <w:rFonts w:ascii="Georgia" w:hAnsi="Georgia"/>
          <w:sz w:val="20"/>
          <w:szCs w:val="18"/>
        </w:rPr>
        <w:t>Wreal</w:t>
      </w:r>
      <w:proofErr w:type="spellEnd"/>
      <w:r w:rsidRPr="007F0427">
        <w:rPr>
          <w:rFonts w:ascii="Georgia" w:hAnsi="Georgia"/>
          <w:sz w:val="20"/>
          <w:szCs w:val="18"/>
        </w:rPr>
        <w:t xml:space="preserve"> complains about both studies, arguing that the Amazon study was conducted too early to be relevant to the issue of consumer confusion and that its own study was conducted for a separate purpose altogether. Absence of evidence for a proposition, however, is not affirmative evidence to the contrary. And the only survey evidence available to us is not in dispute—both surveys show that there was no consumer confusion. Nevertheless, we accord this evidence relatively little weight, as “[t]his Circuit . . . has moved away from relying on survey evidence” in trademark cases. </w:t>
      </w:r>
      <w:proofErr w:type="spellStart"/>
      <w:r w:rsidRPr="007F0427">
        <w:rPr>
          <w:rFonts w:ascii="Georgia" w:hAnsi="Georgia"/>
          <w:i/>
          <w:iCs/>
          <w:sz w:val="20"/>
          <w:szCs w:val="18"/>
        </w:rPr>
        <w:t>Frehling</w:t>
      </w:r>
      <w:proofErr w:type="spellEnd"/>
      <w:r w:rsidRPr="007F0427">
        <w:rPr>
          <w:rFonts w:ascii="Georgia" w:hAnsi="Georgia"/>
          <w:i/>
          <w:iCs/>
          <w:sz w:val="20"/>
          <w:szCs w:val="18"/>
        </w:rPr>
        <w:t xml:space="preserve"> Enters., Inc. v. Int’l Select Grp., Inc.</w:t>
      </w:r>
      <w:r w:rsidRPr="007F0427">
        <w:rPr>
          <w:rFonts w:ascii="Georgia" w:hAnsi="Georgia"/>
          <w:sz w:val="20"/>
          <w:szCs w:val="18"/>
        </w:rPr>
        <w:t>, 192 F.3d 1330, 1341 n.5 (11th Cir. 1999).</w:t>
      </w:r>
    </w:p>
  </w:footnote>
  <w:footnote w:id="7">
    <w:p w14:paraId="53B4A1E9" w14:textId="77777777" w:rsidR="00BA1C68" w:rsidRPr="007F0427" w:rsidRDefault="00BA1C68" w:rsidP="00BA1C68">
      <w:pPr>
        <w:pStyle w:val="FootnoteText"/>
        <w:rPr>
          <w:rFonts w:ascii="Georgia" w:hAnsi="Georgia"/>
          <w:sz w:val="20"/>
          <w:szCs w:val="18"/>
        </w:rPr>
      </w:pPr>
      <w:r w:rsidRPr="007F0427">
        <w:rPr>
          <w:rStyle w:val="FootnoteReference"/>
          <w:rFonts w:ascii="Georgia" w:hAnsi="Georgia"/>
          <w:sz w:val="20"/>
          <w:szCs w:val="18"/>
        </w:rPr>
        <w:t>8</w:t>
      </w:r>
      <w:r w:rsidRPr="007F0427">
        <w:rPr>
          <w:rFonts w:ascii="Georgia" w:hAnsi="Georgia"/>
          <w:sz w:val="20"/>
          <w:szCs w:val="18"/>
        </w:rPr>
        <w:t xml:space="preserve"> As noted by the district court, the protection that these three bodies of law provide is coextensive</w:t>
      </w:r>
      <w:proofErr w:type="gramStart"/>
      <w:r w:rsidRPr="007F0427">
        <w:rPr>
          <w:rFonts w:ascii="Georgia" w:hAnsi="Georgia"/>
          <w:sz w:val="20"/>
          <w:szCs w:val="18"/>
        </w:rPr>
        <w:t>. . . .</w:t>
      </w:r>
      <w:proofErr w:type="gramEnd"/>
    </w:p>
  </w:footnote>
  <w:footnote w:id="8">
    <w:p w14:paraId="53B440E2" w14:textId="77777777" w:rsidR="00BA1C68" w:rsidRPr="007F0427" w:rsidRDefault="00BA1C68" w:rsidP="00BA1C68">
      <w:pPr>
        <w:pStyle w:val="FootnoteText"/>
        <w:rPr>
          <w:rFonts w:ascii="Georgia" w:hAnsi="Georgia"/>
          <w:sz w:val="20"/>
          <w:szCs w:val="18"/>
        </w:rPr>
      </w:pPr>
      <w:r w:rsidRPr="007F0427">
        <w:rPr>
          <w:rStyle w:val="FootnoteReference"/>
          <w:rFonts w:ascii="Georgia" w:hAnsi="Georgia"/>
          <w:sz w:val="20"/>
          <w:szCs w:val="18"/>
        </w:rPr>
        <w:t>12</w:t>
      </w:r>
      <w:r w:rsidRPr="007F0427">
        <w:rPr>
          <w:rFonts w:ascii="Georgia" w:hAnsi="Georgia"/>
          <w:sz w:val="20"/>
          <w:szCs w:val="18"/>
        </w:rPr>
        <w:t xml:space="preserve"> The district court also noted that the presence of Amazon’s “amazon” </w:t>
      </w:r>
      <w:proofErr w:type="spellStart"/>
      <w:r w:rsidRPr="007F0427">
        <w:rPr>
          <w:rFonts w:ascii="Georgia" w:hAnsi="Georgia"/>
          <w:sz w:val="20"/>
          <w:szCs w:val="18"/>
        </w:rPr>
        <w:t>housemark</w:t>
      </w:r>
      <w:proofErr w:type="spellEnd"/>
      <w:r w:rsidRPr="007F0427">
        <w:rPr>
          <w:rFonts w:ascii="Georgia" w:hAnsi="Georgia"/>
          <w:sz w:val="20"/>
          <w:szCs w:val="18"/>
        </w:rPr>
        <w:t xml:space="preserve"> alongside “</w:t>
      </w:r>
      <w:proofErr w:type="spellStart"/>
      <w:r w:rsidRPr="007F0427">
        <w:rPr>
          <w:rFonts w:ascii="Georgia" w:hAnsi="Georgia"/>
          <w:sz w:val="20"/>
          <w:szCs w:val="18"/>
        </w:rPr>
        <w:t>fireTV</w:t>
      </w:r>
      <w:proofErr w:type="spellEnd"/>
      <w:r w:rsidRPr="007F0427">
        <w:rPr>
          <w:rFonts w:ascii="Georgia" w:hAnsi="Georgia"/>
          <w:sz w:val="20"/>
          <w:szCs w:val="18"/>
        </w:rPr>
        <w:t xml:space="preserve">” in advertisements pushed the distinctiveness-of-the-mark factor further in Amazon’s favor. As we discuss below, however, the presence of a </w:t>
      </w:r>
      <w:proofErr w:type="spellStart"/>
      <w:r w:rsidRPr="007F0427">
        <w:rPr>
          <w:rFonts w:ascii="Georgia" w:hAnsi="Georgia"/>
          <w:sz w:val="20"/>
          <w:szCs w:val="18"/>
        </w:rPr>
        <w:t>housemark</w:t>
      </w:r>
      <w:proofErr w:type="spellEnd"/>
      <w:r w:rsidRPr="007F0427">
        <w:rPr>
          <w:rFonts w:ascii="Georgia" w:hAnsi="Georgia"/>
          <w:sz w:val="20"/>
          <w:szCs w:val="18"/>
        </w:rPr>
        <w:t xml:space="preserve"> should be assessed in reference to the second factor in the analysis—the similarity of the marks. </w:t>
      </w:r>
      <w:r w:rsidRPr="007F0427">
        <w:rPr>
          <w:rFonts w:ascii="Georgia" w:hAnsi="Georgia"/>
          <w:i/>
          <w:iCs/>
          <w:sz w:val="20"/>
          <w:szCs w:val="18"/>
        </w:rPr>
        <w:t>See A &amp; H Sportswear</w:t>
      </w:r>
      <w:r w:rsidRPr="007F0427">
        <w:rPr>
          <w:rFonts w:ascii="Georgia" w:hAnsi="Georgia"/>
          <w:sz w:val="20"/>
          <w:szCs w:val="18"/>
        </w:rPr>
        <w:t>, 237 F.3d at 229–30.</w:t>
      </w:r>
    </w:p>
  </w:footnote>
  <w:footnote w:id="9">
    <w:p w14:paraId="452A04C1" w14:textId="77777777" w:rsidR="00BA1C68" w:rsidRPr="007F0427" w:rsidRDefault="00BA1C68" w:rsidP="00BA1C68">
      <w:pPr>
        <w:pStyle w:val="FootnoteText"/>
        <w:rPr>
          <w:rFonts w:ascii="Georgia" w:hAnsi="Georgia"/>
          <w:sz w:val="20"/>
          <w:szCs w:val="18"/>
        </w:rPr>
      </w:pPr>
      <w:r w:rsidRPr="007F0427">
        <w:rPr>
          <w:rStyle w:val="FootnoteReference"/>
          <w:rFonts w:ascii="Georgia" w:hAnsi="Georgia"/>
          <w:sz w:val="20"/>
          <w:szCs w:val="18"/>
        </w:rPr>
        <w:t>16</w:t>
      </w:r>
      <w:r w:rsidRPr="007F0427">
        <w:rPr>
          <w:rFonts w:ascii="Georgia" w:hAnsi="Georgia"/>
          <w:sz w:val="20"/>
          <w:szCs w:val="18"/>
        </w:rPr>
        <w:t xml:space="preserve"> </w:t>
      </w:r>
      <w:r w:rsidRPr="007F0427">
        <w:rPr>
          <w:rFonts w:ascii="Georgia" w:hAnsi="Georgia"/>
          <w:i/>
          <w:iCs/>
          <w:sz w:val="20"/>
          <w:szCs w:val="18"/>
        </w:rPr>
        <w:t>See</w:t>
      </w:r>
      <w:r w:rsidRPr="007F0427">
        <w:rPr>
          <w:rFonts w:ascii="Georgia" w:hAnsi="Georgia"/>
          <w:sz w:val="20"/>
          <w:szCs w:val="18"/>
        </w:rPr>
        <w:t xml:space="preserve"> Harvey S. Perlman, </w:t>
      </w:r>
      <w:r w:rsidRPr="007F0427">
        <w:rPr>
          <w:rFonts w:ascii="Georgia" w:hAnsi="Georgia"/>
          <w:i/>
          <w:iCs/>
          <w:sz w:val="20"/>
          <w:szCs w:val="18"/>
        </w:rPr>
        <w:t>The Restatement of the Law of Unfair Competition: A Work in Progress</w:t>
      </w:r>
      <w:r w:rsidRPr="007F0427">
        <w:rPr>
          <w:rFonts w:ascii="Georgia" w:hAnsi="Georgia"/>
          <w:sz w:val="20"/>
          <w:szCs w:val="18"/>
        </w:rPr>
        <w:t>, 80 Trademark Rep. 461, 472 (1990) (“Most surveys do not measure actual confusion. Surveys only give us information about a controlled and artificial world from which we are asked to draw inferences about the real world.”).</w:t>
      </w:r>
    </w:p>
  </w:footnote>
  <w:footnote w:id="10">
    <w:p w14:paraId="7805341B" w14:textId="77777777" w:rsidR="00BA1C68" w:rsidRPr="007F0427" w:rsidRDefault="00BA1C68" w:rsidP="00BA1C68">
      <w:pPr>
        <w:pStyle w:val="FootnoteText"/>
        <w:rPr>
          <w:rFonts w:ascii="Georgia" w:hAnsi="Georgia"/>
          <w:sz w:val="20"/>
          <w:szCs w:val="18"/>
        </w:rPr>
      </w:pPr>
      <w:r w:rsidRPr="007F0427">
        <w:rPr>
          <w:rStyle w:val="FootnoteReference"/>
          <w:rFonts w:ascii="Georgia" w:hAnsi="Georgia"/>
          <w:sz w:val="20"/>
          <w:szCs w:val="18"/>
        </w:rPr>
        <w:t>17</w:t>
      </w:r>
      <w:r w:rsidRPr="007F0427">
        <w:rPr>
          <w:rFonts w:ascii="Georgia" w:hAnsi="Georgia"/>
          <w:sz w:val="20"/>
          <w:szCs w:val="18"/>
        </w:rPr>
        <w:t xml:space="preserve"> The magistrate judge (and, by its adoption, the district court) discounted both pieces of evidence, concluding that neither consumer was </w:t>
      </w:r>
      <w:proofErr w:type="gramStart"/>
      <w:r w:rsidRPr="007F0427">
        <w:rPr>
          <w:rFonts w:ascii="Georgia" w:hAnsi="Georgia"/>
          <w:i/>
          <w:iCs/>
          <w:sz w:val="20"/>
          <w:szCs w:val="18"/>
        </w:rPr>
        <w:t>actually</w:t>
      </w:r>
      <w:r w:rsidRPr="007F0427">
        <w:rPr>
          <w:rFonts w:ascii="Georgia" w:hAnsi="Georgia"/>
          <w:sz w:val="20"/>
          <w:szCs w:val="18"/>
        </w:rPr>
        <w:t xml:space="preserve"> confused</w:t>
      </w:r>
      <w:proofErr w:type="gramEnd"/>
      <w:r w:rsidRPr="007F0427">
        <w:rPr>
          <w:rFonts w:ascii="Georgia" w:hAnsi="Georgia"/>
          <w:sz w:val="20"/>
          <w:szCs w:val="18"/>
        </w:rPr>
        <w:t xml:space="preserve">. As already discussed in footnote 5, </w:t>
      </w:r>
      <w:r w:rsidRPr="007F0427">
        <w:rPr>
          <w:rFonts w:ascii="Georgia" w:hAnsi="Georgia"/>
          <w:i/>
          <w:iCs/>
          <w:sz w:val="20"/>
          <w:szCs w:val="18"/>
        </w:rPr>
        <w:t>supra</w:t>
      </w:r>
      <w:r w:rsidRPr="007F0427">
        <w:rPr>
          <w:rFonts w:ascii="Georgia" w:hAnsi="Georgia"/>
          <w:sz w:val="20"/>
          <w:szCs w:val="18"/>
        </w:rPr>
        <w:t>, this amounted to an improper credibility determination that invaded the province of the jury.</w:t>
      </w:r>
    </w:p>
  </w:footnote>
  <w:footnote w:id="11">
    <w:p w14:paraId="7AACE166" w14:textId="77777777" w:rsidR="00BA1C68" w:rsidRPr="007F0427" w:rsidRDefault="00BA1C68" w:rsidP="00BA1C68">
      <w:pPr>
        <w:pStyle w:val="FootnoteText"/>
        <w:rPr>
          <w:rFonts w:ascii="Georgia" w:hAnsi="Georgia"/>
          <w:sz w:val="20"/>
          <w:szCs w:val="18"/>
        </w:rPr>
      </w:pPr>
      <w:r w:rsidRPr="007F0427">
        <w:rPr>
          <w:rStyle w:val="FootnoteReference"/>
          <w:rFonts w:ascii="Georgia" w:hAnsi="Georgia"/>
          <w:sz w:val="20"/>
          <w:szCs w:val="18"/>
        </w:rPr>
        <w:t>18</w:t>
      </w:r>
      <w:r w:rsidRPr="007F0427">
        <w:rPr>
          <w:rFonts w:ascii="Georgia" w:hAnsi="Georgia"/>
          <w:sz w:val="20"/>
          <w:szCs w:val="18"/>
        </w:rPr>
        <w:t xml:space="preserve"> </w:t>
      </w:r>
      <w:proofErr w:type="spellStart"/>
      <w:r w:rsidRPr="007F0427">
        <w:rPr>
          <w:rFonts w:ascii="Georgia" w:hAnsi="Georgia"/>
          <w:sz w:val="20"/>
          <w:szCs w:val="18"/>
        </w:rPr>
        <w:t>Wreal</w:t>
      </w:r>
      <w:proofErr w:type="spellEnd"/>
      <w:r w:rsidRPr="007F0427">
        <w:rPr>
          <w:rFonts w:ascii="Georgia" w:hAnsi="Georgia"/>
          <w:sz w:val="20"/>
          <w:szCs w:val="18"/>
        </w:rPr>
        <w:t xml:space="preserve"> identified other pieces of evidence to the district court, but our review of the record indicates that they do not represent direct evidence of actual confusion. For example, one of </w:t>
      </w:r>
      <w:proofErr w:type="spellStart"/>
      <w:r w:rsidRPr="007F0427">
        <w:rPr>
          <w:rFonts w:ascii="Georgia" w:hAnsi="Georgia"/>
          <w:sz w:val="20"/>
          <w:szCs w:val="18"/>
        </w:rPr>
        <w:t>Wreal’s</w:t>
      </w:r>
      <w:proofErr w:type="spellEnd"/>
      <w:r w:rsidRPr="007F0427">
        <w:rPr>
          <w:rFonts w:ascii="Georgia" w:hAnsi="Georgia"/>
          <w:sz w:val="20"/>
          <w:szCs w:val="18"/>
        </w:rPr>
        <w:t xml:space="preserve"> customers said, “I plan to buy the new Amazon </w:t>
      </w:r>
      <w:proofErr w:type="spellStart"/>
      <w:r w:rsidRPr="007F0427">
        <w:rPr>
          <w:rFonts w:ascii="Georgia" w:hAnsi="Georgia"/>
          <w:sz w:val="20"/>
          <w:szCs w:val="18"/>
        </w:rPr>
        <w:t>FireTV</w:t>
      </w:r>
      <w:proofErr w:type="spellEnd"/>
      <w:r w:rsidRPr="007F0427">
        <w:rPr>
          <w:rFonts w:ascii="Georgia" w:hAnsi="Georgia"/>
          <w:sz w:val="20"/>
          <w:szCs w:val="18"/>
        </w:rPr>
        <w:t xml:space="preserve"> box (I know it is NOT related to you guys—although confusion over the name may bring </w:t>
      </w:r>
      <w:proofErr w:type="spellStart"/>
      <w:r w:rsidRPr="007F0427">
        <w:rPr>
          <w:rFonts w:ascii="Georgia" w:hAnsi="Georgia"/>
          <w:sz w:val="20"/>
          <w:szCs w:val="18"/>
        </w:rPr>
        <w:t>Fyretv</w:t>
      </w:r>
      <w:proofErr w:type="spellEnd"/>
      <w:r w:rsidRPr="007F0427">
        <w:rPr>
          <w:rFonts w:ascii="Georgia" w:hAnsi="Georgia"/>
          <w:sz w:val="20"/>
          <w:szCs w:val="18"/>
        </w:rPr>
        <w:t xml:space="preserve"> some more customers and maybe a domain name sale windfall—more power to you!) Will this new Amazon streaming device have a private channel installation of </w:t>
      </w:r>
      <w:proofErr w:type="spellStart"/>
      <w:r w:rsidRPr="007F0427">
        <w:rPr>
          <w:rFonts w:ascii="Georgia" w:hAnsi="Georgia"/>
          <w:sz w:val="20"/>
          <w:szCs w:val="18"/>
        </w:rPr>
        <w:t>FyreTV</w:t>
      </w:r>
      <w:proofErr w:type="spellEnd"/>
      <w:r w:rsidRPr="007F0427">
        <w:rPr>
          <w:rFonts w:ascii="Georgia" w:hAnsi="Georgia"/>
          <w:sz w:val="20"/>
          <w:szCs w:val="18"/>
        </w:rPr>
        <w:t xml:space="preserve"> </w:t>
      </w:r>
      <w:proofErr w:type="gramStart"/>
      <w:r w:rsidRPr="007F0427">
        <w:rPr>
          <w:rFonts w:ascii="Georgia" w:hAnsi="Georgia"/>
          <w:sz w:val="20"/>
          <w:szCs w:val="18"/>
        </w:rPr>
        <w:t>in the near future</w:t>
      </w:r>
      <w:proofErr w:type="gramEnd"/>
      <w:r w:rsidRPr="007F0427">
        <w:rPr>
          <w:rFonts w:ascii="Georgia" w:hAnsi="Georgia"/>
          <w:sz w:val="20"/>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80092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84EB9"/>
    <w:multiLevelType w:val="hybridMultilevel"/>
    <w:tmpl w:val="89BC936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0423733E"/>
    <w:multiLevelType w:val="hybridMultilevel"/>
    <w:tmpl w:val="E042D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0279D"/>
    <w:multiLevelType w:val="hybridMultilevel"/>
    <w:tmpl w:val="F594DD5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098273A4"/>
    <w:multiLevelType w:val="hybridMultilevel"/>
    <w:tmpl w:val="285011C4"/>
    <w:lvl w:ilvl="0" w:tplc="1DCC6E12">
      <w:start w:val="1"/>
      <w:numFmt w:val="decimal"/>
      <w:lvlText w:val="(%1)"/>
      <w:lvlJc w:val="left"/>
      <w:pPr>
        <w:ind w:left="1317" w:hanging="88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0AE40A63"/>
    <w:multiLevelType w:val="hybridMultilevel"/>
    <w:tmpl w:val="5D12F92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0BE92379"/>
    <w:multiLevelType w:val="multilevel"/>
    <w:tmpl w:val="0A06E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E35AFA"/>
    <w:multiLevelType w:val="hybridMultilevel"/>
    <w:tmpl w:val="4862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D6D1C"/>
    <w:multiLevelType w:val="hybridMultilevel"/>
    <w:tmpl w:val="2D66EF0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18261816"/>
    <w:multiLevelType w:val="hybridMultilevel"/>
    <w:tmpl w:val="739E073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184550AA"/>
    <w:multiLevelType w:val="hybridMultilevel"/>
    <w:tmpl w:val="A1DAB51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188B4ACF"/>
    <w:multiLevelType w:val="multilevel"/>
    <w:tmpl w:val="6E9C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B547C"/>
    <w:multiLevelType w:val="hybridMultilevel"/>
    <w:tmpl w:val="C27A4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D54631"/>
    <w:multiLevelType w:val="hybridMultilevel"/>
    <w:tmpl w:val="F04E9D9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18DC5483"/>
    <w:multiLevelType w:val="hybridMultilevel"/>
    <w:tmpl w:val="E92011D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19591D46"/>
    <w:multiLevelType w:val="hybridMultilevel"/>
    <w:tmpl w:val="8D08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9F5447"/>
    <w:multiLevelType w:val="hybridMultilevel"/>
    <w:tmpl w:val="DFCC3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1301F8"/>
    <w:multiLevelType w:val="hybridMultilevel"/>
    <w:tmpl w:val="56D21EA6"/>
    <w:lvl w:ilvl="0" w:tplc="5E508B3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1F610550"/>
    <w:multiLevelType w:val="hybridMultilevel"/>
    <w:tmpl w:val="2034BC8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24EF106A"/>
    <w:multiLevelType w:val="hybridMultilevel"/>
    <w:tmpl w:val="C632179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28D65431"/>
    <w:multiLevelType w:val="hybridMultilevel"/>
    <w:tmpl w:val="38E044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AB65213"/>
    <w:multiLevelType w:val="hybridMultilevel"/>
    <w:tmpl w:val="D750A8A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2B6032AA"/>
    <w:multiLevelType w:val="hybridMultilevel"/>
    <w:tmpl w:val="CF5224E2"/>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2D4B4EA7"/>
    <w:multiLevelType w:val="hybridMultilevel"/>
    <w:tmpl w:val="502E4DDA"/>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4" w15:restartNumberingAfterBreak="0">
    <w:nsid w:val="2F0E578D"/>
    <w:multiLevelType w:val="hybridMultilevel"/>
    <w:tmpl w:val="0E58A83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39401154"/>
    <w:multiLevelType w:val="hybridMultilevel"/>
    <w:tmpl w:val="FC088BB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15:restartNumberingAfterBreak="0">
    <w:nsid w:val="397F6E5A"/>
    <w:multiLevelType w:val="hybridMultilevel"/>
    <w:tmpl w:val="8122673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3AD65CAB"/>
    <w:multiLevelType w:val="hybridMultilevel"/>
    <w:tmpl w:val="28629268"/>
    <w:lvl w:ilvl="0" w:tplc="04090001">
      <w:start w:val="1"/>
      <w:numFmt w:val="bullet"/>
      <w:lvlText w:val=""/>
      <w:lvlJc w:val="left"/>
      <w:pPr>
        <w:ind w:left="792" w:hanging="360"/>
      </w:pPr>
      <w:rPr>
        <w:rFonts w:ascii="Symbol" w:hAnsi="Symbol" w:hint="default"/>
      </w:rPr>
    </w:lvl>
    <w:lvl w:ilvl="1" w:tplc="3E6051B4">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15:restartNumberingAfterBreak="0">
    <w:nsid w:val="3B1712AD"/>
    <w:multiLevelType w:val="hybridMultilevel"/>
    <w:tmpl w:val="60CE52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3B821B52"/>
    <w:multiLevelType w:val="hybridMultilevel"/>
    <w:tmpl w:val="8F48576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0" w15:restartNumberingAfterBreak="0">
    <w:nsid w:val="3F8C165E"/>
    <w:multiLevelType w:val="hybridMultilevel"/>
    <w:tmpl w:val="874CDB5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15:restartNumberingAfterBreak="0">
    <w:nsid w:val="3FCD5516"/>
    <w:multiLevelType w:val="hybridMultilevel"/>
    <w:tmpl w:val="9A24DAF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4273099C"/>
    <w:multiLevelType w:val="hybridMultilevel"/>
    <w:tmpl w:val="A57031C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3" w15:restartNumberingAfterBreak="0">
    <w:nsid w:val="44D304F9"/>
    <w:multiLevelType w:val="hybridMultilevel"/>
    <w:tmpl w:val="ED406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785764A"/>
    <w:multiLevelType w:val="hybridMultilevel"/>
    <w:tmpl w:val="7B222EA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15:restartNumberingAfterBreak="0">
    <w:nsid w:val="47C507A3"/>
    <w:multiLevelType w:val="hybridMultilevel"/>
    <w:tmpl w:val="6324F6A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15:restartNumberingAfterBreak="0">
    <w:nsid w:val="4845539C"/>
    <w:multiLevelType w:val="hybridMultilevel"/>
    <w:tmpl w:val="88B6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FC32D5"/>
    <w:multiLevelType w:val="hybridMultilevel"/>
    <w:tmpl w:val="C092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141C8B"/>
    <w:multiLevelType w:val="hybridMultilevel"/>
    <w:tmpl w:val="8C88B5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9" w15:restartNumberingAfterBreak="0">
    <w:nsid w:val="4B391ADB"/>
    <w:multiLevelType w:val="hybridMultilevel"/>
    <w:tmpl w:val="328EF278"/>
    <w:lvl w:ilvl="0" w:tplc="9EF232E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15:restartNumberingAfterBreak="0">
    <w:nsid w:val="4F081EF0"/>
    <w:multiLevelType w:val="hybridMultilevel"/>
    <w:tmpl w:val="8F5C59E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1" w15:restartNumberingAfterBreak="0">
    <w:nsid w:val="52194449"/>
    <w:multiLevelType w:val="hybridMultilevel"/>
    <w:tmpl w:val="6E52DC48"/>
    <w:lvl w:ilvl="0" w:tplc="99FAB11E">
      <w:start w:val="1"/>
      <w:numFmt w:val="decimal"/>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2" w15:restartNumberingAfterBreak="0">
    <w:nsid w:val="55F90B9B"/>
    <w:multiLevelType w:val="hybridMultilevel"/>
    <w:tmpl w:val="D0829732"/>
    <w:lvl w:ilvl="0" w:tplc="04090001">
      <w:start w:val="1"/>
      <w:numFmt w:val="bullet"/>
      <w:lvlText w:val=""/>
      <w:lvlJc w:val="left"/>
      <w:pPr>
        <w:ind w:left="792" w:hanging="360"/>
      </w:pPr>
      <w:rPr>
        <w:rFonts w:ascii="Symbol" w:hAnsi="Symbol" w:hint="default"/>
      </w:rPr>
    </w:lvl>
    <w:lvl w:ilvl="1" w:tplc="FD404DCC">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3" w15:restartNumberingAfterBreak="0">
    <w:nsid w:val="58917C13"/>
    <w:multiLevelType w:val="hybridMultilevel"/>
    <w:tmpl w:val="EEC232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9B36249"/>
    <w:multiLevelType w:val="hybridMultilevel"/>
    <w:tmpl w:val="F536D4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5" w15:restartNumberingAfterBreak="0">
    <w:nsid w:val="5A7618F4"/>
    <w:multiLevelType w:val="hybridMultilevel"/>
    <w:tmpl w:val="06CAD8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C0C080A"/>
    <w:multiLevelType w:val="hybridMultilevel"/>
    <w:tmpl w:val="1002A28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7" w15:restartNumberingAfterBreak="0">
    <w:nsid w:val="5CB427A0"/>
    <w:multiLevelType w:val="hybridMultilevel"/>
    <w:tmpl w:val="D99E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D851092"/>
    <w:multiLevelType w:val="hybridMultilevel"/>
    <w:tmpl w:val="E5A81800"/>
    <w:lvl w:ilvl="0" w:tplc="7EC83F7C">
      <w:numFmt w:val="bullet"/>
      <w:lvlText w:val="•"/>
      <w:lvlJc w:val="left"/>
      <w:pPr>
        <w:ind w:left="792" w:hanging="360"/>
      </w:pPr>
      <w:rPr>
        <w:rFonts w:ascii="Cambria" w:eastAsia="Calibri" w:hAnsi="Cambria"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9" w15:restartNumberingAfterBreak="0">
    <w:nsid w:val="612C1D2D"/>
    <w:multiLevelType w:val="hybridMultilevel"/>
    <w:tmpl w:val="DA581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76029B"/>
    <w:multiLevelType w:val="hybridMultilevel"/>
    <w:tmpl w:val="3A309C1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1" w15:restartNumberingAfterBreak="0">
    <w:nsid w:val="64073E59"/>
    <w:multiLevelType w:val="hybridMultilevel"/>
    <w:tmpl w:val="410CF41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2" w15:restartNumberingAfterBreak="0">
    <w:nsid w:val="64EC778D"/>
    <w:multiLevelType w:val="hybridMultilevel"/>
    <w:tmpl w:val="78748E3A"/>
    <w:lvl w:ilvl="0" w:tplc="04090001">
      <w:start w:val="1"/>
      <w:numFmt w:val="bullet"/>
      <w:lvlText w:val=""/>
      <w:lvlJc w:val="left"/>
      <w:pPr>
        <w:ind w:left="792" w:hanging="360"/>
      </w:pPr>
      <w:rPr>
        <w:rFonts w:ascii="Symbol" w:hAnsi="Symbol" w:hint="default"/>
      </w:rPr>
    </w:lvl>
    <w:lvl w:ilvl="1" w:tplc="CCC8BBC6">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3" w15:restartNumberingAfterBreak="0">
    <w:nsid w:val="66BA3DAE"/>
    <w:multiLevelType w:val="hybridMultilevel"/>
    <w:tmpl w:val="D958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F32ED4"/>
    <w:multiLevelType w:val="hybridMultilevel"/>
    <w:tmpl w:val="4DBE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C2523ED"/>
    <w:multiLevelType w:val="hybridMultilevel"/>
    <w:tmpl w:val="DAF4528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6" w15:restartNumberingAfterBreak="0">
    <w:nsid w:val="6D5242D8"/>
    <w:multiLevelType w:val="multilevel"/>
    <w:tmpl w:val="19AA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D7D2188"/>
    <w:multiLevelType w:val="hybridMultilevel"/>
    <w:tmpl w:val="438A6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E724809"/>
    <w:multiLevelType w:val="hybridMultilevel"/>
    <w:tmpl w:val="7780C59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9" w15:restartNumberingAfterBreak="0">
    <w:nsid w:val="6F0E2DD3"/>
    <w:multiLevelType w:val="hybridMultilevel"/>
    <w:tmpl w:val="4A286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5E1A81"/>
    <w:multiLevelType w:val="hybridMultilevel"/>
    <w:tmpl w:val="1056F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45B156E"/>
    <w:multiLevelType w:val="hybridMultilevel"/>
    <w:tmpl w:val="4A180616"/>
    <w:lvl w:ilvl="0" w:tplc="ADF885D8">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2" w15:restartNumberingAfterBreak="0">
    <w:nsid w:val="74A53806"/>
    <w:multiLevelType w:val="hybridMultilevel"/>
    <w:tmpl w:val="E650370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3" w15:restartNumberingAfterBreak="0">
    <w:nsid w:val="7559310E"/>
    <w:multiLevelType w:val="hybridMultilevel"/>
    <w:tmpl w:val="6A6AE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6A15BCE"/>
    <w:multiLevelType w:val="hybridMultilevel"/>
    <w:tmpl w:val="222C77BC"/>
    <w:lvl w:ilvl="0" w:tplc="04090001">
      <w:start w:val="1"/>
      <w:numFmt w:val="bullet"/>
      <w:lvlText w:val=""/>
      <w:lvlJc w:val="left"/>
      <w:pPr>
        <w:ind w:left="792" w:hanging="360"/>
      </w:pPr>
      <w:rPr>
        <w:rFonts w:ascii="Symbol" w:hAnsi="Symbol" w:hint="default"/>
      </w:rPr>
    </w:lvl>
    <w:lvl w:ilvl="1" w:tplc="E1D68F02">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5" w15:restartNumberingAfterBreak="0">
    <w:nsid w:val="76F30920"/>
    <w:multiLevelType w:val="hybridMultilevel"/>
    <w:tmpl w:val="79B8097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6" w15:restartNumberingAfterBreak="0">
    <w:nsid w:val="7F6C3508"/>
    <w:multiLevelType w:val="hybridMultilevel"/>
    <w:tmpl w:val="8974BA4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16cid:durableId="34164663">
    <w:abstractNumId w:val="45"/>
  </w:num>
  <w:num w:numId="2" w16cid:durableId="87389589">
    <w:abstractNumId w:val="24"/>
  </w:num>
  <w:num w:numId="3" w16cid:durableId="659501241">
    <w:abstractNumId w:val="0"/>
  </w:num>
  <w:num w:numId="4" w16cid:durableId="1387029198">
    <w:abstractNumId w:val="59"/>
  </w:num>
  <w:num w:numId="5" w16cid:durableId="396519674">
    <w:abstractNumId w:val="20"/>
  </w:num>
  <w:num w:numId="6" w16cid:durableId="762409789">
    <w:abstractNumId w:val="30"/>
  </w:num>
  <w:num w:numId="7" w16cid:durableId="186916907">
    <w:abstractNumId w:val="33"/>
  </w:num>
  <w:num w:numId="8" w16cid:durableId="1602369685">
    <w:abstractNumId w:val="53"/>
  </w:num>
  <w:num w:numId="9" w16cid:durableId="647127347">
    <w:abstractNumId w:val="54"/>
  </w:num>
  <w:num w:numId="10" w16cid:durableId="1220632107">
    <w:abstractNumId w:val="57"/>
  </w:num>
  <w:num w:numId="11" w16cid:durableId="1741755792">
    <w:abstractNumId w:val="13"/>
  </w:num>
  <w:num w:numId="12" w16cid:durableId="950279756">
    <w:abstractNumId w:val="66"/>
  </w:num>
  <w:num w:numId="13" w16cid:durableId="1947927468">
    <w:abstractNumId w:val="25"/>
  </w:num>
  <w:num w:numId="14" w16cid:durableId="1320496178">
    <w:abstractNumId w:val="14"/>
  </w:num>
  <w:num w:numId="15" w16cid:durableId="2007173233">
    <w:abstractNumId w:val="46"/>
  </w:num>
  <w:num w:numId="16" w16cid:durableId="1111507248">
    <w:abstractNumId w:val="58"/>
  </w:num>
  <w:num w:numId="17" w16cid:durableId="1221408092">
    <w:abstractNumId w:val="60"/>
  </w:num>
  <w:num w:numId="18" w16cid:durableId="203712722">
    <w:abstractNumId w:val="63"/>
  </w:num>
  <w:num w:numId="19" w16cid:durableId="1410805463">
    <w:abstractNumId w:val="42"/>
  </w:num>
  <w:num w:numId="20" w16cid:durableId="417406946">
    <w:abstractNumId w:val="32"/>
  </w:num>
  <w:num w:numId="21" w16cid:durableId="1402369868">
    <w:abstractNumId w:val="8"/>
  </w:num>
  <w:num w:numId="22" w16cid:durableId="1294822637">
    <w:abstractNumId w:val="47"/>
  </w:num>
  <w:num w:numId="23" w16cid:durableId="141772137">
    <w:abstractNumId w:val="44"/>
  </w:num>
  <w:num w:numId="24" w16cid:durableId="1502354178">
    <w:abstractNumId w:val="3"/>
  </w:num>
  <w:num w:numId="25" w16cid:durableId="1220477138">
    <w:abstractNumId w:val="15"/>
  </w:num>
  <w:num w:numId="26" w16cid:durableId="2101947328">
    <w:abstractNumId w:val="26"/>
  </w:num>
  <w:num w:numId="27" w16cid:durableId="514459451">
    <w:abstractNumId w:val="34"/>
  </w:num>
  <w:num w:numId="28" w16cid:durableId="2027360656">
    <w:abstractNumId w:val="4"/>
  </w:num>
  <w:num w:numId="29" w16cid:durableId="674038603">
    <w:abstractNumId w:val="36"/>
  </w:num>
  <w:num w:numId="30" w16cid:durableId="263154492">
    <w:abstractNumId w:val="29"/>
  </w:num>
  <w:num w:numId="31" w16cid:durableId="197669646">
    <w:abstractNumId w:val="22"/>
  </w:num>
  <w:num w:numId="32" w16cid:durableId="1158695189">
    <w:abstractNumId w:val="21"/>
  </w:num>
  <w:num w:numId="33" w16cid:durableId="379332153">
    <w:abstractNumId w:val="27"/>
  </w:num>
  <w:num w:numId="34" w16cid:durableId="1486774316">
    <w:abstractNumId w:val="52"/>
  </w:num>
  <w:num w:numId="35" w16cid:durableId="1188638900">
    <w:abstractNumId w:val="64"/>
  </w:num>
  <w:num w:numId="36" w16cid:durableId="189298484">
    <w:abstractNumId w:val="62"/>
  </w:num>
  <w:num w:numId="37" w16cid:durableId="1491868992">
    <w:abstractNumId w:val="19"/>
  </w:num>
  <w:num w:numId="38" w16cid:durableId="498739075">
    <w:abstractNumId w:val="50"/>
  </w:num>
  <w:num w:numId="39" w16cid:durableId="631864787">
    <w:abstractNumId w:val="40"/>
  </w:num>
  <w:num w:numId="40" w16cid:durableId="1165246301">
    <w:abstractNumId w:val="10"/>
  </w:num>
  <w:num w:numId="41" w16cid:durableId="34427852">
    <w:abstractNumId w:val="38"/>
  </w:num>
  <w:num w:numId="42" w16cid:durableId="7803443">
    <w:abstractNumId w:val="18"/>
  </w:num>
  <w:num w:numId="43" w16cid:durableId="1924802620">
    <w:abstractNumId w:val="35"/>
  </w:num>
  <w:num w:numId="44" w16cid:durableId="379090213">
    <w:abstractNumId w:val="55"/>
  </w:num>
  <w:num w:numId="45" w16cid:durableId="2084985156">
    <w:abstractNumId w:val="5"/>
  </w:num>
  <w:num w:numId="46" w16cid:durableId="1099332068">
    <w:abstractNumId w:val="65"/>
  </w:num>
  <w:num w:numId="47" w16cid:durableId="1328021998">
    <w:abstractNumId w:val="31"/>
  </w:num>
  <w:num w:numId="48" w16cid:durableId="1696542502">
    <w:abstractNumId w:val="1"/>
  </w:num>
  <w:num w:numId="49" w16cid:durableId="456333330">
    <w:abstractNumId w:val="51"/>
  </w:num>
  <w:num w:numId="50" w16cid:durableId="1007437737">
    <w:abstractNumId w:val="7"/>
  </w:num>
  <w:num w:numId="51" w16cid:durableId="1442384772">
    <w:abstractNumId w:val="48"/>
  </w:num>
  <w:num w:numId="52" w16cid:durableId="945842540">
    <w:abstractNumId w:val="56"/>
  </w:num>
  <w:num w:numId="53" w16cid:durableId="1931429483">
    <w:abstractNumId w:val="11"/>
  </w:num>
  <w:num w:numId="54" w16cid:durableId="343748175">
    <w:abstractNumId w:val="6"/>
  </w:num>
  <w:num w:numId="55" w16cid:durableId="343286677">
    <w:abstractNumId w:val="9"/>
  </w:num>
  <w:num w:numId="56" w16cid:durableId="172495038">
    <w:abstractNumId w:val="61"/>
  </w:num>
  <w:num w:numId="57" w16cid:durableId="708915505">
    <w:abstractNumId w:val="43"/>
  </w:num>
  <w:num w:numId="58" w16cid:durableId="181862554">
    <w:abstractNumId w:val="49"/>
  </w:num>
  <w:num w:numId="59" w16cid:durableId="1010136997">
    <w:abstractNumId w:val="37"/>
  </w:num>
  <w:num w:numId="60" w16cid:durableId="975648653">
    <w:abstractNumId w:val="2"/>
  </w:num>
  <w:num w:numId="61" w16cid:durableId="1587417292">
    <w:abstractNumId w:val="28"/>
  </w:num>
  <w:num w:numId="62" w16cid:durableId="1419904971">
    <w:abstractNumId w:val="23"/>
  </w:num>
  <w:num w:numId="63" w16cid:durableId="1815760357">
    <w:abstractNumId w:val="12"/>
  </w:num>
  <w:num w:numId="64" w16cid:durableId="1639263211">
    <w:abstractNumId w:val="16"/>
  </w:num>
  <w:num w:numId="65" w16cid:durableId="139153081">
    <w:abstractNumId w:val="41"/>
  </w:num>
  <w:num w:numId="66" w16cid:durableId="521818105">
    <w:abstractNumId w:val="39"/>
  </w:num>
  <w:num w:numId="67" w16cid:durableId="1757705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C68"/>
    <w:rsid w:val="000A4AD4"/>
    <w:rsid w:val="000C53B3"/>
    <w:rsid w:val="00216B94"/>
    <w:rsid w:val="007F0427"/>
    <w:rsid w:val="00BA1C68"/>
    <w:rsid w:val="00C21110"/>
    <w:rsid w:val="00D40743"/>
    <w:rsid w:val="00EB3DF5"/>
    <w:rsid w:val="00F3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D3A14"/>
  <w15:chartTrackingRefBased/>
  <w15:docId w15:val="{D792FDFE-C6C7-4A4E-8B66-717C6C715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C68"/>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BA1C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A1C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A1C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A1C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BA1C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BA1C68"/>
    <w:pPr>
      <w:keepNext/>
      <w:keepLines/>
      <w:spacing w:before="40" w:after="0"/>
      <w:outlineLvl w:val="5"/>
    </w:pPr>
    <w:rPr>
      <w:rFonts w:eastAsiaTheme="majorEastAsia" w:cstheme="majorBidi"/>
      <w:i/>
      <w:iCs/>
      <w:color w:val="595959" w:themeColor="text1" w:themeTint="A6"/>
    </w:rPr>
  </w:style>
  <w:style w:type="paragraph" w:styleId="Heading7">
    <w:name w:val="heading 7"/>
    <w:aliases w:val="Case name"/>
    <w:basedOn w:val="Normal"/>
    <w:next w:val="Normal"/>
    <w:link w:val="Heading7Char"/>
    <w:uiPriority w:val="9"/>
    <w:unhideWhenUsed/>
    <w:qFormat/>
    <w:rsid w:val="00BA1C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1C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1C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C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A1C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A1C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A1C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BA1C68"/>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BA1C68"/>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BA1C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C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C68"/>
    <w:rPr>
      <w:rFonts w:eastAsiaTheme="majorEastAsia" w:cstheme="majorBidi"/>
      <w:color w:val="272727" w:themeColor="text1" w:themeTint="D8"/>
    </w:rPr>
  </w:style>
  <w:style w:type="paragraph" w:styleId="Title">
    <w:name w:val="Title"/>
    <w:basedOn w:val="Normal"/>
    <w:next w:val="Normal"/>
    <w:link w:val="TitleChar"/>
    <w:uiPriority w:val="10"/>
    <w:qFormat/>
    <w:rsid w:val="00BA1C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C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C68"/>
    <w:pPr>
      <w:numPr>
        <w:ilvl w:val="1"/>
      </w:numPr>
      <w:ind w:firstLine="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C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C68"/>
    <w:pPr>
      <w:spacing w:before="160"/>
      <w:jc w:val="center"/>
    </w:pPr>
    <w:rPr>
      <w:i/>
      <w:iCs/>
      <w:color w:val="404040" w:themeColor="text1" w:themeTint="BF"/>
    </w:rPr>
  </w:style>
  <w:style w:type="character" w:customStyle="1" w:styleId="QuoteChar">
    <w:name w:val="Quote Char"/>
    <w:basedOn w:val="DefaultParagraphFont"/>
    <w:link w:val="Quote"/>
    <w:uiPriority w:val="29"/>
    <w:rsid w:val="00BA1C68"/>
    <w:rPr>
      <w:i/>
      <w:iCs/>
      <w:color w:val="404040" w:themeColor="text1" w:themeTint="BF"/>
    </w:rPr>
  </w:style>
  <w:style w:type="paragraph" w:styleId="ListParagraph">
    <w:name w:val="List Paragraph"/>
    <w:basedOn w:val="Normal"/>
    <w:uiPriority w:val="34"/>
    <w:qFormat/>
    <w:rsid w:val="00BA1C68"/>
    <w:pPr>
      <w:ind w:left="720"/>
      <w:contextualSpacing/>
    </w:pPr>
  </w:style>
  <w:style w:type="character" w:styleId="IntenseEmphasis">
    <w:name w:val="Intense Emphasis"/>
    <w:basedOn w:val="DefaultParagraphFont"/>
    <w:uiPriority w:val="21"/>
    <w:qFormat/>
    <w:rsid w:val="00BA1C68"/>
    <w:rPr>
      <w:i/>
      <w:iCs/>
      <w:color w:val="0F4761" w:themeColor="accent1" w:themeShade="BF"/>
    </w:rPr>
  </w:style>
  <w:style w:type="paragraph" w:styleId="IntenseQuote">
    <w:name w:val="Intense Quote"/>
    <w:basedOn w:val="Normal"/>
    <w:next w:val="Normal"/>
    <w:link w:val="IntenseQuoteChar"/>
    <w:uiPriority w:val="30"/>
    <w:qFormat/>
    <w:rsid w:val="00BA1C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1C68"/>
    <w:rPr>
      <w:i/>
      <w:iCs/>
      <w:color w:val="0F4761" w:themeColor="accent1" w:themeShade="BF"/>
    </w:rPr>
  </w:style>
  <w:style w:type="character" w:styleId="IntenseReference">
    <w:name w:val="Intense Reference"/>
    <w:basedOn w:val="DefaultParagraphFont"/>
    <w:uiPriority w:val="32"/>
    <w:qFormat/>
    <w:rsid w:val="00BA1C68"/>
    <w:rPr>
      <w:b/>
      <w:bCs/>
      <w:smallCaps/>
      <w:color w:val="0F4761" w:themeColor="accent1" w:themeShade="BF"/>
      <w:spacing w:val="5"/>
    </w:rPr>
  </w:style>
  <w:style w:type="paragraph" w:customStyle="1" w:styleId="OpinionCitation">
    <w:name w:val="Opinion Citation"/>
    <w:basedOn w:val="Normal"/>
    <w:link w:val="OpinionCitationChar"/>
    <w:qFormat/>
    <w:rsid w:val="00BA1C68"/>
    <w:pPr>
      <w:keepNext/>
      <w:spacing w:after="120"/>
      <w:ind w:firstLine="0"/>
    </w:pPr>
    <w:rPr>
      <w:b/>
    </w:rPr>
  </w:style>
  <w:style w:type="character" w:customStyle="1" w:styleId="OpinionCitationChar">
    <w:name w:val="Opinion Citation Char"/>
    <w:link w:val="OpinionCitation"/>
    <w:rsid w:val="00BA1C68"/>
    <w:rPr>
      <w:rFonts w:ascii="Cambria" w:eastAsia="Calibri" w:hAnsi="Cambria" w:cs="Times New Roman"/>
      <w:b/>
      <w:kern w:val="0"/>
      <w:szCs w:val="20"/>
      <w14:ligatures w14:val="none"/>
    </w:rPr>
  </w:style>
  <w:style w:type="paragraph" w:customStyle="1" w:styleId="Blockquote">
    <w:name w:val="Blockquote"/>
    <w:basedOn w:val="Normal"/>
    <w:link w:val="BlockquoteChar"/>
    <w:qFormat/>
    <w:rsid w:val="00BA1C68"/>
    <w:pPr>
      <w:ind w:left="576" w:right="576" w:firstLine="0"/>
    </w:pPr>
  </w:style>
  <w:style w:type="character" w:customStyle="1" w:styleId="BlockquoteChar">
    <w:name w:val="Blockquote Char"/>
    <w:link w:val="Blockquote"/>
    <w:rsid w:val="00BA1C68"/>
    <w:rPr>
      <w:rFonts w:ascii="Cambria" w:eastAsia="Calibri" w:hAnsi="Cambria" w:cs="Times New Roman"/>
      <w:kern w:val="0"/>
      <w:szCs w:val="20"/>
      <w14:ligatures w14:val="none"/>
    </w:rPr>
  </w:style>
  <w:style w:type="paragraph" w:styleId="FootnoteText">
    <w:name w:val="footnote text"/>
    <w:basedOn w:val="Normal"/>
    <w:link w:val="FootnoteTextChar"/>
    <w:uiPriority w:val="99"/>
    <w:unhideWhenUsed/>
    <w:qFormat/>
    <w:rsid w:val="00BA1C68"/>
  </w:style>
  <w:style w:type="character" w:customStyle="1" w:styleId="FootnoteTextChar">
    <w:name w:val="Footnote Text Char"/>
    <w:basedOn w:val="DefaultParagraphFont"/>
    <w:link w:val="FootnoteText"/>
    <w:uiPriority w:val="99"/>
    <w:rsid w:val="00BA1C68"/>
    <w:rPr>
      <w:rFonts w:ascii="Cambria" w:eastAsia="Calibri" w:hAnsi="Cambria" w:cs="Times New Roman"/>
      <w:kern w:val="0"/>
      <w:szCs w:val="20"/>
      <w14:ligatures w14:val="none"/>
    </w:rPr>
  </w:style>
  <w:style w:type="character" w:styleId="FootnoteReference">
    <w:name w:val="footnote reference"/>
    <w:uiPriority w:val="99"/>
    <w:semiHidden/>
    <w:unhideWhenUsed/>
    <w:rsid w:val="00BA1C68"/>
    <w:rPr>
      <w:vertAlign w:val="superscript"/>
    </w:rPr>
  </w:style>
  <w:style w:type="paragraph" w:styleId="BalloonText">
    <w:name w:val="Balloon Text"/>
    <w:basedOn w:val="Normal"/>
    <w:link w:val="BalloonTextChar"/>
    <w:uiPriority w:val="99"/>
    <w:semiHidden/>
    <w:unhideWhenUsed/>
    <w:rsid w:val="00BA1C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C68"/>
    <w:rPr>
      <w:rFonts w:ascii="Tahoma" w:eastAsia="Calibri" w:hAnsi="Tahoma" w:cs="Tahoma"/>
      <w:kern w:val="0"/>
      <w:sz w:val="16"/>
      <w:szCs w:val="16"/>
      <w14:ligatures w14:val="none"/>
    </w:rPr>
  </w:style>
  <w:style w:type="paragraph" w:customStyle="1" w:styleId="NormalNoIndent">
    <w:name w:val="Normal No Indent"/>
    <w:basedOn w:val="Normal"/>
    <w:link w:val="NormalNoIndentChar"/>
    <w:qFormat/>
    <w:rsid w:val="00BA1C68"/>
    <w:pPr>
      <w:ind w:firstLine="0"/>
    </w:pPr>
  </w:style>
  <w:style w:type="character" w:customStyle="1" w:styleId="NormalNoIndentChar">
    <w:name w:val="Normal No Indent Char"/>
    <w:link w:val="NormalNoIndent"/>
    <w:rsid w:val="00BA1C68"/>
    <w:rPr>
      <w:rFonts w:ascii="Cambria" w:eastAsia="Calibri" w:hAnsi="Cambria" w:cs="Times New Roman"/>
      <w:kern w:val="0"/>
      <w:szCs w:val="20"/>
      <w14:ligatures w14:val="none"/>
    </w:rPr>
  </w:style>
  <w:style w:type="paragraph" w:styleId="Header">
    <w:name w:val="header"/>
    <w:basedOn w:val="Normal"/>
    <w:link w:val="HeaderChar"/>
    <w:uiPriority w:val="99"/>
    <w:unhideWhenUsed/>
    <w:rsid w:val="00BA1C68"/>
    <w:pPr>
      <w:tabs>
        <w:tab w:val="center" w:pos="4680"/>
        <w:tab w:val="right" w:pos="9360"/>
      </w:tabs>
    </w:pPr>
  </w:style>
  <w:style w:type="character" w:customStyle="1" w:styleId="HeaderChar">
    <w:name w:val="Header Char"/>
    <w:basedOn w:val="DefaultParagraphFont"/>
    <w:link w:val="Header"/>
    <w:uiPriority w:val="99"/>
    <w:rsid w:val="00BA1C68"/>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BA1C68"/>
    <w:pPr>
      <w:tabs>
        <w:tab w:val="center" w:pos="4680"/>
        <w:tab w:val="right" w:pos="9360"/>
      </w:tabs>
    </w:pPr>
  </w:style>
  <w:style w:type="character" w:customStyle="1" w:styleId="FooterChar">
    <w:name w:val="Footer Char"/>
    <w:basedOn w:val="DefaultParagraphFont"/>
    <w:link w:val="Footer"/>
    <w:uiPriority w:val="99"/>
    <w:rsid w:val="00BA1C68"/>
    <w:rPr>
      <w:rFonts w:ascii="Cambria" w:eastAsia="Calibri" w:hAnsi="Cambria" w:cs="Times New Roman"/>
      <w:kern w:val="0"/>
      <w:szCs w:val="20"/>
      <w14:ligatures w14:val="none"/>
    </w:rPr>
  </w:style>
  <w:style w:type="paragraph" w:customStyle="1" w:styleId="CommentsandQuestions">
    <w:name w:val="Comments and Questions"/>
    <w:basedOn w:val="Normal"/>
    <w:link w:val="CommentsandQuestionsChar"/>
    <w:qFormat/>
    <w:rsid w:val="00BA1C68"/>
    <w:pPr>
      <w:keepNext/>
      <w:spacing w:before="120" w:after="120"/>
      <w:ind w:firstLine="0"/>
      <w:jc w:val="center"/>
    </w:pPr>
    <w:rPr>
      <w:b/>
    </w:rPr>
  </w:style>
  <w:style w:type="character" w:customStyle="1" w:styleId="CommentsandQuestionsChar">
    <w:name w:val="Comments and Questions Char"/>
    <w:link w:val="CommentsandQuestions"/>
    <w:rsid w:val="00BA1C68"/>
    <w:rPr>
      <w:rFonts w:ascii="Cambria" w:eastAsia="Calibri" w:hAnsi="Cambria" w:cs="Times New Roman"/>
      <w:b/>
      <w:kern w:val="0"/>
      <w:szCs w:val="20"/>
      <w14:ligatures w14:val="none"/>
    </w:rPr>
  </w:style>
  <w:style w:type="paragraph" w:styleId="ListBullet">
    <w:name w:val="List Bullet"/>
    <w:basedOn w:val="Normal"/>
    <w:uiPriority w:val="99"/>
    <w:unhideWhenUsed/>
    <w:rsid w:val="00BA1C68"/>
    <w:pPr>
      <w:numPr>
        <w:numId w:val="3"/>
      </w:numPr>
      <w:contextualSpacing/>
    </w:pPr>
  </w:style>
  <w:style w:type="paragraph" w:customStyle="1" w:styleId="Dashbreak">
    <w:name w:val="Dash break"/>
    <w:basedOn w:val="NormalNoIndent"/>
    <w:link w:val="DashbreakChar"/>
    <w:qFormat/>
    <w:rsid w:val="00BA1C68"/>
    <w:pPr>
      <w:spacing w:before="240" w:after="240"/>
      <w:jc w:val="center"/>
    </w:pPr>
  </w:style>
  <w:style w:type="character" w:customStyle="1" w:styleId="DashbreakChar">
    <w:name w:val="Dash break Char"/>
    <w:basedOn w:val="NormalNoIndentChar"/>
    <w:link w:val="Dashbreak"/>
    <w:rsid w:val="00BA1C68"/>
    <w:rPr>
      <w:rFonts w:ascii="Cambria" w:eastAsia="Calibri" w:hAnsi="Cambria" w:cs="Times New Roman"/>
      <w:kern w:val="0"/>
      <w:szCs w:val="20"/>
      <w14:ligatures w14:val="none"/>
    </w:rPr>
  </w:style>
  <w:style w:type="paragraph" w:styleId="BodyText">
    <w:name w:val="Body Text"/>
    <w:basedOn w:val="Normal"/>
    <w:link w:val="BodyTextChar"/>
    <w:uiPriority w:val="99"/>
    <w:semiHidden/>
    <w:unhideWhenUsed/>
    <w:rsid w:val="00BA1C68"/>
    <w:pPr>
      <w:spacing w:after="120"/>
    </w:pPr>
  </w:style>
  <w:style w:type="character" w:customStyle="1" w:styleId="BodyTextChar">
    <w:name w:val="Body Text Char"/>
    <w:basedOn w:val="DefaultParagraphFont"/>
    <w:link w:val="BodyText"/>
    <w:uiPriority w:val="99"/>
    <w:semiHidden/>
    <w:rsid w:val="00BA1C68"/>
    <w:rPr>
      <w:rFonts w:ascii="Cambria" w:eastAsia="Calibri" w:hAnsi="Cambria" w:cs="Times New Roman"/>
      <w:kern w:val="0"/>
      <w:szCs w:val="20"/>
      <w14:ligatures w14:val="none"/>
    </w:rPr>
  </w:style>
  <w:style w:type="paragraph" w:customStyle="1" w:styleId="ReferenceLine">
    <w:name w:val="Reference Line"/>
    <w:basedOn w:val="BodyText"/>
    <w:rsid w:val="00BA1C68"/>
  </w:style>
  <w:style w:type="character" w:styleId="Hyperlink">
    <w:name w:val="Hyperlink"/>
    <w:uiPriority w:val="99"/>
    <w:unhideWhenUsed/>
    <w:rsid w:val="00BA1C68"/>
    <w:rPr>
      <w:color w:val="0000FF"/>
      <w:u w:val="single"/>
    </w:rPr>
  </w:style>
  <w:style w:type="paragraph" w:styleId="EndnoteText">
    <w:name w:val="endnote text"/>
    <w:basedOn w:val="Normal"/>
    <w:link w:val="EndnoteTextChar"/>
    <w:uiPriority w:val="99"/>
    <w:semiHidden/>
    <w:unhideWhenUsed/>
    <w:rsid w:val="00BA1C68"/>
  </w:style>
  <w:style w:type="character" w:customStyle="1" w:styleId="EndnoteTextChar">
    <w:name w:val="Endnote Text Char"/>
    <w:basedOn w:val="DefaultParagraphFont"/>
    <w:link w:val="EndnoteText"/>
    <w:uiPriority w:val="99"/>
    <w:semiHidden/>
    <w:rsid w:val="00BA1C68"/>
    <w:rPr>
      <w:rFonts w:ascii="Cambria" w:eastAsia="Calibri" w:hAnsi="Cambria" w:cs="Times New Roman"/>
      <w:kern w:val="0"/>
      <w:szCs w:val="20"/>
      <w14:ligatures w14:val="none"/>
    </w:rPr>
  </w:style>
  <w:style w:type="character" w:styleId="EndnoteReference">
    <w:name w:val="endnote reference"/>
    <w:uiPriority w:val="99"/>
    <w:semiHidden/>
    <w:unhideWhenUsed/>
    <w:rsid w:val="00BA1C68"/>
    <w:rPr>
      <w:vertAlign w:val="superscript"/>
    </w:rPr>
  </w:style>
  <w:style w:type="paragraph" w:styleId="TOCHeading">
    <w:name w:val="TOC Heading"/>
    <w:basedOn w:val="Heading1"/>
    <w:next w:val="Normal"/>
    <w:uiPriority w:val="39"/>
    <w:semiHidden/>
    <w:unhideWhenUsed/>
    <w:qFormat/>
    <w:rsid w:val="00BA1C68"/>
    <w:pPr>
      <w:spacing w:before="480" w:after="120" w:line="276" w:lineRule="auto"/>
      <w:outlineLvl w:val="9"/>
    </w:pPr>
    <w:rPr>
      <w:rFonts w:ascii="Cambria" w:eastAsia="MS Gothic" w:hAnsi="Cambria" w:cs="Times New Roman"/>
      <w:b/>
      <w:bCs/>
      <w:color w:val="365F91"/>
      <w:sz w:val="28"/>
      <w:szCs w:val="28"/>
      <w:lang w:eastAsia="ja-JP"/>
    </w:rPr>
  </w:style>
  <w:style w:type="paragraph" w:styleId="TOC1">
    <w:name w:val="toc 1"/>
    <w:basedOn w:val="Normal"/>
    <w:next w:val="Normal"/>
    <w:autoRedefine/>
    <w:uiPriority w:val="39"/>
    <w:unhideWhenUsed/>
    <w:rsid w:val="00BA1C68"/>
    <w:pPr>
      <w:tabs>
        <w:tab w:val="left" w:pos="440"/>
        <w:tab w:val="right" w:leader="dot" w:pos="8784"/>
      </w:tabs>
      <w:ind w:left="540" w:hanging="540"/>
      <w:jc w:val="center"/>
    </w:pPr>
  </w:style>
  <w:style w:type="paragraph" w:styleId="TOC2">
    <w:name w:val="toc 2"/>
    <w:basedOn w:val="Normal"/>
    <w:next w:val="Normal"/>
    <w:autoRedefine/>
    <w:uiPriority w:val="39"/>
    <w:unhideWhenUsed/>
    <w:rsid w:val="00BA1C68"/>
    <w:pPr>
      <w:tabs>
        <w:tab w:val="left" w:pos="810"/>
        <w:tab w:val="right" w:leader="dot" w:pos="8784"/>
      </w:tabs>
    </w:pPr>
  </w:style>
  <w:style w:type="paragraph" w:styleId="TOC3">
    <w:name w:val="toc 3"/>
    <w:basedOn w:val="Normal"/>
    <w:next w:val="Normal"/>
    <w:autoRedefine/>
    <w:uiPriority w:val="39"/>
    <w:unhideWhenUsed/>
    <w:rsid w:val="00BA1C68"/>
    <w:pPr>
      <w:tabs>
        <w:tab w:val="left" w:pos="1260"/>
        <w:tab w:val="right" w:leader="dot" w:pos="8784"/>
      </w:tabs>
      <w:ind w:left="1260" w:hanging="450"/>
    </w:pPr>
  </w:style>
  <w:style w:type="paragraph" w:styleId="TOC4">
    <w:name w:val="toc 4"/>
    <w:basedOn w:val="Normal"/>
    <w:next w:val="Normal"/>
    <w:autoRedefine/>
    <w:uiPriority w:val="39"/>
    <w:unhideWhenUsed/>
    <w:rsid w:val="00BA1C68"/>
    <w:pPr>
      <w:tabs>
        <w:tab w:val="left" w:pos="1260"/>
        <w:tab w:val="left" w:pos="1710"/>
        <w:tab w:val="right" w:leader="dot" w:pos="8784"/>
      </w:tabs>
      <w:ind w:left="1699" w:hanging="432"/>
    </w:pPr>
  </w:style>
  <w:style w:type="paragraph" w:styleId="TOC5">
    <w:name w:val="toc 5"/>
    <w:basedOn w:val="Normal"/>
    <w:next w:val="Normal"/>
    <w:autoRedefine/>
    <w:uiPriority w:val="39"/>
    <w:unhideWhenUsed/>
    <w:rsid w:val="00BA1C68"/>
    <w:pPr>
      <w:tabs>
        <w:tab w:val="left" w:pos="2160"/>
        <w:tab w:val="right" w:leader="dot" w:pos="8784"/>
      </w:tabs>
      <w:ind w:left="2160" w:hanging="450"/>
    </w:pPr>
  </w:style>
  <w:style w:type="paragraph" w:styleId="TOC6">
    <w:name w:val="toc 6"/>
    <w:basedOn w:val="Normal"/>
    <w:next w:val="Normal"/>
    <w:autoRedefine/>
    <w:uiPriority w:val="39"/>
    <w:unhideWhenUsed/>
    <w:rsid w:val="00BA1C68"/>
    <w:pPr>
      <w:tabs>
        <w:tab w:val="left" w:pos="2610"/>
        <w:tab w:val="right" w:leader="dot" w:pos="8784"/>
      </w:tabs>
      <w:ind w:left="2610" w:hanging="450"/>
    </w:pPr>
  </w:style>
  <w:style w:type="character" w:styleId="LineNumber">
    <w:name w:val="line number"/>
    <w:uiPriority w:val="99"/>
    <w:semiHidden/>
    <w:unhideWhenUsed/>
    <w:rsid w:val="00BA1C68"/>
  </w:style>
  <w:style w:type="paragraph" w:customStyle="1" w:styleId="FootNote">
    <w:name w:val="_FootNote"/>
    <w:basedOn w:val="Normal"/>
    <w:link w:val="FootNoteChar"/>
    <w:rsid w:val="00BA1C68"/>
    <w:pPr>
      <w:widowControl w:val="0"/>
      <w:suppressLineNumbers/>
      <w:tabs>
        <w:tab w:val="right" w:pos="480"/>
        <w:tab w:val="left" w:pos="720"/>
      </w:tabs>
      <w:spacing w:before="20" w:line="200" w:lineRule="exact"/>
      <w:ind w:firstLine="0"/>
    </w:pPr>
    <w:rPr>
      <w:rFonts w:ascii="NewCenturySchlbk" w:eastAsia="Times New Roman" w:hAnsi="NewCenturySchlbk"/>
      <w:sz w:val="16"/>
      <w:szCs w:val="24"/>
    </w:rPr>
  </w:style>
  <w:style w:type="character" w:customStyle="1" w:styleId="FootNoteChar">
    <w:name w:val="_FootNote Char"/>
    <w:link w:val="FootNote"/>
    <w:rsid w:val="00BA1C68"/>
    <w:rPr>
      <w:rFonts w:ascii="NewCenturySchlbk" w:eastAsia="Times New Roman" w:hAnsi="NewCenturySchlbk" w:cs="Times New Roman"/>
      <w:kern w:val="0"/>
      <w:sz w:val="16"/>
      <w:szCs w:val="24"/>
      <w14:ligatures w14:val="none"/>
    </w:rPr>
  </w:style>
  <w:style w:type="character" w:customStyle="1" w:styleId="NoterefInNote">
    <w:name w:val="_NoterefInNote"/>
    <w:rsid w:val="00BA1C68"/>
    <w:rPr>
      <w:rFonts w:ascii="NewCenturySchlbk" w:hAnsi="NewCenturySchlbk" w:hint="default"/>
      <w:sz w:val="16"/>
      <w:vertAlign w:val="baseline"/>
    </w:rPr>
  </w:style>
  <w:style w:type="paragraph" w:customStyle="1" w:styleId="Centered">
    <w:name w:val="Centered"/>
    <w:basedOn w:val="Normal"/>
    <w:link w:val="CenteredChar"/>
    <w:qFormat/>
    <w:rsid w:val="00BA1C68"/>
    <w:pPr>
      <w:ind w:firstLine="0"/>
      <w:jc w:val="center"/>
    </w:pPr>
    <w:rPr>
      <w:i/>
      <w:iCs/>
    </w:rPr>
  </w:style>
  <w:style w:type="character" w:customStyle="1" w:styleId="CenteredChar">
    <w:name w:val="Centered Char"/>
    <w:link w:val="Centered"/>
    <w:rsid w:val="00BA1C68"/>
    <w:rPr>
      <w:rFonts w:ascii="Cambria" w:eastAsia="Calibri" w:hAnsi="Cambria" w:cs="Times New Roman"/>
      <w:i/>
      <w:iCs/>
      <w:kern w:val="0"/>
      <w:szCs w:val="20"/>
      <w14:ligatures w14:val="none"/>
    </w:rPr>
  </w:style>
  <w:style w:type="paragraph" w:customStyle="1" w:styleId="Opinionheading">
    <w:name w:val="Opinion heading"/>
    <w:basedOn w:val="NormalNoIndent"/>
    <w:link w:val="OpinionheadingChar"/>
    <w:qFormat/>
    <w:rsid w:val="00BA1C68"/>
    <w:rPr>
      <w:i/>
    </w:rPr>
  </w:style>
  <w:style w:type="character" w:customStyle="1" w:styleId="OpinionheadingChar">
    <w:name w:val="Opinion heading Char"/>
    <w:link w:val="Opinionheading"/>
    <w:rsid w:val="00BA1C68"/>
    <w:rPr>
      <w:rFonts w:ascii="Cambria" w:eastAsia="Calibri" w:hAnsi="Cambria" w:cs="Times New Roman"/>
      <w:i/>
      <w:kern w:val="0"/>
      <w:szCs w:val="20"/>
      <w14:ligatures w14:val="none"/>
    </w:rPr>
  </w:style>
  <w:style w:type="paragraph" w:styleId="TOC8">
    <w:name w:val="toc 8"/>
    <w:basedOn w:val="Normal"/>
    <w:next w:val="Normal"/>
    <w:autoRedefine/>
    <w:uiPriority w:val="39"/>
    <w:unhideWhenUsed/>
    <w:rsid w:val="00BA1C68"/>
    <w:pPr>
      <w:spacing w:after="100" w:line="276" w:lineRule="auto"/>
      <w:ind w:left="1540" w:firstLine="0"/>
      <w:jc w:val="left"/>
    </w:pPr>
    <w:rPr>
      <w:rFonts w:ascii="Calibri" w:eastAsia="Times New Roman" w:hAnsi="Calibri"/>
      <w:szCs w:val="22"/>
    </w:rPr>
  </w:style>
  <w:style w:type="paragraph" w:styleId="TOC7">
    <w:name w:val="toc 7"/>
    <w:basedOn w:val="Normal"/>
    <w:next w:val="Normal"/>
    <w:autoRedefine/>
    <w:uiPriority w:val="39"/>
    <w:unhideWhenUsed/>
    <w:rsid w:val="00BA1C68"/>
    <w:pPr>
      <w:tabs>
        <w:tab w:val="right" w:leader="dot" w:pos="8784"/>
      </w:tabs>
      <w:ind w:left="1757" w:firstLine="0"/>
    </w:pPr>
    <w:rPr>
      <w:i/>
    </w:rPr>
  </w:style>
  <w:style w:type="paragraph" w:styleId="TOC9">
    <w:name w:val="toc 9"/>
    <w:basedOn w:val="Normal"/>
    <w:next w:val="Normal"/>
    <w:autoRedefine/>
    <w:uiPriority w:val="39"/>
    <w:unhideWhenUsed/>
    <w:rsid w:val="00BA1C68"/>
    <w:pPr>
      <w:spacing w:after="100" w:line="276" w:lineRule="auto"/>
      <w:ind w:left="1760" w:firstLine="0"/>
      <w:jc w:val="left"/>
    </w:pPr>
    <w:rPr>
      <w:rFonts w:ascii="Calibri" w:eastAsia="Times New Roman" w:hAnsi="Calibri"/>
      <w:szCs w:val="22"/>
    </w:rPr>
  </w:style>
  <w:style w:type="paragraph" w:customStyle="1" w:styleId="Blockquoteindent">
    <w:name w:val="Blockquote indent"/>
    <w:basedOn w:val="Blockquote"/>
    <w:link w:val="BlockquoteindentChar"/>
    <w:qFormat/>
    <w:rsid w:val="00BA1C68"/>
    <w:pPr>
      <w:ind w:firstLine="432"/>
    </w:pPr>
  </w:style>
  <w:style w:type="character" w:customStyle="1" w:styleId="BlockquoteindentChar">
    <w:name w:val="Blockquote indent Char"/>
    <w:basedOn w:val="BlockquoteChar"/>
    <w:link w:val="Blockquoteindent"/>
    <w:rsid w:val="00BA1C68"/>
    <w:rPr>
      <w:rFonts w:ascii="Cambria" w:eastAsia="Calibri" w:hAnsi="Cambria" w:cs="Times New Roman"/>
      <w:kern w:val="0"/>
      <w:szCs w:val="20"/>
      <w14:ligatures w14:val="none"/>
    </w:rPr>
  </w:style>
  <w:style w:type="paragraph" w:customStyle="1" w:styleId="Normal-Centered">
    <w:name w:val="*Normal-Centered"/>
    <w:basedOn w:val="NormalNoIndent"/>
    <w:link w:val="Normal-CenteredChar"/>
    <w:qFormat/>
    <w:rsid w:val="00BA1C68"/>
    <w:pPr>
      <w:jc w:val="center"/>
    </w:pPr>
  </w:style>
  <w:style w:type="character" w:customStyle="1" w:styleId="Normal-CenteredChar">
    <w:name w:val="*Normal-Centered Char"/>
    <w:basedOn w:val="NormalNoIndentChar"/>
    <w:link w:val="Normal-Centered"/>
    <w:rsid w:val="00BA1C68"/>
    <w:rPr>
      <w:rFonts w:ascii="Cambria" w:eastAsia="Calibri" w:hAnsi="Cambria" w:cs="Times New Roman"/>
      <w:kern w:val="0"/>
      <w:szCs w:val="20"/>
      <w14:ligatures w14:val="none"/>
    </w:rPr>
  </w:style>
  <w:style w:type="character" w:styleId="Emphasis">
    <w:name w:val="Emphasis"/>
    <w:uiPriority w:val="20"/>
    <w:qFormat/>
    <w:rsid w:val="00BA1C68"/>
    <w:rPr>
      <w:i/>
      <w:iCs/>
    </w:rPr>
  </w:style>
  <w:style w:type="character" w:customStyle="1" w:styleId="cosearchterm">
    <w:name w:val="co_searchterm"/>
    <w:rsid w:val="00BA1C68"/>
  </w:style>
  <w:style w:type="paragraph" w:customStyle="1" w:styleId="CommentsandQuestions0">
    <w:name w:val="CommentsandQuestions"/>
    <w:basedOn w:val="Normal-Centered"/>
    <w:rsid w:val="00BA1C68"/>
    <w:rPr>
      <w:b/>
    </w:rPr>
  </w:style>
  <w:style w:type="character" w:styleId="FollowedHyperlink">
    <w:name w:val="FollowedHyperlink"/>
    <w:uiPriority w:val="99"/>
    <w:semiHidden/>
    <w:unhideWhenUsed/>
    <w:rsid w:val="00BA1C68"/>
    <w:rPr>
      <w:color w:val="954F72"/>
      <w:u w:val="single"/>
    </w:rPr>
  </w:style>
  <w:style w:type="paragraph" w:customStyle="1" w:styleId="Dashedline">
    <w:name w:val="Dashed line"/>
    <w:basedOn w:val="CommentsandQuestions"/>
    <w:qFormat/>
    <w:rsid w:val="00BA1C68"/>
    <w:pPr>
      <w:spacing w:after="240"/>
    </w:pPr>
  </w:style>
  <w:style w:type="character" w:styleId="CommentReference">
    <w:name w:val="annotation reference"/>
    <w:semiHidden/>
    <w:rsid w:val="00BA1C68"/>
    <w:rPr>
      <w:sz w:val="16"/>
      <w:szCs w:val="16"/>
    </w:rPr>
  </w:style>
  <w:style w:type="paragraph" w:styleId="CommentText">
    <w:name w:val="annotation text"/>
    <w:basedOn w:val="Normal"/>
    <w:link w:val="CommentTextChar"/>
    <w:semiHidden/>
    <w:rsid w:val="00BA1C68"/>
    <w:pPr>
      <w:spacing w:line="240" w:lineRule="auto"/>
      <w:ind w:firstLine="0"/>
      <w:jc w:val="left"/>
    </w:pPr>
    <w:rPr>
      <w:rFonts w:ascii="Times New Roman" w:eastAsia="Times New Roman" w:hAnsi="Times New Roman"/>
    </w:rPr>
  </w:style>
  <w:style w:type="character" w:customStyle="1" w:styleId="CommentTextChar">
    <w:name w:val="Comment Text Char"/>
    <w:basedOn w:val="DefaultParagraphFont"/>
    <w:link w:val="CommentText"/>
    <w:semiHidden/>
    <w:rsid w:val="00BA1C68"/>
    <w:rPr>
      <w:rFonts w:ascii="Times New Roman" w:eastAsia="Times New Roman" w:hAnsi="Times New Roman" w:cs="Times New Roman"/>
      <w:kern w:val="0"/>
      <w:szCs w:val="20"/>
      <w14:ligatures w14:val="none"/>
    </w:rPr>
  </w:style>
  <w:style w:type="character" w:customStyle="1" w:styleId="ptext-">
    <w:name w:val="ptext-"/>
    <w:rsid w:val="00BA1C68"/>
  </w:style>
  <w:style w:type="paragraph" w:customStyle="1" w:styleId="NormalCentered">
    <w:name w:val="NormalCentered"/>
    <w:basedOn w:val="Normal"/>
    <w:link w:val="NormalCenteredChar"/>
    <w:qFormat/>
    <w:rsid w:val="00BA1C68"/>
    <w:pPr>
      <w:ind w:firstLine="0"/>
      <w:jc w:val="center"/>
    </w:pPr>
  </w:style>
  <w:style w:type="character" w:customStyle="1" w:styleId="NormalCenteredChar">
    <w:name w:val="NormalCentered Char"/>
    <w:link w:val="NormalCentered"/>
    <w:rsid w:val="00BA1C68"/>
    <w:rPr>
      <w:rFonts w:ascii="Cambria" w:eastAsia="Calibri" w:hAnsi="Cambria" w:cs="Times New Roman"/>
      <w:kern w:val="0"/>
      <w:szCs w:val="20"/>
      <w14:ligatures w14:val="none"/>
    </w:rPr>
  </w:style>
  <w:style w:type="paragraph" w:customStyle="1" w:styleId="Blockquoteindentnoindent">
    <w:name w:val="Blockquoteindentnoindent"/>
    <w:basedOn w:val="Blockquoteindent"/>
    <w:link w:val="BlockquoteindentnoindentChar"/>
    <w:qFormat/>
    <w:rsid w:val="00BA1C68"/>
    <w:pPr>
      <w:ind w:hanging="36"/>
    </w:pPr>
  </w:style>
  <w:style w:type="paragraph" w:customStyle="1" w:styleId="NormCntrItal">
    <w:name w:val="NormCntrItal"/>
    <w:basedOn w:val="NormalCentered"/>
    <w:qFormat/>
    <w:rsid w:val="00BA1C68"/>
    <w:pPr>
      <w:keepNext/>
      <w:keepLines/>
    </w:pPr>
    <w:rPr>
      <w:i/>
      <w:sz w:val="20"/>
    </w:rPr>
  </w:style>
  <w:style w:type="character" w:customStyle="1" w:styleId="ssrfcpassagedeactivated">
    <w:name w:val="ss_rfcpassage_deactivated"/>
    <w:rsid w:val="00BA1C68"/>
  </w:style>
  <w:style w:type="character" w:customStyle="1" w:styleId="costarpage">
    <w:name w:val="co_starpage"/>
    <w:rsid w:val="00BA1C68"/>
  </w:style>
  <w:style w:type="paragraph" w:customStyle="1" w:styleId="CenteredBold">
    <w:name w:val="Centered Bold"/>
    <w:basedOn w:val="Centered"/>
    <w:link w:val="CenteredBoldChar"/>
    <w:qFormat/>
    <w:rsid w:val="00BA1C68"/>
    <w:rPr>
      <w:b/>
      <w:i w:val="0"/>
    </w:rPr>
  </w:style>
  <w:style w:type="character" w:customStyle="1" w:styleId="CenteredBoldChar">
    <w:name w:val="Centered Bold Char"/>
    <w:link w:val="CenteredBold"/>
    <w:rsid w:val="00BA1C68"/>
    <w:rPr>
      <w:rFonts w:ascii="Cambria" w:eastAsia="Calibri" w:hAnsi="Cambria" w:cs="Times New Roman"/>
      <w:b/>
      <w:iCs/>
      <w:kern w:val="0"/>
      <w:szCs w:val="20"/>
      <w14:ligatures w14:val="none"/>
    </w:rPr>
  </w:style>
  <w:style w:type="paragraph" w:styleId="CommentSubject">
    <w:name w:val="annotation subject"/>
    <w:basedOn w:val="CommentText"/>
    <w:next w:val="CommentText"/>
    <w:link w:val="CommentSubjectChar"/>
    <w:uiPriority w:val="99"/>
    <w:semiHidden/>
    <w:unhideWhenUsed/>
    <w:rsid w:val="00BA1C68"/>
    <w:pPr>
      <w:spacing w:line="288" w:lineRule="auto"/>
      <w:ind w:firstLine="432"/>
      <w:jc w:val="both"/>
    </w:pPr>
    <w:rPr>
      <w:rFonts w:ascii="Cambria" w:eastAsia="Calibri" w:hAnsi="Cambria"/>
      <w:b/>
      <w:bCs/>
    </w:rPr>
  </w:style>
  <w:style w:type="character" w:customStyle="1" w:styleId="CommentSubjectChar">
    <w:name w:val="Comment Subject Char"/>
    <w:basedOn w:val="CommentTextChar"/>
    <w:link w:val="CommentSubject"/>
    <w:uiPriority w:val="99"/>
    <w:semiHidden/>
    <w:rsid w:val="00BA1C68"/>
    <w:rPr>
      <w:rFonts w:ascii="Cambria" w:eastAsia="Calibri" w:hAnsi="Cambria" w:cs="Times New Roman"/>
      <w:b/>
      <w:bCs/>
      <w:kern w:val="0"/>
      <w:szCs w:val="20"/>
      <w14:ligatures w14:val="none"/>
    </w:rPr>
  </w:style>
  <w:style w:type="paragraph" w:styleId="Revision">
    <w:name w:val="Revision"/>
    <w:hidden/>
    <w:uiPriority w:val="99"/>
    <w:semiHidden/>
    <w:rsid w:val="00BA1C68"/>
    <w:pPr>
      <w:spacing w:after="0" w:line="240" w:lineRule="auto"/>
    </w:pPr>
    <w:rPr>
      <w:rFonts w:ascii="Cambria" w:eastAsia="Calibri" w:hAnsi="Cambria" w:cs="Times New Roman"/>
      <w:kern w:val="0"/>
      <w:szCs w:val="20"/>
      <w14:ligatures w14:val="none"/>
    </w:rPr>
  </w:style>
  <w:style w:type="paragraph" w:customStyle="1" w:styleId="Normal-centered0">
    <w:name w:val="Normal-centered"/>
    <w:basedOn w:val="Normal"/>
    <w:qFormat/>
    <w:rsid w:val="00BA1C68"/>
    <w:pPr>
      <w:ind w:firstLine="0"/>
      <w:jc w:val="center"/>
    </w:pPr>
    <w:rPr>
      <w:noProof/>
    </w:rPr>
  </w:style>
  <w:style w:type="character" w:customStyle="1" w:styleId="cosearchdetaillevel1">
    <w:name w:val="co_search_detaillevel_1"/>
    <w:rsid w:val="00BA1C68"/>
  </w:style>
  <w:style w:type="table" w:styleId="TableGrid">
    <w:name w:val="Table Grid"/>
    <w:basedOn w:val="TableNormal"/>
    <w:uiPriority w:val="59"/>
    <w:rsid w:val="00BA1C68"/>
    <w:pPr>
      <w:spacing w:after="0" w:line="240" w:lineRule="auto"/>
    </w:pPr>
    <w:rPr>
      <w:rFonts w:ascii="Cambria" w:eastAsia="Calibri" w:hAnsi="Cambria"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indented">
    <w:name w:val="Blockquote indented"/>
    <w:basedOn w:val="Blockquote"/>
    <w:qFormat/>
    <w:rsid w:val="00BA1C68"/>
    <w:pPr>
      <w:ind w:firstLine="432"/>
    </w:pPr>
  </w:style>
  <w:style w:type="paragraph" w:customStyle="1" w:styleId="doubleblockquote">
    <w:name w:val="doubleblockquote"/>
    <w:basedOn w:val="Blockquoteindent"/>
    <w:qFormat/>
    <w:rsid w:val="00BA1C68"/>
    <w:pPr>
      <w:ind w:left="1008" w:right="1008"/>
    </w:pPr>
  </w:style>
  <w:style w:type="paragraph" w:customStyle="1" w:styleId="CntrdNoItal">
    <w:name w:val="CntrdNoItal"/>
    <w:basedOn w:val="Centered"/>
    <w:qFormat/>
    <w:rsid w:val="00BA1C68"/>
    <w:rPr>
      <w:i w:val="0"/>
    </w:rPr>
  </w:style>
  <w:style w:type="paragraph" w:customStyle="1" w:styleId="NoIndentItalics">
    <w:name w:val="NoIndentItalics"/>
    <w:basedOn w:val="NormalNoIndent"/>
    <w:qFormat/>
    <w:rsid w:val="00BA1C68"/>
    <w:rPr>
      <w:i/>
      <w:iCs/>
    </w:rPr>
  </w:style>
  <w:style w:type="paragraph" w:customStyle="1" w:styleId="HalfBlock">
    <w:name w:val="HalfBlock"/>
    <w:basedOn w:val="NormalNoIndent"/>
    <w:qFormat/>
    <w:rsid w:val="00BA1C68"/>
    <w:pPr>
      <w:ind w:left="432"/>
    </w:pPr>
  </w:style>
  <w:style w:type="character" w:customStyle="1" w:styleId="ssleftalign">
    <w:name w:val="ss_leftalign"/>
    <w:rsid w:val="00BA1C68"/>
  </w:style>
  <w:style w:type="character" w:customStyle="1" w:styleId="UnresolvedMention1">
    <w:name w:val="Unresolved Mention1"/>
    <w:uiPriority w:val="99"/>
    <w:semiHidden/>
    <w:unhideWhenUsed/>
    <w:rsid w:val="00BA1C68"/>
    <w:rPr>
      <w:color w:val="605E5C"/>
      <w:shd w:val="clear" w:color="auto" w:fill="E1DFDD"/>
    </w:rPr>
  </w:style>
  <w:style w:type="paragraph" w:customStyle="1" w:styleId="Footer-V-Date">
    <w:name w:val="Footer-V-Date"/>
    <w:basedOn w:val="NormalNoIndent"/>
    <w:link w:val="Footer-V-DateChar"/>
    <w:qFormat/>
    <w:rsid w:val="00BA1C68"/>
    <w:rPr>
      <w:sz w:val="16"/>
      <w:szCs w:val="16"/>
    </w:rPr>
  </w:style>
  <w:style w:type="paragraph" w:customStyle="1" w:styleId="DoubleBlockQuote0">
    <w:name w:val="DoubleBlockQuote"/>
    <w:basedOn w:val="Blockquoteindent"/>
    <w:link w:val="DoubleBlockQuoteChar"/>
    <w:qFormat/>
    <w:rsid w:val="00BA1C68"/>
    <w:pPr>
      <w:ind w:left="1152" w:right="1152" w:firstLine="0"/>
    </w:pPr>
  </w:style>
  <w:style w:type="character" w:customStyle="1" w:styleId="Footer-V-DateChar">
    <w:name w:val="Footer-V-Date Char"/>
    <w:link w:val="Footer-V-Date"/>
    <w:rsid w:val="00BA1C68"/>
    <w:rPr>
      <w:rFonts w:ascii="Cambria" w:eastAsia="Calibri" w:hAnsi="Cambria" w:cs="Times New Roman"/>
      <w:kern w:val="0"/>
      <w:sz w:val="16"/>
      <w:szCs w:val="16"/>
      <w14:ligatures w14:val="none"/>
    </w:rPr>
  </w:style>
  <w:style w:type="paragraph" w:customStyle="1" w:styleId="Doubleindentblockquote">
    <w:name w:val="Doubleindentblockquote"/>
    <w:basedOn w:val="Blockquoteindentnoindent"/>
    <w:link w:val="DoubleindentblockquoteChar"/>
    <w:qFormat/>
    <w:rsid w:val="00BA1C68"/>
    <w:pPr>
      <w:ind w:left="1008" w:firstLine="0"/>
    </w:pPr>
  </w:style>
  <w:style w:type="character" w:customStyle="1" w:styleId="DoubleBlockQuoteChar">
    <w:name w:val="DoubleBlockQuote Char"/>
    <w:basedOn w:val="BlockquoteindentChar"/>
    <w:link w:val="DoubleBlockQuote0"/>
    <w:rsid w:val="00BA1C68"/>
    <w:rPr>
      <w:rFonts w:ascii="Cambria" w:eastAsia="Calibri" w:hAnsi="Cambria" w:cs="Times New Roman"/>
      <w:kern w:val="0"/>
      <w:szCs w:val="20"/>
      <w14:ligatures w14:val="none"/>
    </w:rPr>
  </w:style>
  <w:style w:type="character" w:customStyle="1" w:styleId="BlockquoteindentnoindentChar">
    <w:name w:val="Blockquoteindentnoindent Char"/>
    <w:basedOn w:val="BlockquoteindentChar"/>
    <w:link w:val="Blockquoteindentnoindent"/>
    <w:rsid w:val="00BA1C68"/>
    <w:rPr>
      <w:rFonts w:ascii="Cambria" w:eastAsia="Calibri" w:hAnsi="Cambria" w:cs="Times New Roman"/>
      <w:kern w:val="0"/>
      <w:szCs w:val="20"/>
      <w14:ligatures w14:val="none"/>
    </w:rPr>
  </w:style>
  <w:style w:type="character" w:customStyle="1" w:styleId="DoubleindentblockquoteChar">
    <w:name w:val="Doubleindentblockquote Char"/>
    <w:basedOn w:val="BlockquoteindentnoindentChar"/>
    <w:link w:val="Doubleindentblockquote"/>
    <w:rsid w:val="00BA1C68"/>
    <w:rPr>
      <w:rFonts w:ascii="Cambria" w:eastAsia="Calibri" w:hAnsi="Cambria" w:cs="Times New Roman"/>
      <w:kern w:val="0"/>
      <w:szCs w:val="20"/>
      <w14:ligatures w14:val="none"/>
    </w:rPr>
  </w:style>
  <w:style w:type="paragraph" w:customStyle="1" w:styleId="TimeProgression">
    <w:name w:val="TimeProgression"/>
    <w:basedOn w:val="Blockquote"/>
    <w:link w:val="TimeProgressionChar"/>
    <w:qFormat/>
    <w:rsid w:val="00BA1C68"/>
    <w:pPr>
      <w:ind w:left="1350" w:hanging="774"/>
    </w:pPr>
  </w:style>
  <w:style w:type="character" w:customStyle="1" w:styleId="TimeProgressionChar">
    <w:name w:val="TimeProgression Char"/>
    <w:basedOn w:val="BlockquoteChar"/>
    <w:link w:val="TimeProgression"/>
    <w:rsid w:val="00BA1C68"/>
    <w:rPr>
      <w:rFonts w:ascii="Cambria" w:eastAsia="Calibri" w:hAnsi="Cambria" w:cs="Times New Roman"/>
      <w:kern w:val="0"/>
      <w:szCs w:val="20"/>
      <w14:ligatures w14:val="none"/>
    </w:rPr>
  </w:style>
  <w:style w:type="paragraph" w:customStyle="1" w:styleId="Pagenumber">
    <w:name w:val="Pagenumber"/>
    <w:basedOn w:val="Normal-Centered"/>
    <w:link w:val="PagenumberChar"/>
    <w:qFormat/>
    <w:rsid w:val="00BA1C68"/>
    <w:rPr>
      <w:sz w:val="20"/>
    </w:rPr>
  </w:style>
  <w:style w:type="character" w:customStyle="1" w:styleId="PagenumberChar">
    <w:name w:val="Pagenumber Char"/>
    <w:basedOn w:val="Normal-CenteredChar"/>
    <w:link w:val="Pagenumber"/>
    <w:rsid w:val="00BA1C68"/>
    <w:rPr>
      <w:rFonts w:ascii="Cambria" w:eastAsia="Calibri" w:hAnsi="Cambria" w:cs="Times New Roman"/>
      <w:kern w:val="0"/>
      <w:sz w:val="20"/>
      <w:szCs w:val="20"/>
      <w14:ligatures w14:val="none"/>
    </w:rPr>
  </w:style>
  <w:style w:type="paragraph" w:customStyle="1" w:styleId="Header10">
    <w:name w:val="Header10"/>
    <w:basedOn w:val="Centered"/>
    <w:link w:val="Header10Char"/>
    <w:qFormat/>
    <w:rsid w:val="00BA1C68"/>
    <w:rPr>
      <w:sz w:val="20"/>
    </w:rPr>
  </w:style>
  <w:style w:type="character" w:customStyle="1" w:styleId="Header10Char">
    <w:name w:val="Header10 Char"/>
    <w:basedOn w:val="CenteredChar"/>
    <w:link w:val="Header10"/>
    <w:rsid w:val="00BA1C68"/>
    <w:rPr>
      <w:rFonts w:ascii="Cambria" w:eastAsia="Calibri" w:hAnsi="Cambria" w:cs="Times New Roman"/>
      <w:i/>
      <w:iCs/>
      <w:kern w:val="0"/>
      <w:sz w:val="20"/>
      <w:szCs w:val="20"/>
      <w14:ligatures w14:val="none"/>
    </w:rPr>
  </w:style>
  <w:style w:type="character" w:styleId="UnresolvedMention">
    <w:name w:val="Unresolved Mention"/>
    <w:basedOn w:val="DefaultParagraphFont"/>
    <w:uiPriority w:val="99"/>
    <w:semiHidden/>
    <w:unhideWhenUsed/>
    <w:rsid w:val="00BA1C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7285</Words>
  <Characters>41526</Characters>
  <Application>Microsoft Office Word</Application>
  <DocSecurity>0</DocSecurity>
  <Lines>346</Lines>
  <Paragraphs>97</Paragraphs>
  <ScaleCrop>false</ScaleCrop>
  <Company/>
  <LinksUpToDate>false</LinksUpToDate>
  <CharactersWithSpaces>48714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2024-07-15T22:26:00Z</dcterms:created>
  <dcterms:modified xsi:type="dcterms:W3CDTF">2024-07-23T20:55:00Z</dcterms:modified>
</cp:coreProperties>
</file>