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B00C" w14:textId="77777777" w:rsidR="00A82964" w:rsidRDefault="00A82964" w:rsidP="00A82964">
      <w:pPr>
        <w:pStyle w:val="NormalCentered"/>
        <w:rPr>
          <w:rFonts w:asciiTheme="minorHAnsi" w:hAnsiTheme="minorHAnsi"/>
        </w:rPr>
      </w:pPr>
    </w:p>
    <w:p w14:paraId="63BD19FA" w14:textId="6E68A3B8" w:rsidR="00A82964" w:rsidRPr="00FE3822" w:rsidRDefault="00A82964" w:rsidP="00A82964">
      <w:pPr>
        <w:pStyle w:val="NormalCentered"/>
        <w:rPr>
          <w:sz w:val="44"/>
          <w:szCs w:val="44"/>
        </w:rPr>
      </w:pPr>
      <w:r w:rsidRPr="00FE3822">
        <w:rPr>
          <w:sz w:val="44"/>
          <w:szCs w:val="44"/>
        </w:rPr>
        <w:t>An Open-Access Casebook</w:t>
      </w:r>
    </w:p>
    <w:p w14:paraId="689A6834" w14:textId="77777777" w:rsidR="00A82964" w:rsidRDefault="00A82964" w:rsidP="00A82964">
      <w:pPr>
        <w:pStyle w:val="NormalCentered"/>
      </w:pPr>
    </w:p>
    <w:p w14:paraId="069C91AC" w14:textId="77777777" w:rsidR="00A82964" w:rsidRDefault="00A82964" w:rsidP="00A82964">
      <w:pPr>
        <w:pStyle w:val="NormalCentered"/>
        <w:rPr>
          <w:sz w:val="32"/>
          <w:szCs w:val="32"/>
        </w:rPr>
      </w:pPr>
    </w:p>
    <w:p w14:paraId="3F8D33D9" w14:textId="77777777" w:rsidR="00A82964" w:rsidRPr="00566252" w:rsidRDefault="00A82964" w:rsidP="00A82964">
      <w:pPr>
        <w:pStyle w:val="NormalCentered"/>
        <w:rPr>
          <w:caps/>
          <w:sz w:val="32"/>
          <w:szCs w:val="32"/>
        </w:rPr>
      </w:pPr>
    </w:p>
    <w:p w14:paraId="270AE6CC" w14:textId="77777777" w:rsidR="00A82964" w:rsidRPr="000B428E" w:rsidRDefault="00A82964" w:rsidP="00A82964">
      <w:pPr>
        <w:pStyle w:val="NormalCentered"/>
        <w:rPr>
          <w:sz w:val="28"/>
          <w:szCs w:val="28"/>
          <w:lang w:val="de-DE"/>
        </w:rPr>
      </w:pPr>
      <w:r w:rsidRPr="000B428E">
        <w:rPr>
          <w:sz w:val="28"/>
          <w:szCs w:val="28"/>
          <w:lang w:val="de-DE"/>
        </w:rPr>
        <w:t>Version 12 (2025)</w:t>
      </w:r>
    </w:p>
    <w:p w14:paraId="6844E737" w14:textId="77777777" w:rsidR="00A82964" w:rsidRPr="000B428E" w:rsidRDefault="00A82964" w:rsidP="00A82964">
      <w:pPr>
        <w:pStyle w:val="NormalCentered"/>
        <w:rPr>
          <w:sz w:val="28"/>
          <w:szCs w:val="28"/>
          <w:lang w:val="de-DE"/>
        </w:rPr>
      </w:pPr>
      <w:r w:rsidRPr="000B428E">
        <w:rPr>
          <w:sz w:val="28"/>
          <w:szCs w:val="28"/>
          <w:lang w:val="de-DE"/>
        </w:rPr>
        <w:t>Digital Edition</w:t>
      </w:r>
    </w:p>
    <w:p w14:paraId="36671148" w14:textId="77777777" w:rsidR="00A82964" w:rsidRPr="000B428E" w:rsidRDefault="00A82964" w:rsidP="00A82964">
      <w:pPr>
        <w:pStyle w:val="NormalCentered"/>
        <w:rPr>
          <w:sz w:val="28"/>
          <w:szCs w:val="28"/>
          <w:lang w:val="de-DE"/>
        </w:rPr>
      </w:pPr>
      <w:r w:rsidRPr="000B428E">
        <w:rPr>
          <w:sz w:val="28"/>
          <w:szCs w:val="28"/>
          <w:lang w:val="de-DE"/>
        </w:rPr>
        <w:t>www.tmcasebook.org</w:t>
      </w:r>
    </w:p>
    <w:p w14:paraId="2B0ECB01" w14:textId="77777777" w:rsidR="00A82964" w:rsidRDefault="00A82964" w:rsidP="00A82964">
      <w:pPr>
        <w:pStyle w:val="NormalCentered"/>
        <w:rPr>
          <w:sz w:val="32"/>
          <w:szCs w:val="32"/>
          <w:lang w:val="de-DE"/>
        </w:rPr>
      </w:pPr>
    </w:p>
    <w:p w14:paraId="718EA2A7" w14:textId="77777777" w:rsidR="00A82964" w:rsidRDefault="00A82964" w:rsidP="00A82964">
      <w:pPr>
        <w:pStyle w:val="NormalCentered"/>
        <w:rPr>
          <w:sz w:val="32"/>
          <w:szCs w:val="32"/>
          <w:lang w:val="de-DE"/>
        </w:rPr>
      </w:pPr>
    </w:p>
    <w:p w14:paraId="0802D0D7" w14:textId="77777777" w:rsidR="00A82964" w:rsidRPr="0065729C" w:rsidRDefault="00A82964" w:rsidP="00A82964">
      <w:pPr>
        <w:pStyle w:val="NormalCentered"/>
        <w:rPr>
          <w:sz w:val="32"/>
          <w:szCs w:val="32"/>
          <w:lang w:val="de-DE"/>
        </w:rPr>
      </w:pPr>
    </w:p>
    <w:p w14:paraId="6F12786F" w14:textId="77777777" w:rsidR="00A82964" w:rsidRPr="0065729C" w:rsidRDefault="00A82964" w:rsidP="00A82964">
      <w:pPr>
        <w:pStyle w:val="NormalCentered"/>
        <w:rPr>
          <w:sz w:val="32"/>
          <w:szCs w:val="32"/>
          <w:lang w:val="de-DE"/>
        </w:rPr>
      </w:pPr>
    </w:p>
    <w:p w14:paraId="32A31A3C" w14:textId="77777777" w:rsidR="00A82964" w:rsidRPr="000B428E" w:rsidRDefault="00A82964" w:rsidP="00A82964">
      <w:pPr>
        <w:pStyle w:val="NormalCentered"/>
        <w:rPr>
          <w:sz w:val="28"/>
          <w:szCs w:val="28"/>
        </w:rPr>
      </w:pPr>
      <w:r w:rsidRPr="000B428E">
        <w:rPr>
          <w:sz w:val="28"/>
          <w:szCs w:val="28"/>
        </w:rPr>
        <w:t>Barton Beebe</w:t>
      </w:r>
    </w:p>
    <w:p w14:paraId="36323675" w14:textId="77777777" w:rsidR="00A82964" w:rsidRPr="000B428E" w:rsidRDefault="00A82964" w:rsidP="00A82964">
      <w:pPr>
        <w:pStyle w:val="NormalCentered"/>
        <w:rPr>
          <w:sz w:val="28"/>
          <w:szCs w:val="28"/>
        </w:rPr>
      </w:pPr>
      <w:r w:rsidRPr="000B428E">
        <w:rPr>
          <w:sz w:val="28"/>
          <w:szCs w:val="28"/>
        </w:rPr>
        <w:t>John M. Desmarais Professor of Intellectual Property Law</w:t>
      </w:r>
    </w:p>
    <w:p w14:paraId="3F5FE4FF" w14:textId="77777777" w:rsidR="00A82964" w:rsidRPr="0065729C" w:rsidRDefault="00A82964" w:rsidP="00A82964">
      <w:pPr>
        <w:pStyle w:val="NormalCentered"/>
        <w:rPr>
          <w:sz w:val="32"/>
          <w:szCs w:val="32"/>
        </w:rPr>
      </w:pPr>
      <w:r w:rsidRPr="000B428E">
        <w:rPr>
          <w:sz w:val="28"/>
          <w:szCs w:val="28"/>
        </w:rPr>
        <w:t>New York University School of Law</w:t>
      </w:r>
    </w:p>
    <w:p w14:paraId="5CE0D0D8" w14:textId="77777777" w:rsidR="00A82964" w:rsidRDefault="00A82964" w:rsidP="00A82964">
      <w:pPr>
        <w:pStyle w:val="TOC1"/>
      </w:pPr>
    </w:p>
    <w:p w14:paraId="37B8CFE0" w14:textId="77777777" w:rsidR="00A82964" w:rsidRDefault="00A82964" w:rsidP="00A82964"/>
    <w:p w14:paraId="480BA34F" w14:textId="77777777" w:rsidR="00A82964" w:rsidRDefault="00A82964" w:rsidP="00A82964"/>
    <w:p w14:paraId="0184ECDD" w14:textId="77777777" w:rsidR="00A82964" w:rsidRPr="00ED0B13" w:rsidRDefault="00A82964" w:rsidP="00A82964"/>
    <w:p w14:paraId="637F819F" w14:textId="77777777" w:rsidR="00A82964" w:rsidRPr="00ED0B13" w:rsidRDefault="00A82964" w:rsidP="00A82964"/>
    <w:p w14:paraId="2D9C9877" w14:textId="77777777" w:rsidR="00A82964" w:rsidRPr="00ED0B13" w:rsidRDefault="00A82964" w:rsidP="00A82964">
      <w:pPr>
        <w:pStyle w:val="TOC1"/>
      </w:pPr>
    </w:p>
    <w:p w14:paraId="6B91DB27" w14:textId="77777777" w:rsidR="00A82964" w:rsidRDefault="00A82964" w:rsidP="00A82964">
      <w:pPr>
        <w:pStyle w:val="TOC1"/>
      </w:pPr>
      <w:r w:rsidRPr="00ED0B13">
        <w:t>This work is licensed under a Creative Commons Attribution-</w:t>
      </w:r>
      <w:proofErr w:type="spellStart"/>
      <w:r w:rsidRPr="00ED0B13">
        <w:t>NonCommercial</w:t>
      </w:r>
      <w:proofErr w:type="spellEnd"/>
      <w:r w:rsidRPr="00ED0B13">
        <w:t>-</w:t>
      </w:r>
    </w:p>
    <w:p w14:paraId="559163C6" w14:textId="77777777" w:rsidR="00A82964" w:rsidRPr="00ED0B13" w:rsidRDefault="00A82964" w:rsidP="00A82964">
      <w:pPr>
        <w:pStyle w:val="TOC1"/>
      </w:pPr>
      <w:proofErr w:type="spellStart"/>
      <w:r w:rsidRPr="00ED0B13">
        <w:t>ShareAlike</w:t>
      </w:r>
      <w:proofErr w:type="spellEnd"/>
      <w:r w:rsidRPr="00ED0B13">
        <w:t xml:space="preserve"> 4.0 International License.</w:t>
      </w:r>
    </w:p>
    <w:p w14:paraId="48309F88" w14:textId="45AD7F77" w:rsidR="00A82964" w:rsidRDefault="00A82964" w:rsidP="00A82964">
      <w:pPr>
        <w:spacing w:after="160" w:line="278" w:lineRule="auto"/>
        <w:ind w:firstLine="0"/>
        <w:jc w:val="center"/>
        <w:rPr>
          <w:rFonts w:asciiTheme="minorHAnsi" w:eastAsiaTheme="majorEastAsia" w:hAnsiTheme="minorHAnsi" w:cstheme="majorBidi"/>
          <w:color w:val="0F4761" w:themeColor="accent1" w:themeShade="BF"/>
          <w:sz w:val="28"/>
          <w:szCs w:val="28"/>
        </w:rPr>
      </w:pPr>
      <w:r>
        <w:rPr>
          <w:noProof/>
        </w:rPr>
        <w:drawing>
          <wp:inline distT="0" distB="0" distL="0" distR="0" wp14:anchorId="2BFFDE96" wp14:editId="120AD89E">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5625843C" w14:textId="77777777" w:rsidR="00A82964" w:rsidRDefault="00A82964">
      <w:pPr>
        <w:spacing w:after="160" w:line="278" w:lineRule="auto"/>
        <w:ind w:firstLine="0"/>
        <w:jc w:val="left"/>
        <w:rPr>
          <w:rFonts w:asciiTheme="minorHAnsi" w:eastAsiaTheme="majorEastAsia" w:hAnsiTheme="minorHAnsi" w:cstheme="majorBidi"/>
          <w:color w:val="0F4761" w:themeColor="accent1" w:themeShade="BF"/>
          <w:sz w:val="28"/>
          <w:szCs w:val="28"/>
        </w:rPr>
      </w:pPr>
      <w:r>
        <w:rPr>
          <w:rFonts w:asciiTheme="minorHAnsi" w:hAnsiTheme="minorHAnsi"/>
        </w:rPr>
        <w:br w:type="page"/>
      </w:r>
    </w:p>
    <w:p w14:paraId="1B59DC36" w14:textId="08378CE9" w:rsidR="00B113FA" w:rsidRPr="00A82964" w:rsidRDefault="00B113FA" w:rsidP="00A82964">
      <w:pPr>
        <w:pStyle w:val="Heading3"/>
        <w:ind w:firstLine="0"/>
        <w:rPr>
          <w:rFonts w:asciiTheme="minorHAnsi" w:hAnsiTheme="minorHAnsi"/>
          <w:sz w:val="40"/>
          <w:szCs w:val="40"/>
        </w:rPr>
      </w:pPr>
      <w:r w:rsidRPr="00A82964">
        <w:rPr>
          <w:rFonts w:asciiTheme="minorHAnsi" w:hAnsiTheme="minorHAnsi"/>
          <w:sz w:val="40"/>
          <w:szCs w:val="40"/>
        </w:rPr>
        <w:lastRenderedPageBreak/>
        <w:t>Initial Interest Confusion</w:t>
      </w:r>
    </w:p>
    <w:p w14:paraId="03AD2975" w14:textId="046D6321" w:rsidR="00A82964" w:rsidRPr="00A82964" w:rsidRDefault="00B113FA" w:rsidP="00A82964">
      <w:pPr>
        <w:rPr>
          <w:rFonts w:asciiTheme="minorHAnsi" w:hAnsiTheme="minorHAnsi"/>
          <w:sz w:val="24"/>
          <w:szCs w:val="22"/>
        </w:rPr>
      </w:pPr>
      <w:r w:rsidRPr="00A82964">
        <w:rPr>
          <w:rFonts w:asciiTheme="minorHAnsi" w:hAnsiTheme="minorHAnsi"/>
          <w:i/>
          <w:sz w:val="24"/>
          <w:szCs w:val="22"/>
        </w:rPr>
        <w:t>Virgin Enterprises</w:t>
      </w:r>
      <w:r w:rsidRPr="00A82964">
        <w:rPr>
          <w:rFonts w:asciiTheme="minorHAnsi" w:hAnsiTheme="minorHAnsi"/>
          <w:sz w:val="24"/>
          <w:szCs w:val="22"/>
        </w:rPr>
        <w:t xml:space="preserve"> focused on “point of sale” confusion, i.e., consumer confusion as to source at the moment when the consumer purchases the defendant’s goods or services. We turn now to other modes of confusion. We consider first “initial interest confusion,” which “occurs when a customer is lured to a product by the similarity of the mark, even if the customer realizes the true source of the goods before the sale is consummated.” </w:t>
      </w:r>
      <w:proofErr w:type="spellStart"/>
      <w:r w:rsidRPr="00A82964">
        <w:rPr>
          <w:rFonts w:asciiTheme="minorHAnsi" w:hAnsiTheme="minorHAnsi"/>
          <w:i/>
          <w:sz w:val="24"/>
          <w:szCs w:val="22"/>
        </w:rPr>
        <w:t>Promatek</w:t>
      </w:r>
      <w:proofErr w:type="spellEnd"/>
      <w:r w:rsidRPr="00A82964">
        <w:rPr>
          <w:rFonts w:asciiTheme="minorHAnsi" w:hAnsiTheme="minorHAnsi"/>
          <w:i/>
          <w:sz w:val="24"/>
          <w:szCs w:val="22"/>
        </w:rPr>
        <w:t xml:space="preserve"> Indus., Ltd. v. </w:t>
      </w:r>
      <w:proofErr w:type="spellStart"/>
      <w:r w:rsidRPr="00A82964">
        <w:rPr>
          <w:rFonts w:asciiTheme="minorHAnsi" w:hAnsiTheme="minorHAnsi"/>
          <w:i/>
          <w:sz w:val="24"/>
          <w:szCs w:val="22"/>
        </w:rPr>
        <w:t>Equitrac</w:t>
      </w:r>
      <w:proofErr w:type="spellEnd"/>
      <w:r w:rsidRPr="00A82964">
        <w:rPr>
          <w:rFonts w:asciiTheme="minorHAnsi" w:hAnsiTheme="minorHAnsi"/>
          <w:i/>
          <w:sz w:val="24"/>
          <w:szCs w:val="22"/>
        </w:rPr>
        <w:t xml:space="preserve"> Corp</w:t>
      </w:r>
      <w:r w:rsidRPr="00A82964">
        <w:rPr>
          <w:rFonts w:asciiTheme="minorHAnsi" w:hAnsiTheme="minorHAnsi"/>
          <w:sz w:val="24"/>
          <w:szCs w:val="22"/>
        </w:rPr>
        <w:t xml:space="preserve">., 300 F.3d 808, 812 (7th Cir. 2002), as amended (Oct. 18, 2002) (citation omitted). </w:t>
      </w:r>
      <w:r w:rsidRPr="00A82964">
        <w:rPr>
          <w:rFonts w:asciiTheme="minorHAnsi" w:hAnsiTheme="minorHAnsi"/>
          <w:i/>
          <w:sz w:val="24"/>
          <w:szCs w:val="22"/>
        </w:rPr>
        <w:t xml:space="preserve">See also Grotrian, </w:t>
      </w:r>
      <w:proofErr w:type="spellStart"/>
      <w:r w:rsidRPr="00A82964">
        <w:rPr>
          <w:rFonts w:asciiTheme="minorHAnsi" w:hAnsiTheme="minorHAnsi"/>
          <w:i/>
          <w:sz w:val="24"/>
          <w:szCs w:val="22"/>
        </w:rPr>
        <w:t>Helfferich</w:t>
      </w:r>
      <w:proofErr w:type="spellEnd"/>
      <w:r w:rsidRPr="00A82964">
        <w:rPr>
          <w:rFonts w:asciiTheme="minorHAnsi" w:hAnsiTheme="minorHAnsi"/>
          <w:i/>
          <w:sz w:val="24"/>
          <w:szCs w:val="22"/>
        </w:rPr>
        <w:t xml:space="preserve">, Schulz, Th. Steinweg </w:t>
      </w:r>
      <w:proofErr w:type="spellStart"/>
      <w:r w:rsidRPr="00A82964">
        <w:rPr>
          <w:rFonts w:asciiTheme="minorHAnsi" w:hAnsiTheme="minorHAnsi"/>
          <w:i/>
          <w:sz w:val="24"/>
          <w:szCs w:val="22"/>
        </w:rPr>
        <w:t>Nachf</w:t>
      </w:r>
      <w:proofErr w:type="spellEnd"/>
      <w:r w:rsidRPr="00A82964">
        <w:rPr>
          <w:rFonts w:asciiTheme="minorHAnsi" w:hAnsiTheme="minorHAnsi"/>
          <w:i/>
          <w:sz w:val="24"/>
          <w:szCs w:val="22"/>
        </w:rPr>
        <w:t>. v. Steinway &amp; Sons</w:t>
      </w:r>
      <w:r w:rsidRPr="00A82964">
        <w:rPr>
          <w:rFonts w:asciiTheme="minorHAnsi" w:hAnsiTheme="minorHAnsi"/>
          <w:sz w:val="24"/>
          <w:szCs w:val="22"/>
        </w:rPr>
        <w:t xml:space="preserve">, 523 F.2d 1331, 1342 (2d Cir. 1975) (finding “initial confusion” when the declaratory plaintiff used the mark </w:t>
      </w:r>
      <w:proofErr w:type="spellStart"/>
      <w:r w:rsidRPr="00A82964">
        <w:rPr>
          <w:rFonts w:asciiTheme="minorHAnsi" w:hAnsiTheme="minorHAnsi"/>
          <w:smallCaps/>
          <w:sz w:val="24"/>
          <w:szCs w:val="22"/>
        </w:rPr>
        <w:t>grotrian-steinweg</w:t>
      </w:r>
      <w:proofErr w:type="spellEnd"/>
      <w:r w:rsidRPr="00A82964">
        <w:rPr>
          <w:rFonts w:asciiTheme="minorHAnsi" w:hAnsiTheme="minorHAnsi"/>
          <w:sz w:val="24"/>
          <w:szCs w:val="22"/>
        </w:rPr>
        <w:t xml:space="preserve"> for pianos even if no consumers ultimately purchased the plaintiff’s pianos believing them to be </w:t>
      </w:r>
      <w:proofErr w:type="spellStart"/>
      <w:r w:rsidRPr="00A82964">
        <w:rPr>
          <w:rFonts w:asciiTheme="minorHAnsi" w:hAnsiTheme="minorHAnsi"/>
          <w:smallCaps/>
          <w:sz w:val="24"/>
          <w:szCs w:val="22"/>
        </w:rPr>
        <w:t>steinway</w:t>
      </w:r>
      <w:proofErr w:type="spellEnd"/>
      <w:r w:rsidRPr="00A82964">
        <w:rPr>
          <w:rFonts w:asciiTheme="minorHAnsi" w:hAnsiTheme="minorHAnsi"/>
          <w:sz w:val="24"/>
          <w:szCs w:val="22"/>
        </w:rPr>
        <w:t xml:space="preserve"> pianos). </w:t>
      </w:r>
      <w:bookmarkStart w:id="0" w:name="_Toc201424391"/>
    </w:p>
    <w:p w14:paraId="62D8BF0F" w14:textId="77777777" w:rsidR="00A82964" w:rsidRDefault="00A82964" w:rsidP="00A82964">
      <w:pPr>
        <w:pStyle w:val="Heading7"/>
        <w:ind w:firstLine="0"/>
        <w:rPr>
          <w:rFonts w:asciiTheme="minorHAnsi" w:hAnsiTheme="minorHAnsi"/>
          <w:color w:val="FF0000"/>
        </w:rPr>
      </w:pPr>
    </w:p>
    <w:p w14:paraId="42F9E737" w14:textId="58DE4A64" w:rsidR="00B113FA" w:rsidRPr="00A82964" w:rsidRDefault="00A82964" w:rsidP="00A82964">
      <w:pPr>
        <w:pStyle w:val="Heading7"/>
        <w:rPr>
          <w:rFonts w:asciiTheme="minorHAnsi" w:hAnsiTheme="minorHAnsi"/>
          <w:color w:val="FF0000"/>
          <w:sz w:val="24"/>
          <w:szCs w:val="24"/>
        </w:rPr>
      </w:pPr>
      <w:r w:rsidRPr="00A82964">
        <w:rPr>
          <w:rFonts w:asciiTheme="minorHAnsi" w:hAnsiTheme="minorHAnsi"/>
          <w:color w:val="FF0000"/>
          <w:sz w:val="24"/>
          <w:szCs w:val="24"/>
        </w:rPr>
        <w:t xml:space="preserve">[The opinion in </w:t>
      </w:r>
      <w:r w:rsidR="00B113FA" w:rsidRPr="00A82964">
        <w:rPr>
          <w:rFonts w:asciiTheme="minorHAnsi" w:hAnsiTheme="minorHAnsi"/>
          <w:i/>
          <w:iCs/>
          <w:color w:val="FF0000"/>
          <w:sz w:val="24"/>
          <w:szCs w:val="24"/>
        </w:rPr>
        <w:t>Select Comfort Corporation v. Baxter</w:t>
      </w:r>
      <w:bookmarkEnd w:id="0"/>
      <w:r w:rsidRPr="00A82964">
        <w:rPr>
          <w:rFonts w:asciiTheme="minorHAnsi" w:hAnsiTheme="minorHAnsi"/>
          <w:i/>
          <w:iCs/>
          <w:color w:val="FF0000"/>
          <w:sz w:val="24"/>
          <w:szCs w:val="24"/>
        </w:rPr>
        <w:t xml:space="preserve"> </w:t>
      </w:r>
      <w:r w:rsidRPr="00A82964">
        <w:rPr>
          <w:rFonts w:asciiTheme="minorHAnsi" w:hAnsiTheme="minorHAnsi"/>
          <w:color w:val="FF0000"/>
          <w:sz w:val="24"/>
          <w:szCs w:val="24"/>
        </w:rPr>
        <w:t>is available separately.]</w:t>
      </w:r>
    </w:p>
    <w:p w14:paraId="4E0EDCF6" w14:textId="75FF85B1" w:rsidR="00B113FA" w:rsidRPr="00A82964" w:rsidRDefault="00B113FA" w:rsidP="00B113FA">
      <w:pPr>
        <w:pStyle w:val="Centered"/>
        <w:keepNext/>
        <w:rPr>
          <w:rFonts w:asciiTheme="minorHAnsi" w:hAnsiTheme="minorHAnsi"/>
          <w:noProof/>
          <w:sz w:val="24"/>
          <w:szCs w:val="24"/>
        </w:rPr>
      </w:pPr>
    </w:p>
    <w:p w14:paraId="43791905" w14:textId="073F3B2D" w:rsidR="00B113FA" w:rsidRPr="00A82964" w:rsidRDefault="00A82964" w:rsidP="00B113FA">
      <w:pPr>
        <w:pStyle w:val="Heading7"/>
        <w:rPr>
          <w:rFonts w:asciiTheme="minorHAnsi" w:hAnsiTheme="minorHAnsi"/>
          <w:color w:val="FF0000"/>
          <w:sz w:val="24"/>
          <w:szCs w:val="24"/>
        </w:rPr>
      </w:pPr>
      <w:bookmarkStart w:id="1" w:name="_Toc201424392"/>
      <w:r w:rsidRPr="00A82964">
        <w:rPr>
          <w:rFonts w:asciiTheme="minorHAnsi" w:hAnsiTheme="minorHAnsi"/>
          <w:color w:val="FF0000"/>
          <w:sz w:val="24"/>
          <w:szCs w:val="24"/>
        </w:rPr>
        <w:t xml:space="preserve">[The opinion </w:t>
      </w:r>
      <w:proofErr w:type="gramStart"/>
      <w:r w:rsidRPr="00A82964">
        <w:rPr>
          <w:rFonts w:asciiTheme="minorHAnsi" w:hAnsiTheme="minorHAnsi"/>
          <w:color w:val="FF0000"/>
          <w:sz w:val="24"/>
          <w:szCs w:val="24"/>
        </w:rPr>
        <w:t>in</w:t>
      </w:r>
      <w:proofErr w:type="gramEnd"/>
      <w:r w:rsidRPr="00A82964">
        <w:rPr>
          <w:rFonts w:asciiTheme="minorHAnsi" w:hAnsiTheme="minorHAnsi"/>
          <w:color w:val="FF0000"/>
          <w:sz w:val="24"/>
          <w:szCs w:val="24"/>
        </w:rPr>
        <w:t xml:space="preserve"> </w:t>
      </w:r>
      <w:r w:rsidR="00B113FA" w:rsidRPr="00A82964">
        <w:rPr>
          <w:rFonts w:asciiTheme="minorHAnsi" w:hAnsiTheme="minorHAnsi"/>
          <w:i/>
          <w:iCs/>
          <w:color w:val="FF0000"/>
          <w:sz w:val="24"/>
          <w:szCs w:val="24"/>
        </w:rPr>
        <w:t>Jim S. Adler, P.C. v. McNeil Consultants, L.L.C.</w:t>
      </w:r>
      <w:bookmarkEnd w:id="1"/>
      <w:r w:rsidRPr="00A82964">
        <w:rPr>
          <w:rFonts w:asciiTheme="minorHAnsi" w:hAnsiTheme="minorHAnsi"/>
          <w:i/>
          <w:iCs/>
          <w:color w:val="FF0000"/>
          <w:sz w:val="24"/>
          <w:szCs w:val="24"/>
        </w:rPr>
        <w:t xml:space="preserve"> </w:t>
      </w:r>
      <w:r w:rsidRPr="00A82964">
        <w:rPr>
          <w:rFonts w:asciiTheme="minorHAnsi" w:hAnsiTheme="minorHAnsi"/>
          <w:color w:val="FF0000"/>
          <w:sz w:val="24"/>
          <w:szCs w:val="24"/>
        </w:rPr>
        <w:t>is available separately.]</w:t>
      </w:r>
    </w:p>
    <w:p w14:paraId="38C969BB" w14:textId="77777777" w:rsidR="00A82964" w:rsidRPr="00A82964" w:rsidRDefault="00A82964" w:rsidP="00A82964">
      <w:pPr>
        <w:rPr>
          <w:rFonts w:asciiTheme="minorHAnsi" w:hAnsiTheme="minorHAnsi"/>
          <w:sz w:val="24"/>
          <w:szCs w:val="24"/>
        </w:rPr>
      </w:pPr>
    </w:p>
    <w:p w14:paraId="31CF14DC" w14:textId="77777777" w:rsidR="00B113FA" w:rsidRPr="00A82964" w:rsidRDefault="00B113FA" w:rsidP="00B113FA">
      <w:pPr>
        <w:pStyle w:val="CommentsandQuestions"/>
        <w:rPr>
          <w:rFonts w:asciiTheme="minorHAnsi" w:hAnsiTheme="minorHAnsi"/>
          <w:sz w:val="24"/>
          <w:szCs w:val="24"/>
        </w:rPr>
      </w:pPr>
      <w:r w:rsidRPr="00A82964">
        <w:rPr>
          <w:rFonts w:asciiTheme="minorHAnsi" w:hAnsiTheme="minorHAnsi"/>
          <w:sz w:val="24"/>
          <w:szCs w:val="24"/>
        </w:rPr>
        <w:t>Questions and Comments</w:t>
      </w:r>
    </w:p>
    <w:p w14:paraId="706011B7" w14:textId="77777777" w:rsidR="00B113FA" w:rsidRPr="00A82964" w:rsidRDefault="00B113FA" w:rsidP="00B113FA">
      <w:pPr>
        <w:rPr>
          <w:rFonts w:asciiTheme="minorHAnsi" w:hAnsiTheme="minorHAnsi"/>
          <w:sz w:val="24"/>
          <w:szCs w:val="24"/>
        </w:rPr>
      </w:pPr>
      <w:r w:rsidRPr="00A82964">
        <w:rPr>
          <w:rFonts w:asciiTheme="minorHAnsi" w:hAnsiTheme="minorHAnsi"/>
          <w:sz w:val="24"/>
          <w:szCs w:val="24"/>
        </w:rPr>
        <w:t xml:space="preserve">1. </w:t>
      </w:r>
      <w:r w:rsidRPr="00A82964">
        <w:rPr>
          <w:rFonts w:asciiTheme="minorHAnsi" w:eastAsia="Aptos" w:hAnsiTheme="minorHAnsi" w:cs="Aptos"/>
          <w:i/>
          <w:iCs/>
          <w:kern w:val="2"/>
          <w:sz w:val="24"/>
          <w:szCs w:val="24"/>
          <w14:ligatures w14:val="standardContextual"/>
        </w:rPr>
        <w:t xml:space="preserve">Cases similar to </w:t>
      </w:r>
      <w:r w:rsidRPr="00A82964">
        <w:rPr>
          <w:rFonts w:asciiTheme="minorHAnsi" w:eastAsia="Aptos" w:hAnsiTheme="minorHAnsi" w:cs="Aptos"/>
          <w:kern w:val="2"/>
          <w:sz w:val="24"/>
          <w:szCs w:val="24"/>
          <w14:ligatures w14:val="standardContextual"/>
        </w:rPr>
        <w:t xml:space="preserve">Adler. For students wishing to learn more about how courts have treated keyword advertising conduct under trademark law, see </w:t>
      </w:r>
      <w:r w:rsidRPr="00A82964">
        <w:rPr>
          <w:rFonts w:asciiTheme="minorHAnsi" w:eastAsia="Aptos" w:hAnsiTheme="minorHAnsi" w:cs="Aptos"/>
          <w:i/>
          <w:iCs/>
          <w:kern w:val="2"/>
          <w:sz w:val="24"/>
          <w:szCs w:val="24"/>
          <w14:ligatures w14:val="standardContextual"/>
        </w:rPr>
        <w:t>Lerner &amp; Rowe PC v. Brown Engstrand</w:t>
      </w:r>
      <w:r w:rsidRPr="00A82964">
        <w:rPr>
          <w:rFonts w:asciiTheme="minorHAnsi" w:eastAsia="Aptos" w:hAnsiTheme="minorHAnsi" w:cs="Aptos"/>
          <w:kern w:val="2"/>
          <w:sz w:val="24"/>
          <w:szCs w:val="24"/>
          <w14:ligatures w14:val="standardContextual"/>
        </w:rPr>
        <w:t xml:space="preserve"> </w:t>
      </w:r>
      <w:r w:rsidRPr="00A82964">
        <w:rPr>
          <w:rFonts w:asciiTheme="minorHAnsi" w:eastAsia="Aptos" w:hAnsiTheme="minorHAnsi" w:cs="Aptos"/>
          <w:i/>
          <w:iCs/>
          <w:kern w:val="2"/>
          <w:sz w:val="24"/>
          <w:szCs w:val="24"/>
          <w14:ligatures w14:val="standardContextual"/>
        </w:rPr>
        <w:t>&amp; Shely LLC</w:t>
      </w:r>
      <w:r w:rsidRPr="00A82964">
        <w:rPr>
          <w:rFonts w:asciiTheme="minorHAnsi" w:eastAsia="Aptos" w:hAnsiTheme="minorHAnsi" w:cs="Aptos"/>
          <w:kern w:val="2"/>
          <w:sz w:val="24"/>
          <w:szCs w:val="24"/>
          <w14:ligatures w14:val="standardContextual"/>
        </w:rPr>
        <w:t xml:space="preserve">, 119 F.4th 711 (9th Cir. 2024) (affirming finding of no confusion); </w:t>
      </w:r>
      <w:r w:rsidRPr="00A82964">
        <w:rPr>
          <w:rFonts w:asciiTheme="minorHAnsi" w:eastAsia="Aptos" w:hAnsiTheme="minorHAnsi" w:cs="Aptos"/>
          <w:i/>
          <w:iCs/>
          <w:kern w:val="2"/>
          <w:sz w:val="24"/>
          <w:szCs w:val="24"/>
          <w14:ligatures w14:val="standardContextual"/>
        </w:rPr>
        <w:t>1-800 Contacts, Inc. v. JAND, Inc</w:t>
      </w:r>
      <w:r w:rsidRPr="00A82964">
        <w:rPr>
          <w:rFonts w:asciiTheme="minorHAnsi" w:eastAsia="Aptos" w:hAnsiTheme="minorHAnsi" w:cs="Aptos"/>
          <w:kern w:val="2"/>
          <w:sz w:val="24"/>
          <w:szCs w:val="24"/>
          <w14:ligatures w14:val="standardContextual"/>
        </w:rPr>
        <w:t>., 119 F.4th 234 (2d Cir. 2024) (same).</w:t>
      </w:r>
    </w:p>
    <w:p w14:paraId="30947DFF" w14:textId="77777777" w:rsidR="00B113FA" w:rsidRPr="00A82964" w:rsidRDefault="00B113FA" w:rsidP="00B113FA">
      <w:pPr>
        <w:rPr>
          <w:rFonts w:asciiTheme="minorHAnsi" w:hAnsiTheme="minorHAnsi"/>
          <w:sz w:val="24"/>
          <w:szCs w:val="24"/>
        </w:rPr>
      </w:pPr>
      <w:r w:rsidRPr="00A82964">
        <w:rPr>
          <w:rFonts w:asciiTheme="minorHAnsi" w:hAnsiTheme="minorHAnsi"/>
          <w:sz w:val="24"/>
          <w:szCs w:val="24"/>
        </w:rPr>
        <w:t xml:space="preserve">2. </w:t>
      </w:r>
      <w:r w:rsidRPr="00A82964">
        <w:rPr>
          <w:rFonts w:asciiTheme="minorHAnsi" w:hAnsiTheme="minorHAnsi"/>
          <w:i/>
          <w:sz w:val="24"/>
          <w:szCs w:val="24"/>
        </w:rPr>
        <w:t>Initial interest confusion and trade dress</w:t>
      </w:r>
      <w:r w:rsidRPr="00A82964">
        <w:rPr>
          <w:rFonts w:asciiTheme="minorHAnsi" w:hAnsiTheme="minorHAnsi"/>
          <w:sz w:val="24"/>
          <w:szCs w:val="24"/>
        </w:rPr>
        <w:t xml:space="preserve">. In </w:t>
      </w:r>
      <w:r w:rsidRPr="00A82964">
        <w:rPr>
          <w:rFonts w:asciiTheme="minorHAnsi" w:hAnsiTheme="minorHAnsi"/>
          <w:i/>
          <w:sz w:val="24"/>
          <w:szCs w:val="24"/>
        </w:rPr>
        <w:t>Gibson Guitar Corp. v. Paul Reed Smith Guitars, LP</w:t>
      </w:r>
      <w:r w:rsidRPr="00A82964">
        <w:rPr>
          <w:rFonts w:asciiTheme="minorHAnsi" w:hAnsiTheme="minorHAnsi"/>
          <w:sz w:val="24"/>
          <w:szCs w:val="24"/>
        </w:rPr>
        <w:t xml:space="preserve">, 423 F.3d 539 (6th Cir. 2005), Gibson and Paul Reed Smith both manufactured single cutaway guitars, the shape of which is shown below in Gibson’s trademark registration for its product configuration. Gibson conceded that there was no likelihood of point-of-sale confusion due to Paul Reed Smith’s prominent labelling, but argued that there was a likelihood of initial interest confusion in that consumers would see a PRS single cutaway guitar from across a store and believe it to be a Gibson guitar. The Sixth Circuit declined to apply initial interest confusion to trade dress. It reasoned:   </w:t>
      </w:r>
    </w:p>
    <w:p w14:paraId="4BB28012" w14:textId="77777777" w:rsidR="00B113FA" w:rsidRPr="00A82964" w:rsidRDefault="00B113FA" w:rsidP="00B113FA">
      <w:pPr>
        <w:pStyle w:val="Blockquote"/>
        <w:rPr>
          <w:rFonts w:asciiTheme="minorHAnsi" w:hAnsiTheme="minorHAnsi"/>
          <w:sz w:val="24"/>
          <w:szCs w:val="24"/>
        </w:rPr>
      </w:pPr>
      <w:r w:rsidRPr="00A82964">
        <w:rPr>
          <w:rFonts w:asciiTheme="minorHAnsi" w:hAnsiTheme="minorHAnsi"/>
          <w:sz w:val="24"/>
          <w:szCs w:val="24"/>
        </w:rPr>
        <w:t xml:space="preserve">The potential ramifications of applying this judicially created doctrine to product-shape trademarks are different from the ramifications of applying the doctrine to trademarks on a product’s name, a company’s name, or a company’s logo. </w:t>
      </w:r>
      <w:r w:rsidRPr="00A82964">
        <w:rPr>
          <w:rFonts w:asciiTheme="minorHAnsi" w:hAnsiTheme="minorHAnsi"/>
          <w:i/>
          <w:sz w:val="24"/>
          <w:szCs w:val="24"/>
        </w:rPr>
        <w:t>Cf. Versa Prods. Co. v. Bifold Co</w:t>
      </w:r>
      <w:r w:rsidRPr="00A82964">
        <w:rPr>
          <w:rFonts w:asciiTheme="minorHAnsi" w:hAnsiTheme="minorHAnsi"/>
          <w:sz w:val="24"/>
          <w:szCs w:val="24"/>
        </w:rPr>
        <w:t xml:space="preserve">., 50 F.3d 189, 201–03, 207, 209, 212–13, 215 (3rd Cir. 1995) (discussing the related context of product-configuration trade dress). Specifically, there are only a limited number of shapes in which many products can be made. A product may have a shape which is neither functional nor generic (and hence which can be trademarked) but nonetheless is still likely to resemble </w:t>
      </w:r>
      <w:r w:rsidRPr="00A82964">
        <w:rPr>
          <w:rFonts w:asciiTheme="minorHAnsi" w:hAnsiTheme="minorHAnsi"/>
          <w:sz w:val="24"/>
          <w:szCs w:val="24"/>
        </w:rPr>
        <w:lastRenderedPageBreak/>
        <w:t>a competing product when viewed from the far end of a store aisle. Thus, many legitimately competing product shapes are likely to create some initial interest in the competing product due to the competing product’s resemblance to the better-known product when viewed from afar. In other words, application of the initial-interest-confusion doctrine to product shapes would allow trademark holders to protect not only the actual product shapes they have trademarked, but also a “penumbra” of more or less similar shapes that would not otherwise qualify for trademark protection.</w:t>
      </w:r>
    </w:p>
    <w:p w14:paraId="19E8039D" w14:textId="77777777" w:rsidR="00B113FA" w:rsidRPr="00A82964" w:rsidRDefault="00B113FA" w:rsidP="00B113FA">
      <w:pPr>
        <w:pStyle w:val="NormalNoIndent"/>
        <w:rPr>
          <w:rFonts w:asciiTheme="minorHAnsi" w:hAnsiTheme="minorHAnsi"/>
          <w:sz w:val="24"/>
          <w:szCs w:val="24"/>
        </w:rPr>
      </w:pPr>
      <w:r w:rsidRPr="00A82964">
        <w:rPr>
          <w:rFonts w:asciiTheme="minorHAnsi" w:hAnsiTheme="minorHAnsi"/>
          <w:i/>
          <w:sz w:val="24"/>
          <w:szCs w:val="24"/>
        </w:rPr>
        <w:t>Id</w:t>
      </w:r>
      <w:r w:rsidRPr="00A82964">
        <w:rPr>
          <w:rFonts w:asciiTheme="minorHAnsi" w:hAnsiTheme="minorHAnsi"/>
          <w:sz w:val="24"/>
          <w:szCs w:val="24"/>
        </w:rPr>
        <w:t>. at 551.</w:t>
      </w:r>
    </w:p>
    <w:p w14:paraId="74DF660A" w14:textId="77777777" w:rsidR="00B113FA" w:rsidRPr="00A82964" w:rsidRDefault="00B113FA" w:rsidP="00B113FA">
      <w:pPr>
        <w:rPr>
          <w:rFonts w:asciiTheme="minorHAnsi" w:hAnsiTheme="minorHAnsi"/>
          <w:sz w:val="24"/>
          <w:szCs w:val="24"/>
        </w:rPr>
      </w:pPr>
      <w:r w:rsidRPr="00A82964">
        <w:rPr>
          <w:rFonts w:asciiTheme="minorHAnsi" w:hAnsiTheme="minorHAnsi"/>
          <w:sz w:val="24"/>
          <w:szCs w:val="24"/>
        </w:rPr>
        <w:t>(In ruling in favor of Paul Reed Smith on all surviving claims brought against it, the court ruled that Paul Reed Smith’s functionality objection to the validity of Gibson’s mark was moot).</w:t>
      </w:r>
    </w:p>
    <w:p w14:paraId="395A7CD4" w14:textId="77777777" w:rsidR="00B113FA" w:rsidRPr="00A82964" w:rsidRDefault="00B113FA" w:rsidP="00B113FA">
      <w:pPr>
        <w:pStyle w:val="Centered"/>
        <w:rPr>
          <w:rFonts w:asciiTheme="minorHAnsi" w:hAnsiTheme="minorHAnsi"/>
          <w:sz w:val="24"/>
          <w:szCs w:val="24"/>
        </w:rPr>
      </w:pPr>
      <w:r w:rsidRPr="00A82964">
        <w:rPr>
          <w:rFonts w:asciiTheme="minorHAnsi" w:hAnsiTheme="minorHAnsi"/>
          <w:noProof/>
          <w:sz w:val="24"/>
          <w:szCs w:val="24"/>
        </w:rPr>
        <w:drawing>
          <wp:inline distT="0" distB="0" distL="0" distR="0" wp14:anchorId="1142FD02" wp14:editId="66F11BBE">
            <wp:extent cx="4081145" cy="4313862"/>
            <wp:effectExtent l="0" t="0" r="0" b="0"/>
            <wp:docPr id="106" name="Picture 78" descr="A black and white document with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78" descr="A black and white document with a guita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6515" cy="4319538"/>
                    </a:xfrm>
                    <a:prstGeom prst="rect">
                      <a:avLst/>
                    </a:prstGeom>
                    <a:noFill/>
                    <a:ln>
                      <a:noFill/>
                    </a:ln>
                  </pic:spPr>
                </pic:pic>
              </a:graphicData>
            </a:graphic>
          </wp:inline>
        </w:drawing>
      </w:r>
    </w:p>
    <w:p w14:paraId="5F7399C5" w14:textId="77777777" w:rsidR="00B113FA" w:rsidRPr="00A82964" w:rsidRDefault="00B113FA" w:rsidP="00B113FA">
      <w:pPr>
        <w:rPr>
          <w:rFonts w:asciiTheme="minorHAnsi" w:hAnsiTheme="minorHAnsi"/>
          <w:sz w:val="24"/>
          <w:szCs w:val="24"/>
        </w:rPr>
      </w:pPr>
    </w:p>
    <w:p w14:paraId="70DF02B7" w14:textId="77777777" w:rsidR="00B113FA" w:rsidRPr="00A82964" w:rsidRDefault="00B113FA" w:rsidP="00B113FA">
      <w:pPr>
        <w:rPr>
          <w:rFonts w:asciiTheme="minorHAnsi" w:hAnsiTheme="minorHAnsi"/>
          <w:sz w:val="24"/>
          <w:szCs w:val="24"/>
        </w:rPr>
      </w:pPr>
      <w:r w:rsidRPr="00A82964">
        <w:rPr>
          <w:rFonts w:asciiTheme="minorHAnsi" w:hAnsiTheme="minorHAnsi"/>
          <w:sz w:val="24"/>
          <w:szCs w:val="24"/>
        </w:rPr>
        <w:t xml:space="preserve">2. </w:t>
      </w:r>
      <w:r w:rsidRPr="00A82964">
        <w:rPr>
          <w:rFonts w:asciiTheme="minorHAnsi" w:hAnsiTheme="minorHAnsi"/>
          <w:i/>
          <w:sz w:val="24"/>
          <w:szCs w:val="24"/>
        </w:rPr>
        <w:t xml:space="preserve">When do courts find initial interest confusion? </w:t>
      </w:r>
      <w:r w:rsidRPr="00A82964">
        <w:rPr>
          <w:rFonts w:asciiTheme="minorHAnsi" w:hAnsiTheme="minorHAnsi"/>
          <w:sz w:val="24"/>
          <w:szCs w:val="24"/>
        </w:rPr>
        <w:t xml:space="preserve">Initial interest confusion remains a highly controversial basis for </w:t>
      </w:r>
      <w:proofErr w:type="gramStart"/>
      <w:r w:rsidRPr="00A82964">
        <w:rPr>
          <w:rFonts w:asciiTheme="minorHAnsi" w:hAnsiTheme="minorHAnsi"/>
          <w:sz w:val="24"/>
          <w:szCs w:val="24"/>
        </w:rPr>
        <w:t>a finding</w:t>
      </w:r>
      <w:proofErr w:type="gramEnd"/>
      <w:r w:rsidRPr="00A82964">
        <w:rPr>
          <w:rFonts w:asciiTheme="minorHAnsi" w:hAnsiTheme="minorHAnsi"/>
          <w:sz w:val="24"/>
          <w:szCs w:val="24"/>
        </w:rPr>
        <w:t xml:space="preserve"> of infringement, one which courts typically resort to only in a limited set of contexts. Courts appear to be more likely to find initial interest confusion if the defendant has engaged in patently bad faith “bait and switch” sales practices or in conduct akin to intentional cybersquatting, if the relevant consumers are </w:t>
      </w:r>
      <w:r w:rsidRPr="00A82964">
        <w:rPr>
          <w:rFonts w:asciiTheme="minorHAnsi" w:hAnsiTheme="minorHAnsi"/>
          <w:sz w:val="24"/>
          <w:szCs w:val="24"/>
        </w:rPr>
        <w:lastRenderedPageBreak/>
        <w:t xml:space="preserve">unsophisticated, or if the defendant competes directly with the plaintiff. </w:t>
      </w:r>
      <w:r w:rsidRPr="00A82964">
        <w:rPr>
          <w:rFonts w:asciiTheme="minorHAnsi" w:hAnsiTheme="minorHAnsi"/>
          <w:i/>
          <w:sz w:val="24"/>
          <w:szCs w:val="24"/>
        </w:rPr>
        <w:t>See, e.g</w:t>
      </w:r>
      <w:r w:rsidRPr="00A82964">
        <w:rPr>
          <w:rFonts w:asciiTheme="minorHAnsi" w:hAnsiTheme="minorHAnsi"/>
          <w:sz w:val="24"/>
          <w:szCs w:val="24"/>
        </w:rPr>
        <w:t xml:space="preserve">., </w:t>
      </w:r>
      <w:r w:rsidRPr="00A82964">
        <w:rPr>
          <w:rFonts w:asciiTheme="minorHAnsi" w:hAnsiTheme="minorHAnsi"/>
          <w:i/>
          <w:sz w:val="24"/>
          <w:szCs w:val="24"/>
        </w:rPr>
        <w:t xml:space="preserve">Epic Sys. Corp. v. </w:t>
      </w:r>
      <w:proofErr w:type="spellStart"/>
      <w:r w:rsidRPr="00A82964">
        <w:rPr>
          <w:rFonts w:asciiTheme="minorHAnsi" w:hAnsiTheme="minorHAnsi"/>
          <w:i/>
          <w:sz w:val="24"/>
          <w:szCs w:val="24"/>
        </w:rPr>
        <w:t>YourCareUniverse</w:t>
      </w:r>
      <w:proofErr w:type="spellEnd"/>
      <w:r w:rsidRPr="00A82964">
        <w:rPr>
          <w:rFonts w:asciiTheme="minorHAnsi" w:hAnsiTheme="minorHAnsi"/>
          <w:i/>
          <w:sz w:val="24"/>
          <w:szCs w:val="24"/>
        </w:rPr>
        <w:t>, Inc</w:t>
      </w:r>
      <w:r w:rsidRPr="00A82964">
        <w:rPr>
          <w:rFonts w:asciiTheme="minorHAnsi" w:hAnsiTheme="minorHAnsi"/>
          <w:sz w:val="24"/>
          <w:szCs w:val="24"/>
        </w:rPr>
        <w:t xml:space="preserve">., 244 F. Supp. 3d 878, 902 (W.D. Wisc. 2017) (“Courts are most likely to apply the doctrine of initial interest confusion doctrine in circumstances involving directly competing products, particularly when the potential purchasers are lay consumers making decisions in a relatively short amount of time with limited information.”). </w:t>
      </w:r>
      <w:r w:rsidRPr="00A82964">
        <w:rPr>
          <w:rFonts w:asciiTheme="minorHAnsi" w:hAnsiTheme="minorHAnsi"/>
          <w:i/>
          <w:iCs/>
          <w:sz w:val="24"/>
          <w:szCs w:val="24"/>
        </w:rPr>
        <w:t>But see Multi Time Mach., Inc. v. Amazon.com, Inc</w:t>
      </w:r>
      <w:r w:rsidRPr="00A82964">
        <w:rPr>
          <w:rFonts w:asciiTheme="minorHAnsi" w:hAnsiTheme="minorHAnsi"/>
          <w:sz w:val="24"/>
          <w:szCs w:val="24"/>
        </w:rPr>
        <w:t xml:space="preserve">., 804 F.3d 930 (9th Cir. 2015). In </w:t>
      </w:r>
      <w:r w:rsidRPr="00A82964">
        <w:rPr>
          <w:rFonts w:asciiTheme="minorHAnsi" w:hAnsiTheme="minorHAnsi"/>
          <w:i/>
          <w:iCs/>
          <w:sz w:val="24"/>
          <w:szCs w:val="24"/>
        </w:rPr>
        <w:t>Multi Time Machine</w:t>
      </w:r>
      <w:r w:rsidRPr="00A82964">
        <w:rPr>
          <w:rFonts w:asciiTheme="minorHAnsi" w:hAnsiTheme="minorHAnsi"/>
          <w:sz w:val="24"/>
          <w:szCs w:val="24"/>
        </w:rPr>
        <w:t xml:space="preserve">, when consumers entered the plaintiff’s trademark in Amazon’s search box, they were not shown the plaintiff’s products, which Amazon did not carry, but were instead shown competing products. The Ninth Circuit found no likelihood of initial interest confusion, reasoning that “[t]he search results page makes clear to anyone who can read English that Amazon carries only the brands that are clearly and explicitly listed on the web page. The search results page is unambiguous—not unlike when someone walks into a diner, asks for a Coke, and is told ‘No Coke. Pepsi.’” </w:t>
      </w:r>
      <w:r w:rsidRPr="00A82964">
        <w:rPr>
          <w:rFonts w:asciiTheme="minorHAnsi" w:hAnsiTheme="minorHAnsi"/>
          <w:i/>
          <w:iCs/>
          <w:sz w:val="24"/>
          <w:szCs w:val="24"/>
        </w:rPr>
        <w:t>Id</w:t>
      </w:r>
      <w:r w:rsidRPr="00A82964">
        <w:rPr>
          <w:rFonts w:asciiTheme="minorHAnsi" w:hAnsiTheme="minorHAnsi"/>
          <w:sz w:val="24"/>
          <w:szCs w:val="24"/>
        </w:rPr>
        <w:t>. at 938.</w:t>
      </w:r>
    </w:p>
    <w:p w14:paraId="367812C1" w14:textId="77777777" w:rsidR="00B113FA" w:rsidRPr="00A82964" w:rsidRDefault="00B113FA" w:rsidP="00B113FA">
      <w:pPr>
        <w:rPr>
          <w:rFonts w:asciiTheme="minorHAnsi" w:hAnsiTheme="minorHAnsi"/>
          <w:sz w:val="24"/>
          <w:szCs w:val="24"/>
        </w:rPr>
      </w:pPr>
      <w:r w:rsidRPr="00A82964">
        <w:rPr>
          <w:rFonts w:asciiTheme="minorHAnsi" w:hAnsiTheme="minorHAnsi"/>
          <w:sz w:val="24"/>
          <w:szCs w:val="24"/>
        </w:rPr>
        <w:t xml:space="preserve">Furthermore, in reviewing the initial interest confusion case law, Gilson concludes that to prevail on an initial interest confusion basis, the plaintiff must show that it has been economically damaged by the defendant’s conduct. </w:t>
      </w:r>
      <w:r w:rsidRPr="00A82964">
        <w:rPr>
          <w:rFonts w:asciiTheme="minorHAnsi" w:hAnsiTheme="minorHAnsi"/>
          <w:i/>
          <w:sz w:val="24"/>
          <w:szCs w:val="24"/>
        </w:rPr>
        <w:t>See</w:t>
      </w:r>
      <w:r w:rsidRPr="00A82964">
        <w:rPr>
          <w:rFonts w:asciiTheme="minorHAnsi" w:hAnsiTheme="minorHAnsi"/>
          <w:sz w:val="24"/>
          <w:szCs w:val="24"/>
        </w:rPr>
        <w:t xml:space="preserve"> </w:t>
      </w:r>
      <w:r w:rsidRPr="00A82964">
        <w:rPr>
          <w:rFonts w:asciiTheme="minorHAnsi" w:hAnsiTheme="minorHAnsi"/>
          <w:smallCaps/>
          <w:sz w:val="24"/>
          <w:szCs w:val="24"/>
        </w:rPr>
        <w:t>Gilson</w:t>
      </w:r>
      <w:r w:rsidRPr="00A82964">
        <w:rPr>
          <w:rFonts w:asciiTheme="minorHAnsi" w:hAnsiTheme="minorHAnsi"/>
          <w:sz w:val="24"/>
          <w:szCs w:val="24"/>
        </w:rPr>
        <w:t xml:space="preserve"> § 5.14[01][1][a]. </w:t>
      </w:r>
      <w:r w:rsidRPr="00A82964">
        <w:rPr>
          <w:rFonts w:asciiTheme="minorHAnsi" w:hAnsiTheme="minorHAnsi"/>
          <w:i/>
          <w:sz w:val="24"/>
          <w:szCs w:val="24"/>
        </w:rPr>
        <w:t>See also Lamparello v. Falwell</w:t>
      </w:r>
      <w:r w:rsidRPr="00A82964">
        <w:rPr>
          <w:rFonts w:asciiTheme="minorHAnsi" w:hAnsiTheme="minorHAnsi"/>
          <w:sz w:val="24"/>
          <w:szCs w:val="24"/>
        </w:rPr>
        <w:t>, 420 F.3d 309, 317 (4th Cir. 2005) (“The few appellate courts that have . . . imposed liability under [the initial interest confusion] theory for using marks on the Internet have done so only in cases involving . . . one business’s use of another’s mark for its own financial gain.</w:t>
      </w:r>
      <w:r w:rsidRPr="00A82964">
        <w:rPr>
          <w:rFonts w:ascii="Arial" w:hAnsi="Arial" w:cs="Arial"/>
          <w:sz w:val="24"/>
          <w:szCs w:val="24"/>
        </w:rPr>
        <w:t> </w:t>
      </w:r>
      <w:r w:rsidRPr="00A82964">
        <w:rPr>
          <w:rFonts w:asciiTheme="minorHAnsi" w:hAnsiTheme="minorHAnsi"/>
          <w:sz w:val="24"/>
          <w:szCs w:val="24"/>
        </w:rPr>
        <w:t>.</w:t>
      </w:r>
      <w:r w:rsidRPr="00A82964">
        <w:rPr>
          <w:rFonts w:asciiTheme="minorHAnsi" w:hAnsiTheme="minorHAnsi" w:cs="Aptos"/>
          <w:sz w:val="24"/>
          <w:szCs w:val="24"/>
        </w:rPr>
        <w:t> </w:t>
      </w:r>
      <w:r w:rsidRPr="00A82964">
        <w:rPr>
          <w:rFonts w:asciiTheme="minorHAnsi" w:hAnsiTheme="minorHAnsi"/>
          <w:sz w:val="24"/>
          <w:szCs w:val="24"/>
        </w:rPr>
        <w:t>.</w:t>
      </w:r>
      <w:r w:rsidRPr="00A82964">
        <w:rPr>
          <w:rFonts w:asciiTheme="minorHAnsi" w:hAnsiTheme="minorHAnsi" w:cs="Aptos"/>
          <w:sz w:val="24"/>
          <w:szCs w:val="24"/>
        </w:rPr>
        <w:t> </w:t>
      </w:r>
      <w:r w:rsidRPr="00A82964">
        <w:rPr>
          <w:rFonts w:asciiTheme="minorHAnsi" w:hAnsiTheme="minorHAnsi"/>
          <w:sz w:val="24"/>
          <w:szCs w:val="24"/>
        </w:rPr>
        <w:t>. Profiting financially from initial interest confusion is</w:t>
      </w:r>
      <w:r w:rsidRPr="00A82964">
        <w:rPr>
          <w:rFonts w:asciiTheme="minorHAnsi" w:hAnsiTheme="minorHAnsi" w:cs="Aptos"/>
          <w:sz w:val="24"/>
          <w:szCs w:val="24"/>
        </w:rPr>
        <w:t> </w:t>
      </w:r>
      <w:r w:rsidRPr="00A82964">
        <w:rPr>
          <w:rFonts w:asciiTheme="minorHAnsi" w:hAnsiTheme="minorHAnsi"/>
          <w:sz w:val="24"/>
          <w:szCs w:val="24"/>
        </w:rPr>
        <w:t>.</w:t>
      </w:r>
      <w:r w:rsidRPr="00A82964">
        <w:rPr>
          <w:rFonts w:asciiTheme="minorHAnsi" w:hAnsiTheme="minorHAnsi" w:cs="Aptos"/>
          <w:sz w:val="24"/>
          <w:szCs w:val="24"/>
        </w:rPr>
        <w:t> </w:t>
      </w:r>
      <w:r w:rsidRPr="00A82964">
        <w:rPr>
          <w:rFonts w:asciiTheme="minorHAnsi" w:hAnsiTheme="minorHAnsi"/>
          <w:sz w:val="24"/>
          <w:szCs w:val="24"/>
        </w:rPr>
        <w:t>.</w:t>
      </w:r>
      <w:r w:rsidRPr="00A82964">
        <w:rPr>
          <w:rFonts w:asciiTheme="minorHAnsi" w:hAnsiTheme="minorHAnsi" w:cs="Aptos"/>
          <w:sz w:val="24"/>
          <w:szCs w:val="24"/>
        </w:rPr>
        <w:t> </w:t>
      </w:r>
      <w:r w:rsidRPr="00A82964">
        <w:rPr>
          <w:rFonts w:asciiTheme="minorHAnsi" w:hAnsiTheme="minorHAnsi"/>
          <w:sz w:val="24"/>
          <w:szCs w:val="24"/>
        </w:rPr>
        <w:t>. a key element for imposition of liability under this theory.”).</w:t>
      </w:r>
    </w:p>
    <w:p w14:paraId="37743BB9" w14:textId="77777777" w:rsidR="00B113FA" w:rsidRPr="00A82964" w:rsidRDefault="00B113FA" w:rsidP="00B113FA">
      <w:pPr>
        <w:rPr>
          <w:rFonts w:asciiTheme="minorHAnsi" w:hAnsiTheme="minorHAnsi"/>
          <w:sz w:val="24"/>
          <w:szCs w:val="24"/>
        </w:rPr>
      </w:pPr>
      <w:r w:rsidRPr="00A82964">
        <w:rPr>
          <w:rFonts w:asciiTheme="minorHAnsi" w:hAnsiTheme="minorHAnsi"/>
          <w:sz w:val="24"/>
          <w:szCs w:val="24"/>
        </w:rPr>
        <w:t>In general, it appears that courts have developed initial interest confusion doctrine to provide them with some degree of flexibility to reach what they deem to be the right result as a matter of equity in situations where there is no consumer confusion at the point of sale.</w:t>
      </w:r>
    </w:p>
    <w:p w14:paraId="0123F83C" w14:textId="77777777" w:rsidR="00B113FA" w:rsidRPr="00A82964" w:rsidRDefault="00B113FA" w:rsidP="00B113FA">
      <w:pPr>
        <w:rPr>
          <w:rFonts w:asciiTheme="minorHAnsi" w:hAnsiTheme="minorHAnsi"/>
          <w:sz w:val="24"/>
          <w:szCs w:val="24"/>
        </w:rPr>
      </w:pPr>
      <w:r w:rsidRPr="00A82964">
        <w:rPr>
          <w:rFonts w:asciiTheme="minorHAnsi" w:hAnsiTheme="minorHAnsi"/>
          <w:sz w:val="24"/>
          <w:szCs w:val="24"/>
        </w:rPr>
        <w:t xml:space="preserve">3. </w:t>
      </w:r>
      <w:r w:rsidRPr="00A82964">
        <w:rPr>
          <w:rFonts w:asciiTheme="minorHAnsi" w:hAnsiTheme="minorHAnsi"/>
          <w:i/>
          <w:sz w:val="24"/>
          <w:szCs w:val="24"/>
        </w:rPr>
        <w:t>Critiquing initial interest confusion</w:t>
      </w:r>
      <w:r w:rsidRPr="00A82964">
        <w:rPr>
          <w:rFonts w:asciiTheme="minorHAnsi" w:hAnsiTheme="minorHAnsi"/>
          <w:sz w:val="24"/>
          <w:szCs w:val="24"/>
        </w:rPr>
        <w:t xml:space="preserve">. For a thorough critique of initial interest confusion doctrine, see Jennifer E. Rothman, </w:t>
      </w:r>
      <w:r w:rsidRPr="00A82964">
        <w:rPr>
          <w:rFonts w:asciiTheme="minorHAnsi" w:hAnsiTheme="minorHAnsi"/>
          <w:i/>
          <w:sz w:val="24"/>
          <w:szCs w:val="24"/>
        </w:rPr>
        <w:t>Initial Interest Confusion: Standing at the Crossroads of Trademark Law</w:t>
      </w:r>
      <w:r w:rsidRPr="00A82964">
        <w:rPr>
          <w:rFonts w:asciiTheme="minorHAnsi" w:hAnsiTheme="minorHAnsi"/>
          <w:sz w:val="24"/>
          <w:szCs w:val="24"/>
        </w:rPr>
        <w:t xml:space="preserve">, 27 </w:t>
      </w:r>
      <w:r w:rsidRPr="00A82964">
        <w:rPr>
          <w:rFonts w:asciiTheme="minorHAnsi" w:hAnsiTheme="minorHAnsi"/>
          <w:smallCaps/>
          <w:sz w:val="24"/>
          <w:szCs w:val="24"/>
        </w:rPr>
        <w:t>Cardozo L. Rev</w:t>
      </w:r>
      <w:r w:rsidRPr="00A82964">
        <w:rPr>
          <w:rFonts w:asciiTheme="minorHAnsi" w:hAnsiTheme="minorHAnsi"/>
          <w:sz w:val="24"/>
          <w:szCs w:val="24"/>
        </w:rPr>
        <w:t xml:space="preserve">. 105 (2005). Rothman observes: “The courts’ </w:t>
      </w:r>
      <w:r w:rsidRPr="00A82964">
        <w:rPr>
          <w:rStyle w:val="cosearchterm"/>
          <w:rFonts w:asciiTheme="minorHAnsi" w:hAnsiTheme="minorHAnsi"/>
          <w:sz w:val="24"/>
          <w:szCs w:val="24"/>
        </w:rPr>
        <w:t>initial</w:t>
      </w:r>
      <w:r w:rsidRPr="00A82964">
        <w:rPr>
          <w:rFonts w:asciiTheme="minorHAnsi" w:hAnsiTheme="minorHAnsi"/>
          <w:sz w:val="24"/>
          <w:szCs w:val="24"/>
        </w:rPr>
        <w:t xml:space="preserve"> motivation for adopting </w:t>
      </w:r>
      <w:r w:rsidRPr="00A82964">
        <w:rPr>
          <w:rStyle w:val="cosearchterm"/>
          <w:rFonts w:asciiTheme="minorHAnsi" w:hAnsiTheme="minorHAnsi"/>
          <w:sz w:val="24"/>
          <w:szCs w:val="24"/>
        </w:rPr>
        <w:t>initial</w:t>
      </w:r>
      <w:r w:rsidRPr="00A82964">
        <w:rPr>
          <w:rFonts w:asciiTheme="minorHAnsi" w:hAnsiTheme="minorHAnsi"/>
          <w:sz w:val="24"/>
          <w:szCs w:val="24"/>
        </w:rPr>
        <w:t xml:space="preserve"> </w:t>
      </w:r>
      <w:r w:rsidRPr="00A82964">
        <w:rPr>
          <w:rStyle w:val="cosearchterm"/>
          <w:rFonts w:asciiTheme="minorHAnsi" w:hAnsiTheme="minorHAnsi"/>
          <w:sz w:val="24"/>
          <w:szCs w:val="24"/>
        </w:rPr>
        <w:t>interest</w:t>
      </w:r>
      <w:r w:rsidRPr="00A82964">
        <w:rPr>
          <w:rFonts w:asciiTheme="minorHAnsi" w:hAnsiTheme="minorHAnsi"/>
          <w:sz w:val="24"/>
          <w:szCs w:val="24"/>
        </w:rPr>
        <w:t xml:space="preserve"> </w:t>
      </w:r>
      <w:r w:rsidRPr="00A82964">
        <w:rPr>
          <w:rStyle w:val="cosearchterm"/>
          <w:rFonts w:asciiTheme="minorHAnsi" w:hAnsiTheme="minorHAnsi"/>
          <w:sz w:val="24"/>
          <w:szCs w:val="24"/>
        </w:rPr>
        <w:t>confusion</w:t>
      </w:r>
      <w:r w:rsidRPr="00A82964">
        <w:rPr>
          <w:rFonts w:asciiTheme="minorHAnsi" w:hAnsiTheme="minorHAnsi"/>
          <w:sz w:val="24"/>
          <w:szCs w:val="24"/>
        </w:rPr>
        <w:t xml:space="preserve"> was a legitimate effort to prevent baiting and switching practices. However, since then courts have unreasonably stretched the doctrine to cover many circumstances which should be considered fair </w:t>
      </w:r>
      <w:proofErr w:type="gramStart"/>
      <w:r w:rsidRPr="00A82964">
        <w:rPr>
          <w:rFonts w:asciiTheme="minorHAnsi" w:hAnsiTheme="minorHAnsi"/>
          <w:sz w:val="24"/>
          <w:szCs w:val="24"/>
        </w:rPr>
        <w:t>competition</w:t>
      </w:r>
      <w:proofErr w:type="gramEnd"/>
      <w:r w:rsidRPr="00A82964">
        <w:rPr>
          <w:rFonts w:asciiTheme="minorHAnsi" w:hAnsiTheme="minorHAnsi"/>
          <w:sz w:val="24"/>
          <w:szCs w:val="24"/>
        </w:rPr>
        <w:t xml:space="preserve"> or which are better addressed by other existing statutes.”  </w:t>
      </w:r>
      <w:r w:rsidRPr="00A82964">
        <w:rPr>
          <w:rFonts w:asciiTheme="minorHAnsi" w:hAnsiTheme="minorHAnsi"/>
          <w:i/>
          <w:sz w:val="24"/>
          <w:szCs w:val="24"/>
        </w:rPr>
        <w:t>Id</w:t>
      </w:r>
      <w:r w:rsidRPr="00A82964">
        <w:rPr>
          <w:rFonts w:asciiTheme="minorHAnsi" w:hAnsiTheme="minorHAnsi"/>
          <w:sz w:val="24"/>
          <w:szCs w:val="24"/>
        </w:rPr>
        <w:t>. at 113.</w:t>
      </w:r>
    </w:p>
    <w:p w14:paraId="5BF6C8F9" w14:textId="28E09CA3" w:rsidR="00B113FA" w:rsidRPr="00A82964" w:rsidRDefault="00B113FA" w:rsidP="00A82964">
      <w:pPr>
        <w:pStyle w:val="Heading3"/>
        <w:ind w:firstLine="0"/>
        <w:rPr>
          <w:rFonts w:asciiTheme="minorHAnsi" w:hAnsiTheme="minorHAnsi"/>
          <w:sz w:val="40"/>
          <w:szCs w:val="40"/>
        </w:rPr>
      </w:pPr>
      <w:bookmarkStart w:id="2" w:name="_Toc369029427"/>
      <w:bookmarkStart w:id="3" w:name="_Toc388442221"/>
      <w:bookmarkStart w:id="4" w:name="_Toc519598821"/>
      <w:bookmarkStart w:id="5" w:name="_Toc201424393"/>
      <w:r w:rsidRPr="00A82964">
        <w:rPr>
          <w:rFonts w:asciiTheme="minorHAnsi" w:hAnsiTheme="minorHAnsi"/>
          <w:sz w:val="40"/>
          <w:szCs w:val="40"/>
        </w:rPr>
        <w:lastRenderedPageBreak/>
        <w:t>Post-Sale Confusion</w:t>
      </w:r>
      <w:bookmarkEnd w:id="2"/>
      <w:bookmarkEnd w:id="3"/>
      <w:bookmarkEnd w:id="4"/>
      <w:bookmarkEnd w:id="5"/>
    </w:p>
    <w:p w14:paraId="2588D49F" w14:textId="77777777" w:rsidR="00B113FA" w:rsidRPr="00A82964" w:rsidRDefault="00B113FA" w:rsidP="00B113FA">
      <w:pPr>
        <w:pStyle w:val="Centered"/>
        <w:rPr>
          <w:rFonts w:asciiTheme="minorHAnsi" w:hAnsiTheme="minorHAnsi"/>
          <w:sz w:val="24"/>
          <w:szCs w:val="24"/>
        </w:rPr>
      </w:pPr>
      <w:r w:rsidRPr="00A82964">
        <w:rPr>
          <w:rFonts w:asciiTheme="minorHAnsi" w:hAnsiTheme="minorHAnsi"/>
          <w:noProof/>
          <w:sz w:val="24"/>
          <w:szCs w:val="24"/>
        </w:rPr>
        <w:drawing>
          <wp:inline distT="0" distB="0" distL="0" distR="0" wp14:anchorId="22A7FC22" wp14:editId="334484C5">
            <wp:extent cx="2872740" cy="2144202"/>
            <wp:effectExtent l="0" t="0" r="3810" b="8890"/>
            <wp:docPr id="107" name="Picture 77" descr="A clock with a white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77" descr="A clock with a white fac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905" cy="2147311"/>
                    </a:xfrm>
                    <a:prstGeom prst="rect">
                      <a:avLst/>
                    </a:prstGeom>
                    <a:noFill/>
                    <a:ln>
                      <a:noFill/>
                    </a:ln>
                  </pic:spPr>
                </pic:pic>
              </a:graphicData>
            </a:graphic>
          </wp:inline>
        </w:drawing>
      </w:r>
      <w:r w:rsidRPr="00A82964">
        <w:rPr>
          <w:rFonts w:asciiTheme="minorHAnsi" w:hAnsiTheme="minorHAnsi"/>
          <w:sz w:val="24"/>
          <w:szCs w:val="24"/>
        </w:rPr>
        <w:t xml:space="preserve">        </w:t>
      </w:r>
      <w:r w:rsidRPr="00A82964">
        <w:rPr>
          <w:rFonts w:asciiTheme="minorHAnsi" w:hAnsiTheme="minorHAnsi"/>
          <w:noProof/>
          <w:sz w:val="24"/>
          <w:szCs w:val="24"/>
        </w:rPr>
        <w:drawing>
          <wp:inline distT="0" distB="0" distL="0" distR="0" wp14:anchorId="56739222" wp14:editId="2F5A907B">
            <wp:extent cx="1677670" cy="2136362"/>
            <wp:effectExtent l="0" t="0" r="0" b="0"/>
            <wp:docPr id="108" name="Picture 76" descr="A gold clock with a white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76" descr="A gold clock with a white fac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3047" cy="2143209"/>
                    </a:xfrm>
                    <a:prstGeom prst="rect">
                      <a:avLst/>
                    </a:prstGeom>
                    <a:noFill/>
                    <a:ln>
                      <a:noFill/>
                    </a:ln>
                  </pic:spPr>
                </pic:pic>
              </a:graphicData>
            </a:graphic>
          </wp:inline>
        </w:drawing>
      </w:r>
    </w:p>
    <w:p w14:paraId="0D51A6BD" w14:textId="77777777" w:rsidR="00B113FA" w:rsidRPr="00A82964" w:rsidRDefault="00B113FA" w:rsidP="00B113FA">
      <w:pPr>
        <w:pStyle w:val="Centered"/>
        <w:rPr>
          <w:rFonts w:asciiTheme="minorHAnsi" w:hAnsiTheme="minorHAnsi"/>
          <w:sz w:val="24"/>
          <w:szCs w:val="24"/>
        </w:rPr>
      </w:pPr>
      <w:proofErr w:type="spellStart"/>
      <w:r w:rsidRPr="00A82964">
        <w:rPr>
          <w:rFonts w:asciiTheme="minorHAnsi" w:hAnsiTheme="minorHAnsi"/>
          <w:sz w:val="24"/>
          <w:szCs w:val="24"/>
        </w:rPr>
        <w:t>Mastercrafters</w:t>
      </w:r>
      <w:proofErr w:type="spellEnd"/>
      <w:r w:rsidRPr="00A82964">
        <w:rPr>
          <w:rFonts w:asciiTheme="minorHAnsi" w:hAnsiTheme="minorHAnsi"/>
          <w:sz w:val="24"/>
          <w:szCs w:val="24"/>
        </w:rPr>
        <w:t>’ clock (left) and LeCoultre’s clock (right)</w:t>
      </w:r>
      <w:r w:rsidRPr="00A82964">
        <w:rPr>
          <w:rStyle w:val="FootnoteReference"/>
          <w:rFonts w:asciiTheme="minorHAnsi" w:hAnsiTheme="minorHAnsi"/>
          <w:sz w:val="24"/>
          <w:szCs w:val="24"/>
        </w:rPr>
        <w:footnoteReference w:customMarkFollows="1" w:id="1"/>
        <w:t>*</w:t>
      </w:r>
    </w:p>
    <w:p w14:paraId="219433C7" w14:textId="77777777" w:rsidR="00A82964" w:rsidRDefault="00A82964" w:rsidP="00B113FA">
      <w:pPr>
        <w:rPr>
          <w:rFonts w:asciiTheme="minorHAnsi" w:hAnsiTheme="minorHAnsi"/>
          <w:sz w:val="24"/>
          <w:szCs w:val="24"/>
        </w:rPr>
      </w:pPr>
    </w:p>
    <w:p w14:paraId="1076655F" w14:textId="731FAF47" w:rsidR="00B113FA" w:rsidRPr="00A82964" w:rsidRDefault="00B113FA" w:rsidP="00B113FA">
      <w:pPr>
        <w:rPr>
          <w:rFonts w:asciiTheme="minorHAnsi" w:hAnsiTheme="minorHAnsi"/>
          <w:sz w:val="24"/>
          <w:szCs w:val="24"/>
        </w:rPr>
      </w:pPr>
      <w:r w:rsidRPr="00A82964">
        <w:rPr>
          <w:rFonts w:asciiTheme="minorHAnsi" w:hAnsiTheme="minorHAnsi"/>
          <w:sz w:val="24"/>
          <w:szCs w:val="24"/>
        </w:rPr>
        <w:t xml:space="preserve">While initial interest confusion addresses the likelihood of confusion before the point of sale, post-sale confusion, as its name suggests, addresses confusion after the point of sale. One of the first cases to recognize some form of post-sale confusion was </w:t>
      </w:r>
      <w:proofErr w:type="spellStart"/>
      <w:r w:rsidRPr="00A82964">
        <w:rPr>
          <w:rFonts w:asciiTheme="minorHAnsi" w:hAnsiTheme="minorHAnsi"/>
          <w:i/>
          <w:sz w:val="24"/>
          <w:szCs w:val="24"/>
        </w:rPr>
        <w:t>Mastercrafters</w:t>
      </w:r>
      <w:proofErr w:type="spellEnd"/>
      <w:r w:rsidRPr="00A82964">
        <w:rPr>
          <w:rFonts w:asciiTheme="minorHAnsi" w:hAnsiTheme="minorHAnsi"/>
          <w:i/>
          <w:sz w:val="24"/>
          <w:szCs w:val="24"/>
        </w:rPr>
        <w:t xml:space="preserve"> Clock &amp; Radio Co. v. Vacheron &amp; Constantin-LeCoultre Watches, Inc</w:t>
      </w:r>
      <w:r w:rsidRPr="00A82964">
        <w:rPr>
          <w:rFonts w:asciiTheme="minorHAnsi" w:hAnsiTheme="minorHAnsi"/>
          <w:sz w:val="24"/>
          <w:szCs w:val="24"/>
        </w:rPr>
        <w:t xml:space="preserve">., 221 F.2d 464 (2d Cir. 1955). In </w:t>
      </w:r>
      <w:proofErr w:type="spellStart"/>
      <w:r w:rsidRPr="00A82964">
        <w:rPr>
          <w:rFonts w:asciiTheme="minorHAnsi" w:hAnsiTheme="minorHAnsi"/>
          <w:i/>
          <w:sz w:val="24"/>
          <w:szCs w:val="24"/>
        </w:rPr>
        <w:t>Mastercrafters</w:t>
      </w:r>
      <w:proofErr w:type="spellEnd"/>
      <w:r w:rsidRPr="00A82964">
        <w:rPr>
          <w:rFonts w:asciiTheme="minorHAnsi" w:hAnsiTheme="minorHAnsi"/>
          <w:sz w:val="24"/>
          <w:szCs w:val="24"/>
        </w:rPr>
        <w:t xml:space="preserve">, the declaratory plaintiff </w:t>
      </w:r>
      <w:proofErr w:type="spellStart"/>
      <w:r w:rsidRPr="00A82964">
        <w:rPr>
          <w:rFonts w:asciiTheme="minorHAnsi" w:hAnsiTheme="minorHAnsi"/>
          <w:sz w:val="24"/>
          <w:szCs w:val="24"/>
        </w:rPr>
        <w:t>Mastercrafters</w:t>
      </w:r>
      <w:proofErr w:type="spellEnd"/>
      <w:r w:rsidRPr="00A82964">
        <w:rPr>
          <w:rFonts w:asciiTheme="minorHAnsi" w:hAnsiTheme="minorHAnsi"/>
          <w:sz w:val="24"/>
          <w:szCs w:val="24"/>
        </w:rPr>
        <w:t xml:space="preserve"> produced an electric clock made to look like the declaratory defendant’s expensive and prestigious Atmos table clock, a non-electric clock that wound itself from changes in atmospheric pressure. </w:t>
      </w:r>
      <w:proofErr w:type="spellStart"/>
      <w:r w:rsidRPr="00A82964">
        <w:rPr>
          <w:rFonts w:asciiTheme="minorHAnsi" w:hAnsiTheme="minorHAnsi"/>
          <w:sz w:val="24"/>
          <w:szCs w:val="24"/>
        </w:rPr>
        <w:t>Mastercrafters</w:t>
      </w:r>
      <w:proofErr w:type="spellEnd"/>
      <w:r w:rsidRPr="00A82964">
        <w:rPr>
          <w:rFonts w:asciiTheme="minorHAnsi" w:hAnsiTheme="minorHAnsi"/>
          <w:sz w:val="24"/>
          <w:szCs w:val="24"/>
        </w:rPr>
        <w:t xml:space="preserve"> sold its clock for about $30; LeCoultre sold the Atmos clock for not less than $175 (about $2,000 in today’s money). </w:t>
      </w:r>
      <w:proofErr w:type="spellStart"/>
      <w:r w:rsidRPr="00A82964">
        <w:rPr>
          <w:rFonts w:asciiTheme="minorHAnsi" w:hAnsiTheme="minorHAnsi"/>
          <w:sz w:val="24"/>
          <w:szCs w:val="24"/>
        </w:rPr>
        <w:t>Mastercrafters</w:t>
      </w:r>
      <w:proofErr w:type="spellEnd"/>
      <w:r w:rsidRPr="00A82964">
        <w:rPr>
          <w:rFonts w:asciiTheme="minorHAnsi" w:hAnsiTheme="minorHAnsi"/>
          <w:sz w:val="24"/>
          <w:szCs w:val="24"/>
        </w:rPr>
        <w:t xml:space="preserve"> sought a declaration that its conduct did not constitute unfair competition. Judge Frank held in favor of LeCoultre. Though there was no point-of-sale confusion, there was nevertheless unfair competition:</w:t>
      </w:r>
    </w:p>
    <w:p w14:paraId="291BB6A5" w14:textId="77777777" w:rsidR="00B113FA" w:rsidRPr="00A82964" w:rsidRDefault="00B113FA" w:rsidP="00B113FA">
      <w:pPr>
        <w:pStyle w:val="Blockquote"/>
        <w:rPr>
          <w:rFonts w:asciiTheme="minorHAnsi" w:hAnsiTheme="minorHAnsi"/>
          <w:sz w:val="24"/>
          <w:szCs w:val="24"/>
        </w:rPr>
      </w:pPr>
      <w:r w:rsidRPr="00A82964">
        <w:rPr>
          <w:rFonts w:asciiTheme="minorHAnsi" w:hAnsiTheme="minorHAnsi"/>
          <w:sz w:val="24"/>
          <w:szCs w:val="24"/>
        </w:rPr>
        <w:t xml:space="preserve">True, a customer examining plaintiff’s clock would see from the electric cord, that it was not an ‘atmospheric’ clock. But, as the {district} judge found, plaintiff copied the design of the Atmos clock because plaintiff intended to, and did, attract purchasers who wanted a “luxury design” clock. This </w:t>
      </w:r>
      <w:proofErr w:type="gramStart"/>
      <w:r w:rsidRPr="00A82964">
        <w:rPr>
          <w:rFonts w:asciiTheme="minorHAnsi" w:hAnsiTheme="minorHAnsi"/>
          <w:sz w:val="24"/>
          <w:szCs w:val="24"/>
        </w:rPr>
        <w:t>goes to show</w:t>
      </w:r>
      <w:proofErr w:type="gramEnd"/>
      <w:r w:rsidRPr="00A82964">
        <w:rPr>
          <w:rFonts w:asciiTheme="minorHAnsi" w:hAnsiTheme="minorHAnsi"/>
          <w:sz w:val="24"/>
          <w:szCs w:val="24"/>
        </w:rPr>
        <w:t xml:space="preserve"> at least that some customers would buy plaintiff’s cheaper clock for the purpose of acquiring the prestige gained by displaying what many visitors at the customers’ homes would regard as a prestigious article. Plaintiff’s wrong thus consisted </w:t>
      </w:r>
      <w:proofErr w:type="gramStart"/>
      <w:r w:rsidRPr="00A82964">
        <w:rPr>
          <w:rFonts w:asciiTheme="minorHAnsi" w:hAnsiTheme="minorHAnsi"/>
          <w:sz w:val="24"/>
          <w:szCs w:val="24"/>
        </w:rPr>
        <w:t>of</w:t>
      </w:r>
      <w:proofErr w:type="gramEnd"/>
      <w:r w:rsidRPr="00A82964">
        <w:rPr>
          <w:rFonts w:asciiTheme="minorHAnsi" w:hAnsiTheme="minorHAnsi"/>
          <w:sz w:val="24"/>
          <w:szCs w:val="24"/>
        </w:rPr>
        <w:t xml:space="preserve"> the fact that such a visitor would be likely to assume that the clock was an Atmos clock. Neither the electric cord attached to, nor the plaintiff’s name on, its clock would be likely to come to the attention of such a visitor; the likelihood of such confusion suffices to render plaintiff’s conduct actionable.</w:t>
      </w:r>
    </w:p>
    <w:p w14:paraId="273A9635" w14:textId="77777777" w:rsidR="00B113FA" w:rsidRPr="00A82964" w:rsidRDefault="00B113FA" w:rsidP="00B113FA">
      <w:pPr>
        <w:pStyle w:val="NormalNoIndent"/>
        <w:rPr>
          <w:rFonts w:asciiTheme="minorHAnsi" w:hAnsiTheme="minorHAnsi"/>
          <w:sz w:val="24"/>
          <w:szCs w:val="24"/>
        </w:rPr>
      </w:pPr>
      <w:r w:rsidRPr="00A82964">
        <w:rPr>
          <w:rFonts w:asciiTheme="minorHAnsi" w:hAnsiTheme="minorHAnsi"/>
          <w:i/>
          <w:sz w:val="24"/>
          <w:szCs w:val="24"/>
        </w:rPr>
        <w:lastRenderedPageBreak/>
        <w:t>Id</w:t>
      </w:r>
      <w:r w:rsidRPr="00A82964">
        <w:rPr>
          <w:rFonts w:asciiTheme="minorHAnsi" w:hAnsiTheme="minorHAnsi"/>
          <w:sz w:val="24"/>
          <w:szCs w:val="24"/>
        </w:rPr>
        <w:t>. at 464.</w:t>
      </w:r>
    </w:p>
    <w:p w14:paraId="0DA146EC" w14:textId="77777777" w:rsidR="00B113FA" w:rsidRPr="00A82964" w:rsidRDefault="00B113FA" w:rsidP="00B113FA">
      <w:pPr>
        <w:rPr>
          <w:rFonts w:asciiTheme="minorHAnsi" w:hAnsiTheme="minorHAnsi"/>
          <w:sz w:val="24"/>
          <w:szCs w:val="24"/>
        </w:rPr>
      </w:pPr>
      <w:r w:rsidRPr="00A82964">
        <w:rPr>
          <w:rFonts w:asciiTheme="minorHAnsi" w:hAnsiTheme="minorHAnsi"/>
          <w:sz w:val="24"/>
          <w:szCs w:val="24"/>
        </w:rPr>
        <w:t xml:space="preserve">The post-sale confusion theory has been controversial, as the dissent in the following case suggests. In reading through </w:t>
      </w:r>
      <w:r w:rsidRPr="00A82964">
        <w:rPr>
          <w:rFonts w:asciiTheme="minorHAnsi" w:hAnsiTheme="minorHAnsi"/>
          <w:i/>
          <w:sz w:val="24"/>
          <w:szCs w:val="24"/>
        </w:rPr>
        <w:t>Ferrari S.P.A. v. Roberts</w:t>
      </w:r>
      <w:r w:rsidRPr="00A82964">
        <w:rPr>
          <w:rFonts w:asciiTheme="minorHAnsi" w:hAnsiTheme="minorHAnsi"/>
          <w:sz w:val="24"/>
          <w:szCs w:val="24"/>
        </w:rPr>
        <w:t>, 944 F.2d 1235 (6th Cir. 1991), which involves the unauthorized production of “</w:t>
      </w:r>
      <w:proofErr w:type="spellStart"/>
      <w:r w:rsidRPr="00A82964">
        <w:rPr>
          <w:rFonts w:asciiTheme="minorHAnsi" w:hAnsiTheme="minorHAnsi"/>
          <w:sz w:val="24"/>
          <w:szCs w:val="24"/>
        </w:rPr>
        <w:t>Fauxrraris</w:t>
      </w:r>
      <w:proofErr w:type="spellEnd"/>
      <w:r w:rsidRPr="00A82964">
        <w:rPr>
          <w:rFonts w:asciiTheme="minorHAnsi" w:hAnsiTheme="minorHAnsi"/>
          <w:sz w:val="24"/>
          <w:szCs w:val="24"/>
        </w:rPr>
        <w:t>”, consider the following questions:</w:t>
      </w:r>
    </w:p>
    <w:p w14:paraId="7F2A9323" w14:textId="77777777" w:rsidR="00B113FA" w:rsidRPr="00A82964" w:rsidRDefault="00B113FA" w:rsidP="00B113FA">
      <w:pPr>
        <w:numPr>
          <w:ilvl w:val="0"/>
          <w:numId w:val="40"/>
        </w:numPr>
        <w:rPr>
          <w:rFonts w:asciiTheme="minorHAnsi" w:hAnsiTheme="minorHAnsi"/>
          <w:sz w:val="24"/>
          <w:szCs w:val="24"/>
        </w:rPr>
      </w:pPr>
      <w:r w:rsidRPr="00A82964">
        <w:rPr>
          <w:rFonts w:asciiTheme="minorHAnsi" w:hAnsiTheme="minorHAnsi"/>
          <w:sz w:val="24"/>
          <w:szCs w:val="24"/>
        </w:rPr>
        <w:t xml:space="preserve">Should courts </w:t>
      </w:r>
      <w:proofErr w:type="gramStart"/>
      <w:r w:rsidRPr="00A82964">
        <w:rPr>
          <w:rFonts w:asciiTheme="minorHAnsi" w:hAnsiTheme="minorHAnsi"/>
          <w:sz w:val="24"/>
          <w:szCs w:val="24"/>
        </w:rPr>
        <w:t>take into account</w:t>
      </w:r>
      <w:proofErr w:type="gramEnd"/>
      <w:r w:rsidRPr="00A82964">
        <w:rPr>
          <w:rFonts w:asciiTheme="minorHAnsi" w:hAnsiTheme="minorHAnsi"/>
          <w:sz w:val="24"/>
          <w:szCs w:val="24"/>
        </w:rPr>
        <w:t xml:space="preserve"> the confusion as </w:t>
      </w:r>
      <w:proofErr w:type="gramStart"/>
      <w:r w:rsidRPr="00A82964">
        <w:rPr>
          <w:rFonts w:asciiTheme="minorHAnsi" w:hAnsiTheme="minorHAnsi"/>
          <w:sz w:val="24"/>
          <w:szCs w:val="24"/>
        </w:rPr>
        <w:t>to</w:t>
      </w:r>
      <w:proofErr w:type="gramEnd"/>
      <w:r w:rsidRPr="00A82964">
        <w:rPr>
          <w:rFonts w:asciiTheme="minorHAnsi" w:hAnsiTheme="minorHAnsi"/>
          <w:sz w:val="24"/>
          <w:szCs w:val="24"/>
        </w:rPr>
        <w:t xml:space="preserve"> source of consumers who would never actually purchase the plaintiff’s goods (or the defendant’s goods for that matter)?</w:t>
      </w:r>
    </w:p>
    <w:p w14:paraId="1F5BA9E4" w14:textId="77777777" w:rsidR="00B113FA" w:rsidRPr="00A82964" w:rsidRDefault="00B113FA" w:rsidP="00B113FA">
      <w:pPr>
        <w:numPr>
          <w:ilvl w:val="0"/>
          <w:numId w:val="40"/>
        </w:numPr>
        <w:rPr>
          <w:rFonts w:asciiTheme="minorHAnsi" w:hAnsiTheme="minorHAnsi"/>
          <w:sz w:val="24"/>
          <w:szCs w:val="24"/>
        </w:rPr>
      </w:pPr>
      <w:r w:rsidRPr="00A82964">
        <w:rPr>
          <w:rFonts w:asciiTheme="minorHAnsi" w:hAnsiTheme="minorHAnsi"/>
          <w:sz w:val="24"/>
          <w:szCs w:val="24"/>
        </w:rPr>
        <w:t xml:space="preserve">Should trademark law be used to protect the exclusivity of status goods? If it should not be so used, how can we make sure we do not throw out the baby with the bathwater? In other words, how can we design trademark </w:t>
      </w:r>
      <w:proofErr w:type="gramStart"/>
      <w:r w:rsidRPr="00A82964">
        <w:rPr>
          <w:rFonts w:asciiTheme="minorHAnsi" w:hAnsiTheme="minorHAnsi"/>
          <w:sz w:val="24"/>
          <w:szCs w:val="24"/>
        </w:rPr>
        <w:t>law</w:t>
      </w:r>
      <w:proofErr w:type="gramEnd"/>
      <w:r w:rsidRPr="00A82964">
        <w:rPr>
          <w:rFonts w:asciiTheme="minorHAnsi" w:hAnsiTheme="minorHAnsi"/>
          <w:sz w:val="24"/>
          <w:szCs w:val="24"/>
        </w:rPr>
        <w:t xml:space="preserve"> so that </w:t>
      </w:r>
      <w:proofErr w:type="gramStart"/>
      <w:r w:rsidRPr="00A82964">
        <w:rPr>
          <w:rFonts w:asciiTheme="minorHAnsi" w:hAnsiTheme="minorHAnsi"/>
          <w:sz w:val="24"/>
          <w:szCs w:val="24"/>
        </w:rPr>
        <w:t>it</w:t>
      </w:r>
      <w:proofErr w:type="gramEnd"/>
      <w:r w:rsidRPr="00A82964">
        <w:rPr>
          <w:rFonts w:asciiTheme="minorHAnsi" w:hAnsiTheme="minorHAnsi"/>
          <w:sz w:val="24"/>
          <w:szCs w:val="24"/>
        </w:rPr>
        <w:t xml:space="preserve"> will not protect the exclusivity of status goods but will nevertheless continue to protect the traditional source-denoting function of trademarks for non-status goods?</w:t>
      </w:r>
    </w:p>
    <w:p w14:paraId="1A915331" w14:textId="77777777" w:rsidR="00B113FA" w:rsidRPr="00A82964" w:rsidRDefault="00B113FA" w:rsidP="00B113FA">
      <w:pPr>
        <w:numPr>
          <w:ilvl w:val="0"/>
          <w:numId w:val="40"/>
        </w:numPr>
        <w:rPr>
          <w:rFonts w:asciiTheme="minorHAnsi" w:hAnsiTheme="minorHAnsi"/>
          <w:sz w:val="24"/>
          <w:szCs w:val="24"/>
        </w:rPr>
      </w:pPr>
      <w:r w:rsidRPr="00A82964">
        <w:rPr>
          <w:rFonts w:asciiTheme="minorHAnsi" w:hAnsiTheme="minorHAnsi"/>
          <w:sz w:val="24"/>
          <w:szCs w:val="24"/>
        </w:rPr>
        <w:t>Who decides which goods are status goods? Is a pickup truck a status good?</w:t>
      </w:r>
    </w:p>
    <w:p w14:paraId="54313D97" w14:textId="3CD23AAB" w:rsidR="00B113FA" w:rsidRPr="00A82964" w:rsidRDefault="00A82964" w:rsidP="00B113FA">
      <w:pPr>
        <w:pStyle w:val="Heading7"/>
        <w:rPr>
          <w:rFonts w:asciiTheme="minorHAnsi" w:hAnsiTheme="minorHAnsi"/>
          <w:color w:val="FF0000"/>
          <w:sz w:val="24"/>
          <w:szCs w:val="24"/>
        </w:rPr>
      </w:pPr>
      <w:bookmarkStart w:id="6" w:name="_Toc519598822"/>
      <w:bookmarkStart w:id="7" w:name="_Toc201424394"/>
      <w:r w:rsidRPr="00A82964">
        <w:rPr>
          <w:rFonts w:asciiTheme="minorHAnsi" w:hAnsiTheme="minorHAnsi"/>
          <w:color w:val="FF0000"/>
          <w:sz w:val="24"/>
          <w:szCs w:val="24"/>
        </w:rPr>
        <w:t xml:space="preserve">[The opinion in </w:t>
      </w:r>
      <w:r w:rsidR="00B113FA" w:rsidRPr="00A82964">
        <w:rPr>
          <w:rFonts w:asciiTheme="minorHAnsi" w:hAnsiTheme="minorHAnsi"/>
          <w:i/>
          <w:iCs/>
          <w:color w:val="FF0000"/>
          <w:sz w:val="24"/>
          <w:szCs w:val="24"/>
        </w:rPr>
        <w:t>Ferrari S.P.A. v. Roberts</w:t>
      </w:r>
      <w:bookmarkEnd w:id="6"/>
      <w:bookmarkEnd w:id="7"/>
      <w:r w:rsidRPr="00A82964">
        <w:rPr>
          <w:rFonts w:asciiTheme="minorHAnsi" w:hAnsiTheme="minorHAnsi"/>
          <w:i/>
          <w:iCs/>
          <w:color w:val="FF0000"/>
          <w:sz w:val="24"/>
          <w:szCs w:val="24"/>
        </w:rPr>
        <w:t xml:space="preserve"> </w:t>
      </w:r>
      <w:r w:rsidRPr="00A82964">
        <w:rPr>
          <w:rFonts w:asciiTheme="minorHAnsi" w:hAnsiTheme="minorHAnsi"/>
          <w:color w:val="FF0000"/>
          <w:sz w:val="24"/>
          <w:szCs w:val="24"/>
        </w:rPr>
        <w:t>is available separately.]</w:t>
      </w:r>
    </w:p>
    <w:p w14:paraId="716E0AA5" w14:textId="77777777" w:rsidR="00B113FA" w:rsidRPr="00A82964" w:rsidRDefault="00B113FA" w:rsidP="00B113FA">
      <w:pPr>
        <w:pStyle w:val="CommentsandQuestions"/>
        <w:rPr>
          <w:rFonts w:asciiTheme="minorHAnsi" w:hAnsiTheme="minorHAnsi"/>
          <w:sz w:val="24"/>
          <w:szCs w:val="22"/>
        </w:rPr>
      </w:pPr>
      <w:r w:rsidRPr="00A82964">
        <w:rPr>
          <w:rFonts w:asciiTheme="minorHAnsi" w:hAnsiTheme="minorHAnsi"/>
          <w:sz w:val="24"/>
          <w:szCs w:val="22"/>
        </w:rPr>
        <w:t>Questions and Comments</w:t>
      </w:r>
    </w:p>
    <w:p w14:paraId="259B509B" w14:textId="77777777" w:rsidR="00B113FA" w:rsidRPr="00A82964" w:rsidRDefault="00B113FA" w:rsidP="00B113FA">
      <w:pPr>
        <w:rPr>
          <w:rFonts w:asciiTheme="minorHAnsi" w:hAnsiTheme="minorHAnsi"/>
          <w:sz w:val="24"/>
          <w:szCs w:val="22"/>
        </w:rPr>
      </w:pPr>
      <w:r w:rsidRPr="00A82964">
        <w:rPr>
          <w:rFonts w:asciiTheme="minorHAnsi" w:hAnsiTheme="minorHAnsi"/>
          <w:sz w:val="24"/>
          <w:szCs w:val="22"/>
        </w:rPr>
        <w:t>1.</w:t>
      </w:r>
      <w:r w:rsidRPr="00A82964">
        <w:rPr>
          <w:rFonts w:asciiTheme="minorHAnsi" w:hAnsiTheme="minorHAnsi"/>
          <w:sz w:val="24"/>
          <w:szCs w:val="22"/>
        </w:rPr>
        <w:tab/>
      </w:r>
      <w:r w:rsidRPr="00A82964">
        <w:rPr>
          <w:rFonts w:asciiTheme="minorHAnsi" w:hAnsiTheme="minorHAnsi"/>
          <w:i/>
          <w:sz w:val="24"/>
          <w:szCs w:val="22"/>
        </w:rPr>
        <w:t>Are the Ferrari exterior designs functional</w:t>
      </w:r>
      <w:r w:rsidRPr="00A82964">
        <w:rPr>
          <w:rFonts w:asciiTheme="minorHAnsi" w:hAnsiTheme="minorHAnsi"/>
          <w:sz w:val="24"/>
          <w:szCs w:val="22"/>
        </w:rPr>
        <w:t xml:space="preserve">?  The district court found that they were </w:t>
      </w:r>
      <w:proofErr w:type="gramStart"/>
      <w:r w:rsidRPr="00A82964">
        <w:rPr>
          <w:rFonts w:asciiTheme="minorHAnsi" w:hAnsiTheme="minorHAnsi"/>
          <w:sz w:val="24"/>
          <w:szCs w:val="22"/>
        </w:rPr>
        <w:t>not</w:t>
      </w:r>
      <w:proofErr w:type="gramEnd"/>
      <w:r w:rsidRPr="00A82964">
        <w:rPr>
          <w:rFonts w:asciiTheme="minorHAnsi" w:hAnsiTheme="minorHAnsi"/>
          <w:sz w:val="24"/>
          <w:szCs w:val="22"/>
        </w:rPr>
        <w:t xml:space="preserve"> and the Sixth Circuit affirmed:</w:t>
      </w:r>
    </w:p>
    <w:p w14:paraId="52701D1B" w14:textId="77777777" w:rsidR="00B113FA" w:rsidRPr="00A82964" w:rsidRDefault="00B113FA" w:rsidP="00B113FA">
      <w:pPr>
        <w:pStyle w:val="Blockquote"/>
        <w:rPr>
          <w:rFonts w:asciiTheme="minorHAnsi" w:hAnsiTheme="minorHAnsi"/>
          <w:sz w:val="24"/>
          <w:szCs w:val="22"/>
        </w:rPr>
      </w:pPr>
      <w:r w:rsidRPr="00A82964">
        <w:rPr>
          <w:rFonts w:asciiTheme="minorHAnsi" w:hAnsiTheme="minorHAnsi"/>
          <w:sz w:val="24"/>
          <w:szCs w:val="22"/>
        </w:rPr>
        <w:t xml:space="preserve">The district court found that Ferrari proved, by a preponderance of the evidence, that the exterior shapes and features of the Daytona Spyder and Testarossa were nonfunctional. The court based this conclusion on the uncontroverted testimony of Angelo </w:t>
      </w:r>
      <w:proofErr w:type="spellStart"/>
      <w:r w:rsidRPr="00A82964">
        <w:rPr>
          <w:rFonts w:asciiTheme="minorHAnsi" w:hAnsiTheme="minorHAnsi"/>
          <w:sz w:val="24"/>
          <w:szCs w:val="22"/>
        </w:rPr>
        <w:t>Bellei</w:t>
      </w:r>
      <w:proofErr w:type="spellEnd"/>
      <w:r w:rsidRPr="00A82964">
        <w:rPr>
          <w:rFonts w:asciiTheme="minorHAnsi" w:hAnsiTheme="minorHAnsi"/>
          <w:sz w:val="24"/>
          <w:szCs w:val="22"/>
        </w:rPr>
        <w:t>, who developed Ferrari’s grand touring cars from 1964-75, that the company chose the exterior designs for beauty and distinctiveness, not utility.</w:t>
      </w:r>
    </w:p>
    <w:p w14:paraId="321963A2" w14:textId="77777777" w:rsidR="00B113FA" w:rsidRPr="00A82964" w:rsidRDefault="00B113FA" w:rsidP="00B113FA">
      <w:pPr>
        <w:pStyle w:val="NormalNoIndent"/>
        <w:rPr>
          <w:rFonts w:asciiTheme="minorHAnsi" w:hAnsiTheme="minorHAnsi"/>
          <w:sz w:val="24"/>
          <w:szCs w:val="22"/>
        </w:rPr>
      </w:pPr>
      <w:r w:rsidRPr="00A82964">
        <w:rPr>
          <w:rFonts w:asciiTheme="minorHAnsi" w:hAnsiTheme="minorHAnsi"/>
          <w:i/>
          <w:sz w:val="24"/>
          <w:szCs w:val="22"/>
        </w:rPr>
        <w:t>Ferrari S.P.A</w:t>
      </w:r>
      <w:r w:rsidRPr="00A82964">
        <w:rPr>
          <w:rFonts w:asciiTheme="minorHAnsi" w:hAnsiTheme="minorHAnsi"/>
          <w:sz w:val="24"/>
          <w:szCs w:val="22"/>
        </w:rPr>
        <w:t>., 944 F.2d at 1246. Does this strike you as an adequate consideration of the issue?</w:t>
      </w:r>
    </w:p>
    <w:p w14:paraId="13101AFE" w14:textId="77777777" w:rsidR="00EB3DF5" w:rsidRPr="00A82964" w:rsidRDefault="00EB3DF5" w:rsidP="00B113FA">
      <w:pPr>
        <w:ind w:firstLine="0"/>
        <w:rPr>
          <w:rFonts w:asciiTheme="minorHAnsi" w:hAnsiTheme="minorHAnsi"/>
          <w:sz w:val="24"/>
          <w:szCs w:val="22"/>
        </w:rPr>
      </w:pPr>
    </w:p>
    <w:p w14:paraId="223D6CFA" w14:textId="77777777" w:rsidR="00B113FA" w:rsidRPr="00A82964" w:rsidRDefault="00B113FA" w:rsidP="00B113FA">
      <w:pPr>
        <w:ind w:firstLine="0"/>
        <w:rPr>
          <w:rFonts w:asciiTheme="minorHAnsi" w:hAnsiTheme="minorHAnsi"/>
        </w:rPr>
      </w:pPr>
    </w:p>
    <w:sectPr w:rsidR="00B113FA" w:rsidRPr="00A82964" w:rsidSect="00A82964">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7AF0" w14:textId="77777777" w:rsidR="003F6E63" w:rsidRDefault="003F6E63" w:rsidP="00B113FA">
      <w:pPr>
        <w:spacing w:after="0" w:line="240" w:lineRule="auto"/>
      </w:pPr>
      <w:r>
        <w:separator/>
      </w:r>
    </w:p>
  </w:endnote>
  <w:endnote w:type="continuationSeparator" w:id="0">
    <w:p w14:paraId="381BDEC9" w14:textId="77777777" w:rsidR="003F6E63" w:rsidRDefault="003F6E63" w:rsidP="00B1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7861" w14:textId="77777777" w:rsidR="00A82964" w:rsidRPr="00A04E11" w:rsidRDefault="00A82964" w:rsidP="00A82964">
    <w:pPr>
      <w:pStyle w:val="Pagenumber"/>
      <w:rPr>
        <w:rFonts w:asciiTheme="minorHAnsi" w:hAnsiTheme="minorHAnsi"/>
        <w:noProof/>
      </w:rP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Pr>
        <w:rFonts w:asciiTheme="minorHAnsi" w:hAnsiTheme="minorHAnsi"/>
      </w:rPr>
      <w:t>2</w:t>
    </w:r>
    <w:r w:rsidRPr="00A04E11">
      <w:rPr>
        <w:rFonts w:asciiTheme="minorHAnsi" w:hAnsiTheme="minorHAnsi"/>
        <w:noProof/>
      </w:rPr>
      <w:fldChar w:fldCharType="end"/>
    </w:r>
  </w:p>
  <w:p w14:paraId="0D6B4239" w14:textId="77777777" w:rsidR="00A82964" w:rsidRDefault="00A82964" w:rsidP="00A829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FCC8" w14:textId="77777777" w:rsidR="003F6E63" w:rsidRDefault="003F6E63" w:rsidP="00B113FA">
      <w:pPr>
        <w:spacing w:after="0" w:line="240" w:lineRule="auto"/>
      </w:pPr>
      <w:r>
        <w:separator/>
      </w:r>
    </w:p>
  </w:footnote>
  <w:footnote w:type="continuationSeparator" w:id="0">
    <w:p w14:paraId="50D907F9" w14:textId="77777777" w:rsidR="003F6E63" w:rsidRDefault="003F6E63" w:rsidP="00B113FA">
      <w:pPr>
        <w:spacing w:after="0" w:line="240" w:lineRule="auto"/>
      </w:pPr>
      <w:r>
        <w:continuationSeparator/>
      </w:r>
    </w:p>
  </w:footnote>
  <w:footnote w:id="1">
    <w:p w14:paraId="1F431405" w14:textId="77777777" w:rsidR="00B113FA" w:rsidRPr="00A82964" w:rsidRDefault="00B113FA" w:rsidP="00B113FA">
      <w:pPr>
        <w:pStyle w:val="FootnoteText"/>
        <w:rPr>
          <w:rFonts w:asciiTheme="minorHAnsi" w:hAnsiTheme="minorHAnsi"/>
        </w:rPr>
      </w:pPr>
      <w:r w:rsidRPr="00A82964">
        <w:rPr>
          <w:rStyle w:val="FootnoteReference"/>
          <w:rFonts w:asciiTheme="minorHAnsi" w:hAnsiTheme="minorHAnsi"/>
        </w:rPr>
        <w:t>*</w:t>
      </w:r>
      <w:r w:rsidRPr="00A82964">
        <w:rPr>
          <w:rFonts w:asciiTheme="minorHAnsi" w:hAnsiTheme="minorHAnsi"/>
        </w:rPr>
        <w:t xml:space="preserve"> Courtesy of Rebecca Tushnet &amp; Georgetown Law Library, </w:t>
      </w:r>
      <w:r w:rsidRPr="00A82964">
        <w:rPr>
          <w:rFonts w:asciiTheme="minorHAnsi" w:hAnsiTheme="minorHAnsi"/>
          <w:i/>
          <w:iCs/>
        </w:rPr>
        <w:t>Intellectual Property Teaching Resources</w:t>
      </w:r>
      <w:r w:rsidRPr="00A82964">
        <w:rPr>
          <w:rFonts w:asciiTheme="minorHAnsi" w:hAnsiTheme="minorHAnsi"/>
        </w:rPr>
        <w:t xml:space="preserv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C490" w14:textId="77777777" w:rsidR="00A82964" w:rsidRPr="00546A59" w:rsidRDefault="00A82964" w:rsidP="00A82964">
    <w:pPr>
      <w:pStyle w:val="Header10"/>
      <w:rPr>
        <w:rFonts w:asciiTheme="minorHAnsi" w:hAnsiTheme="minorHAnsi"/>
      </w:rPr>
    </w:pPr>
    <w:r w:rsidRPr="00546A59">
      <w:rPr>
        <w:rFonts w:asciiTheme="minorHAnsi" w:hAnsiTheme="minorHAnsi"/>
      </w:rPr>
      <w:t>Beebe - Trademark Law: An Open-Access Casebook</w:t>
    </w:r>
  </w:p>
  <w:p w14:paraId="123F7F1F" w14:textId="77777777" w:rsidR="00A82964" w:rsidRDefault="00A82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FA"/>
    <w:rsid w:val="000A4AD4"/>
    <w:rsid w:val="000C53B3"/>
    <w:rsid w:val="001405E0"/>
    <w:rsid w:val="003F6E63"/>
    <w:rsid w:val="005B0393"/>
    <w:rsid w:val="00A82964"/>
    <w:rsid w:val="00B113FA"/>
    <w:rsid w:val="00C632CF"/>
    <w:rsid w:val="00C712A7"/>
    <w:rsid w:val="00DC1D13"/>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F5EF"/>
  <w15:chartTrackingRefBased/>
  <w15:docId w15:val="{68F066E4-BA1F-438D-8004-7E8401C8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FA"/>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B11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1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1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1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11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113FA"/>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B11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1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1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11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11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113FA"/>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B11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3FA"/>
    <w:rPr>
      <w:rFonts w:eastAsiaTheme="majorEastAsia" w:cstheme="majorBidi"/>
      <w:color w:val="272727" w:themeColor="text1" w:themeTint="D8"/>
    </w:rPr>
  </w:style>
  <w:style w:type="paragraph" w:styleId="Title">
    <w:name w:val="Title"/>
    <w:basedOn w:val="Normal"/>
    <w:next w:val="Normal"/>
    <w:link w:val="TitleChar"/>
    <w:uiPriority w:val="10"/>
    <w:qFormat/>
    <w:rsid w:val="00B11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3FA"/>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3FA"/>
    <w:pPr>
      <w:spacing w:before="160"/>
      <w:jc w:val="center"/>
    </w:pPr>
    <w:rPr>
      <w:i/>
      <w:iCs/>
      <w:color w:val="404040" w:themeColor="text1" w:themeTint="BF"/>
    </w:rPr>
  </w:style>
  <w:style w:type="character" w:customStyle="1" w:styleId="QuoteChar">
    <w:name w:val="Quote Char"/>
    <w:basedOn w:val="DefaultParagraphFont"/>
    <w:link w:val="Quote"/>
    <w:uiPriority w:val="29"/>
    <w:rsid w:val="00B113FA"/>
    <w:rPr>
      <w:i/>
      <w:iCs/>
      <w:color w:val="404040" w:themeColor="text1" w:themeTint="BF"/>
    </w:rPr>
  </w:style>
  <w:style w:type="paragraph" w:styleId="ListParagraph">
    <w:name w:val="List Paragraph"/>
    <w:basedOn w:val="Normal"/>
    <w:uiPriority w:val="34"/>
    <w:qFormat/>
    <w:rsid w:val="00B113FA"/>
    <w:pPr>
      <w:ind w:left="720"/>
      <w:contextualSpacing/>
    </w:pPr>
  </w:style>
  <w:style w:type="character" w:styleId="IntenseEmphasis">
    <w:name w:val="Intense Emphasis"/>
    <w:basedOn w:val="DefaultParagraphFont"/>
    <w:uiPriority w:val="21"/>
    <w:qFormat/>
    <w:rsid w:val="00B113FA"/>
    <w:rPr>
      <w:i/>
      <w:iCs/>
      <w:color w:val="0F4761" w:themeColor="accent1" w:themeShade="BF"/>
    </w:rPr>
  </w:style>
  <w:style w:type="paragraph" w:styleId="IntenseQuote">
    <w:name w:val="Intense Quote"/>
    <w:basedOn w:val="Normal"/>
    <w:next w:val="Normal"/>
    <w:link w:val="IntenseQuoteChar"/>
    <w:uiPriority w:val="30"/>
    <w:qFormat/>
    <w:rsid w:val="00B11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3FA"/>
    <w:rPr>
      <w:i/>
      <w:iCs/>
      <w:color w:val="0F4761" w:themeColor="accent1" w:themeShade="BF"/>
    </w:rPr>
  </w:style>
  <w:style w:type="character" w:styleId="IntenseReference">
    <w:name w:val="Intense Reference"/>
    <w:basedOn w:val="DefaultParagraphFont"/>
    <w:uiPriority w:val="32"/>
    <w:qFormat/>
    <w:rsid w:val="00B113FA"/>
    <w:rPr>
      <w:b/>
      <w:bCs/>
      <w:smallCaps/>
      <w:color w:val="0F4761" w:themeColor="accent1" w:themeShade="BF"/>
      <w:spacing w:val="5"/>
    </w:rPr>
  </w:style>
  <w:style w:type="paragraph" w:customStyle="1" w:styleId="OpinionCitation">
    <w:name w:val="Opinion Citation"/>
    <w:basedOn w:val="Normal"/>
    <w:link w:val="OpinionCitationChar"/>
    <w:qFormat/>
    <w:rsid w:val="00B113FA"/>
    <w:pPr>
      <w:keepNext/>
      <w:spacing w:after="120"/>
      <w:ind w:firstLine="0"/>
    </w:pPr>
    <w:rPr>
      <w:b/>
    </w:rPr>
  </w:style>
  <w:style w:type="character" w:customStyle="1" w:styleId="OpinionCitationChar">
    <w:name w:val="Opinion Citation Char"/>
    <w:link w:val="OpinionCitation"/>
    <w:rsid w:val="00B113FA"/>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B113FA"/>
    <w:pPr>
      <w:ind w:left="576" w:right="576" w:firstLine="0"/>
    </w:pPr>
  </w:style>
  <w:style w:type="character" w:customStyle="1" w:styleId="BlockquoteChar">
    <w:name w:val="Blockquote Char"/>
    <w:link w:val="Blockquote"/>
    <w:rsid w:val="00B113FA"/>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B113FA"/>
    <w:rPr>
      <w:sz w:val="20"/>
    </w:rPr>
  </w:style>
  <w:style w:type="character" w:customStyle="1" w:styleId="FootnoteTextChar">
    <w:name w:val="Footnote Text Char"/>
    <w:basedOn w:val="DefaultParagraphFont"/>
    <w:link w:val="FootnoteText"/>
    <w:uiPriority w:val="99"/>
    <w:rsid w:val="00B113FA"/>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B113FA"/>
    <w:rPr>
      <w:vertAlign w:val="superscript"/>
    </w:rPr>
  </w:style>
  <w:style w:type="paragraph" w:styleId="BalloonText">
    <w:name w:val="Balloon Text"/>
    <w:basedOn w:val="Normal"/>
    <w:link w:val="BalloonTextChar"/>
    <w:uiPriority w:val="99"/>
    <w:semiHidden/>
    <w:unhideWhenUsed/>
    <w:rsid w:val="00B113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FA"/>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B113FA"/>
    <w:pPr>
      <w:ind w:firstLine="0"/>
    </w:pPr>
  </w:style>
  <w:style w:type="character" w:customStyle="1" w:styleId="NormalNoIndentChar">
    <w:name w:val="Normal No Indent Char"/>
    <w:link w:val="NormalNoIndent"/>
    <w:rsid w:val="00B113FA"/>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B113FA"/>
    <w:pPr>
      <w:tabs>
        <w:tab w:val="center" w:pos="4680"/>
        <w:tab w:val="right" w:pos="9360"/>
      </w:tabs>
    </w:pPr>
  </w:style>
  <w:style w:type="character" w:customStyle="1" w:styleId="HeaderChar">
    <w:name w:val="Header Char"/>
    <w:basedOn w:val="DefaultParagraphFont"/>
    <w:link w:val="Header"/>
    <w:uiPriority w:val="99"/>
    <w:rsid w:val="00B113FA"/>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B113FA"/>
    <w:pPr>
      <w:tabs>
        <w:tab w:val="center" w:pos="4680"/>
        <w:tab w:val="right" w:pos="9360"/>
      </w:tabs>
    </w:pPr>
  </w:style>
  <w:style w:type="character" w:customStyle="1" w:styleId="FooterChar">
    <w:name w:val="Footer Char"/>
    <w:basedOn w:val="DefaultParagraphFont"/>
    <w:link w:val="Footer"/>
    <w:uiPriority w:val="99"/>
    <w:rsid w:val="00B113FA"/>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B113FA"/>
    <w:pPr>
      <w:keepNext/>
      <w:spacing w:before="120" w:after="120"/>
      <w:ind w:firstLine="0"/>
      <w:jc w:val="center"/>
    </w:pPr>
    <w:rPr>
      <w:b/>
    </w:rPr>
  </w:style>
  <w:style w:type="character" w:customStyle="1" w:styleId="CommentsandQuestionsChar">
    <w:name w:val="Comments and Questions Char"/>
    <w:link w:val="CommentsandQuestions"/>
    <w:rsid w:val="00B113FA"/>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B113FA"/>
    <w:pPr>
      <w:numPr>
        <w:numId w:val="3"/>
      </w:numPr>
      <w:contextualSpacing/>
    </w:pPr>
  </w:style>
  <w:style w:type="paragraph" w:customStyle="1" w:styleId="Dashbreak">
    <w:name w:val="Dash break"/>
    <w:basedOn w:val="NormalNoIndent"/>
    <w:link w:val="DashbreakChar"/>
    <w:qFormat/>
    <w:rsid w:val="00B113FA"/>
    <w:pPr>
      <w:spacing w:before="240" w:after="240"/>
      <w:jc w:val="center"/>
    </w:pPr>
  </w:style>
  <w:style w:type="character" w:customStyle="1" w:styleId="DashbreakChar">
    <w:name w:val="Dash break Char"/>
    <w:basedOn w:val="NormalNoIndentChar"/>
    <w:link w:val="Dashbreak"/>
    <w:rsid w:val="00B113FA"/>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B113FA"/>
    <w:pPr>
      <w:spacing w:after="120"/>
    </w:pPr>
  </w:style>
  <w:style w:type="character" w:customStyle="1" w:styleId="BodyTextChar">
    <w:name w:val="Body Text Char"/>
    <w:basedOn w:val="DefaultParagraphFont"/>
    <w:link w:val="BodyText"/>
    <w:uiPriority w:val="99"/>
    <w:semiHidden/>
    <w:rsid w:val="00B113FA"/>
    <w:rPr>
      <w:rFonts w:ascii="Cambria" w:eastAsia="Calibri" w:hAnsi="Cambria" w:cs="Times New Roman"/>
      <w:kern w:val="0"/>
      <w:sz w:val="22"/>
      <w:szCs w:val="20"/>
      <w14:ligatures w14:val="none"/>
    </w:rPr>
  </w:style>
  <w:style w:type="paragraph" w:customStyle="1" w:styleId="ReferenceLine">
    <w:name w:val="Reference Line"/>
    <w:basedOn w:val="BodyText"/>
    <w:rsid w:val="00B113FA"/>
  </w:style>
  <w:style w:type="character" w:styleId="Hyperlink">
    <w:name w:val="Hyperlink"/>
    <w:uiPriority w:val="99"/>
    <w:unhideWhenUsed/>
    <w:rsid w:val="00B113FA"/>
    <w:rPr>
      <w:color w:val="0000FF"/>
      <w:u w:val="single"/>
    </w:rPr>
  </w:style>
  <w:style w:type="paragraph" w:styleId="EndnoteText">
    <w:name w:val="endnote text"/>
    <w:basedOn w:val="Normal"/>
    <w:link w:val="EndnoteTextChar"/>
    <w:uiPriority w:val="99"/>
    <w:semiHidden/>
    <w:unhideWhenUsed/>
    <w:rsid w:val="00B113FA"/>
  </w:style>
  <w:style w:type="character" w:customStyle="1" w:styleId="EndnoteTextChar">
    <w:name w:val="Endnote Text Char"/>
    <w:basedOn w:val="DefaultParagraphFont"/>
    <w:link w:val="EndnoteText"/>
    <w:uiPriority w:val="99"/>
    <w:semiHidden/>
    <w:rsid w:val="00B113FA"/>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B113FA"/>
    <w:rPr>
      <w:vertAlign w:val="superscript"/>
    </w:rPr>
  </w:style>
  <w:style w:type="paragraph" w:styleId="TOCHeading">
    <w:name w:val="TOC Heading"/>
    <w:basedOn w:val="Heading1"/>
    <w:next w:val="Normal"/>
    <w:uiPriority w:val="39"/>
    <w:semiHidden/>
    <w:unhideWhenUsed/>
    <w:qFormat/>
    <w:rsid w:val="00B113FA"/>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B113FA"/>
    <w:pPr>
      <w:tabs>
        <w:tab w:val="right" w:leader="dot" w:pos="8784"/>
      </w:tabs>
      <w:ind w:left="270" w:hanging="270"/>
      <w:jc w:val="center"/>
    </w:pPr>
  </w:style>
  <w:style w:type="paragraph" w:styleId="TOC2">
    <w:name w:val="toc 2"/>
    <w:basedOn w:val="Normal"/>
    <w:next w:val="Normal"/>
    <w:autoRedefine/>
    <w:uiPriority w:val="39"/>
    <w:unhideWhenUsed/>
    <w:rsid w:val="00B113FA"/>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B113FA"/>
    <w:pPr>
      <w:tabs>
        <w:tab w:val="right" w:leader="dot" w:pos="8784"/>
      </w:tabs>
      <w:ind w:left="810" w:hanging="270"/>
    </w:pPr>
  </w:style>
  <w:style w:type="paragraph" w:styleId="TOC4">
    <w:name w:val="toc 4"/>
    <w:basedOn w:val="Normal"/>
    <w:next w:val="Normal"/>
    <w:autoRedefine/>
    <w:uiPriority w:val="39"/>
    <w:unhideWhenUsed/>
    <w:rsid w:val="00B113FA"/>
    <w:pPr>
      <w:tabs>
        <w:tab w:val="right" w:leader="dot" w:pos="8784"/>
      </w:tabs>
      <w:ind w:left="1080" w:hanging="270"/>
    </w:pPr>
  </w:style>
  <w:style w:type="paragraph" w:styleId="TOC5">
    <w:name w:val="toc 5"/>
    <w:basedOn w:val="Normal"/>
    <w:next w:val="Normal"/>
    <w:autoRedefine/>
    <w:uiPriority w:val="39"/>
    <w:unhideWhenUsed/>
    <w:rsid w:val="00B113FA"/>
    <w:pPr>
      <w:tabs>
        <w:tab w:val="right" w:leader="dot" w:pos="8784"/>
      </w:tabs>
      <w:ind w:left="1350" w:hanging="270"/>
    </w:pPr>
  </w:style>
  <w:style w:type="paragraph" w:styleId="TOC6">
    <w:name w:val="toc 6"/>
    <w:basedOn w:val="Normal"/>
    <w:next w:val="Normal"/>
    <w:autoRedefine/>
    <w:uiPriority w:val="39"/>
    <w:unhideWhenUsed/>
    <w:rsid w:val="00B113FA"/>
    <w:pPr>
      <w:tabs>
        <w:tab w:val="left" w:pos="1710"/>
        <w:tab w:val="right" w:leader="dot" w:pos="8784"/>
      </w:tabs>
      <w:ind w:left="1710" w:hanging="360"/>
    </w:pPr>
  </w:style>
  <w:style w:type="character" w:styleId="LineNumber">
    <w:name w:val="line number"/>
    <w:uiPriority w:val="99"/>
    <w:semiHidden/>
    <w:unhideWhenUsed/>
    <w:rsid w:val="00B113FA"/>
  </w:style>
  <w:style w:type="paragraph" w:customStyle="1" w:styleId="FootNote">
    <w:name w:val="_FootNote"/>
    <w:basedOn w:val="Normal"/>
    <w:link w:val="FootNoteChar"/>
    <w:rsid w:val="00B113FA"/>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B113FA"/>
    <w:rPr>
      <w:rFonts w:ascii="NewCenturySchlbk" w:eastAsia="Times New Roman" w:hAnsi="NewCenturySchlbk" w:cs="Times New Roman"/>
      <w:kern w:val="0"/>
      <w:sz w:val="16"/>
      <w14:ligatures w14:val="none"/>
    </w:rPr>
  </w:style>
  <w:style w:type="character" w:customStyle="1" w:styleId="NoterefInNote">
    <w:name w:val="_NoterefInNote"/>
    <w:rsid w:val="00B113FA"/>
    <w:rPr>
      <w:rFonts w:ascii="NewCenturySchlbk" w:hAnsi="NewCenturySchlbk" w:hint="default"/>
      <w:sz w:val="16"/>
      <w:vertAlign w:val="baseline"/>
    </w:rPr>
  </w:style>
  <w:style w:type="paragraph" w:customStyle="1" w:styleId="Centered">
    <w:name w:val="Centered"/>
    <w:basedOn w:val="Normal"/>
    <w:link w:val="CenteredChar"/>
    <w:qFormat/>
    <w:rsid w:val="00B113FA"/>
    <w:pPr>
      <w:ind w:firstLine="0"/>
      <w:jc w:val="center"/>
    </w:pPr>
    <w:rPr>
      <w:i/>
      <w:iCs/>
    </w:rPr>
  </w:style>
  <w:style w:type="character" w:customStyle="1" w:styleId="CenteredChar">
    <w:name w:val="Centered Char"/>
    <w:link w:val="Centered"/>
    <w:rsid w:val="00B113FA"/>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B113FA"/>
    <w:rPr>
      <w:i/>
    </w:rPr>
  </w:style>
  <w:style w:type="character" w:customStyle="1" w:styleId="OpinionheadingChar">
    <w:name w:val="Opinion heading Char"/>
    <w:link w:val="Opinionheading"/>
    <w:rsid w:val="00B113FA"/>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B113FA"/>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B113FA"/>
    <w:pPr>
      <w:tabs>
        <w:tab w:val="right" w:leader="dot" w:pos="8784"/>
      </w:tabs>
      <w:ind w:left="1710" w:firstLine="0"/>
    </w:pPr>
    <w:rPr>
      <w:i/>
    </w:rPr>
  </w:style>
  <w:style w:type="paragraph" w:styleId="TOC9">
    <w:name w:val="toc 9"/>
    <w:basedOn w:val="Normal"/>
    <w:next w:val="Normal"/>
    <w:autoRedefine/>
    <w:uiPriority w:val="39"/>
    <w:unhideWhenUsed/>
    <w:rsid w:val="00B113FA"/>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B113FA"/>
    <w:pPr>
      <w:ind w:firstLine="432"/>
    </w:pPr>
  </w:style>
  <w:style w:type="character" w:customStyle="1" w:styleId="BlockquoteindentChar">
    <w:name w:val="Blockquote indent Char"/>
    <w:basedOn w:val="BlockquoteChar"/>
    <w:link w:val="Blockquoteindent"/>
    <w:rsid w:val="00B113FA"/>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B113FA"/>
    <w:pPr>
      <w:jc w:val="center"/>
    </w:pPr>
  </w:style>
  <w:style w:type="character" w:customStyle="1" w:styleId="Normal-CenteredChar">
    <w:name w:val="*Normal-Centered Char"/>
    <w:basedOn w:val="NormalNoIndentChar"/>
    <w:link w:val="Normal-Centered"/>
    <w:rsid w:val="00B113FA"/>
    <w:rPr>
      <w:rFonts w:ascii="Cambria" w:eastAsia="Calibri" w:hAnsi="Cambria" w:cs="Times New Roman"/>
      <w:kern w:val="0"/>
      <w:sz w:val="22"/>
      <w:szCs w:val="20"/>
      <w14:ligatures w14:val="none"/>
    </w:rPr>
  </w:style>
  <w:style w:type="character" w:styleId="Emphasis">
    <w:name w:val="Emphasis"/>
    <w:uiPriority w:val="20"/>
    <w:qFormat/>
    <w:rsid w:val="00B113FA"/>
    <w:rPr>
      <w:i/>
      <w:iCs/>
    </w:rPr>
  </w:style>
  <w:style w:type="character" w:customStyle="1" w:styleId="cosearchterm">
    <w:name w:val="co_searchterm"/>
    <w:rsid w:val="00B113FA"/>
  </w:style>
  <w:style w:type="paragraph" w:customStyle="1" w:styleId="CommentsandQuestions0">
    <w:name w:val="CommentsandQuestions"/>
    <w:basedOn w:val="Normal-Centered"/>
    <w:rsid w:val="00B113FA"/>
    <w:rPr>
      <w:b/>
    </w:rPr>
  </w:style>
  <w:style w:type="character" w:styleId="FollowedHyperlink">
    <w:name w:val="FollowedHyperlink"/>
    <w:uiPriority w:val="99"/>
    <w:semiHidden/>
    <w:unhideWhenUsed/>
    <w:rsid w:val="00B113FA"/>
    <w:rPr>
      <w:color w:val="954F72"/>
      <w:u w:val="single"/>
    </w:rPr>
  </w:style>
  <w:style w:type="paragraph" w:customStyle="1" w:styleId="Dashedline">
    <w:name w:val="Dashed line"/>
    <w:basedOn w:val="CommentsandQuestions"/>
    <w:qFormat/>
    <w:rsid w:val="00B113FA"/>
    <w:pPr>
      <w:spacing w:after="240"/>
    </w:pPr>
  </w:style>
  <w:style w:type="character" w:styleId="CommentReference">
    <w:name w:val="annotation reference"/>
    <w:semiHidden/>
    <w:rsid w:val="00B113FA"/>
    <w:rPr>
      <w:sz w:val="16"/>
      <w:szCs w:val="16"/>
    </w:rPr>
  </w:style>
  <w:style w:type="paragraph" w:styleId="CommentText">
    <w:name w:val="annotation text"/>
    <w:basedOn w:val="Normal"/>
    <w:link w:val="CommentTextChar"/>
    <w:semiHidden/>
    <w:rsid w:val="00B113FA"/>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B113FA"/>
    <w:rPr>
      <w:rFonts w:ascii="Times New Roman" w:eastAsia="Times New Roman" w:hAnsi="Times New Roman" w:cs="Times New Roman"/>
      <w:kern w:val="0"/>
      <w:sz w:val="22"/>
      <w:szCs w:val="20"/>
      <w14:ligatures w14:val="none"/>
    </w:rPr>
  </w:style>
  <w:style w:type="character" w:customStyle="1" w:styleId="ptext-">
    <w:name w:val="ptext-"/>
    <w:rsid w:val="00B113FA"/>
  </w:style>
  <w:style w:type="paragraph" w:customStyle="1" w:styleId="NormalCentered">
    <w:name w:val="NormalCentered"/>
    <w:basedOn w:val="Normal"/>
    <w:link w:val="NormalCenteredChar"/>
    <w:qFormat/>
    <w:rsid w:val="00B113FA"/>
    <w:pPr>
      <w:ind w:firstLine="0"/>
      <w:jc w:val="center"/>
    </w:pPr>
  </w:style>
  <w:style w:type="character" w:customStyle="1" w:styleId="NormalCenteredChar">
    <w:name w:val="NormalCentered Char"/>
    <w:link w:val="NormalCentered"/>
    <w:rsid w:val="00B113FA"/>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B113FA"/>
    <w:pPr>
      <w:ind w:hanging="36"/>
    </w:pPr>
  </w:style>
  <w:style w:type="paragraph" w:customStyle="1" w:styleId="NormCntrItal">
    <w:name w:val="NormCntrItal"/>
    <w:basedOn w:val="NormalCentered"/>
    <w:qFormat/>
    <w:rsid w:val="00B113FA"/>
    <w:pPr>
      <w:keepNext/>
      <w:keepLines/>
    </w:pPr>
    <w:rPr>
      <w:i/>
      <w:szCs w:val="22"/>
    </w:rPr>
  </w:style>
  <w:style w:type="character" w:customStyle="1" w:styleId="ssrfcpassagedeactivated">
    <w:name w:val="ss_rfcpassage_deactivated"/>
    <w:rsid w:val="00B113FA"/>
  </w:style>
  <w:style w:type="character" w:customStyle="1" w:styleId="costarpage">
    <w:name w:val="co_starpage"/>
    <w:rsid w:val="00B113FA"/>
  </w:style>
  <w:style w:type="paragraph" w:customStyle="1" w:styleId="CenteredBold">
    <w:name w:val="Centered Bold"/>
    <w:basedOn w:val="Centered"/>
    <w:link w:val="CenteredBoldChar"/>
    <w:qFormat/>
    <w:rsid w:val="00B113FA"/>
    <w:rPr>
      <w:b/>
      <w:i w:val="0"/>
    </w:rPr>
  </w:style>
  <w:style w:type="character" w:customStyle="1" w:styleId="CenteredBoldChar">
    <w:name w:val="Centered Bold Char"/>
    <w:link w:val="CenteredBold"/>
    <w:rsid w:val="00B113FA"/>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B113FA"/>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B113FA"/>
    <w:rPr>
      <w:rFonts w:ascii="Cambria" w:eastAsia="Calibri" w:hAnsi="Cambria" w:cs="Times New Roman"/>
      <w:b/>
      <w:bCs/>
      <w:kern w:val="0"/>
      <w:sz w:val="22"/>
      <w:szCs w:val="20"/>
      <w14:ligatures w14:val="none"/>
    </w:rPr>
  </w:style>
  <w:style w:type="paragraph" w:styleId="Revision">
    <w:name w:val="Revision"/>
    <w:hidden/>
    <w:uiPriority w:val="99"/>
    <w:semiHidden/>
    <w:rsid w:val="00B113FA"/>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B113FA"/>
    <w:pPr>
      <w:ind w:firstLine="0"/>
      <w:jc w:val="center"/>
    </w:pPr>
    <w:rPr>
      <w:noProof/>
    </w:rPr>
  </w:style>
  <w:style w:type="character" w:customStyle="1" w:styleId="cosearchdetaillevel1">
    <w:name w:val="co_search_detaillevel_1"/>
    <w:rsid w:val="00B113FA"/>
  </w:style>
  <w:style w:type="table" w:styleId="TableGrid">
    <w:name w:val="Table Grid"/>
    <w:basedOn w:val="TableNormal"/>
    <w:uiPriority w:val="59"/>
    <w:rsid w:val="00B113FA"/>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B113FA"/>
    <w:pPr>
      <w:ind w:firstLine="432"/>
    </w:pPr>
  </w:style>
  <w:style w:type="paragraph" w:customStyle="1" w:styleId="doubleblockquote">
    <w:name w:val="doubleblockquote"/>
    <w:basedOn w:val="Blockquoteindent"/>
    <w:qFormat/>
    <w:rsid w:val="00B113FA"/>
    <w:pPr>
      <w:ind w:left="1008" w:right="1008"/>
    </w:pPr>
  </w:style>
  <w:style w:type="paragraph" w:customStyle="1" w:styleId="CntrdNoItal">
    <w:name w:val="CntrdNoItal"/>
    <w:basedOn w:val="Centered"/>
    <w:qFormat/>
    <w:rsid w:val="00B113FA"/>
    <w:rPr>
      <w:i w:val="0"/>
    </w:rPr>
  </w:style>
  <w:style w:type="paragraph" w:customStyle="1" w:styleId="NoIndentItalics">
    <w:name w:val="NoIndentItalics"/>
    <w:basedOn w:val="NormalNoIndent"/>
    <w:qFormat/>
    <w:rsid w:val="00B113FA"/>
    <w:rPr>
      <w:i/>
      <w:iCs/>
    </w:rPr>
  </w:style>
  <w:style w:type="paragraph" w:customStyle="1" w:styleId="HalfBlock">
    <w:name w:val="HalfBlock"/>
    <w:basedOn w:val="NormalNoIndent"/>
    <w:qFormat/>
    <w:rsid w:val="00B113FA"/>
    <w:pPr>
      <w:ind w:left="432"/>
    </w:pPr>
  </w:style>
  <w:style w:type="character" w:customStyle="1" w:styleId="ssleftalign">
    <w:name w:val="ss_leftalign"/>
    <w:rsid w:val="00B113FA"/>
  </w:style>
  <w:style w:type="character" w:customStyle="1" w:styleId="UnresolvedMention1">
    <w:name w:val="Unresolved Mention1"/>
    <w:uiPriority w:val="99"/>
    <w:semiHidden/>
    <w:unhideWhenUsed/>
    <w:rsid w:val="00B113FA"/>
    <w:rPr>
      <w:color w:val="605E5C"/>
      <w:shd w:val="clear" w:color="auto" w:fill="E1DFDD"/>
    </w:rPr>
  </w:style>
  <w:style w:type="paragraph" w:customStyle="1" w:styleId="Footer-V-Date">
    <w:name w:val="Footer-V-Date"/>
    <w:basedOn w:val="NormalNoIndent"/>
    <w:link w:val="Footer-V-DateChar"/>
    <w:qFormat/>
    <w:rsid w:val="00B113FA"/>
    <w:rPr>
      <w:sz w:val="16"/>
      <w:szCs w:val="16"/>
    </w:rPr>
  </w:style>
  <w:style w:type="paragraph" w:customStyle="1" w:styleId="DoubleBlockQuote0">
    <w:name w:val="DoubleBlockQuote"/>
    <w:basedOn w:val="Blockquoteindent"/>
    <w:link w:val="DoubleBlockQuoteChar"/>
    <w:qFormat/>
    <w:rsid w:val="00B113FA"/>
    <w:pPr>
      <w:ind w:left="1152" w:right="1152" w:firstLine="0"/>
    </w:pPr>
  </w:style>
  <w:style w:type="character" w:customStyle="1" w:styleId="Footer-V-DateChar">
    <w:name w:val="Footer-V-Date Char"/>
    <w:link w:val="Footer-V-Date"/>
    <w:rsid w:val="00B113FA"/>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B113FA"/>
    <w:pPr>
      <w:ind w:left="1008" w:firstLine="0"/>
    </w:pPr>
  </w:style>
  <w:style w:type="character" w:customStyle="1" w:styleId="DoubleBlockQuoteChar">
    <w:name w:val="DoubleBlockQuote Char"/>
    <w:basedOn w:val="BlockquoteindentChar"/>
    <w:link w:val="DoubleBlockQuote0"/>
    <w:rsid w:val="00B113FA"/>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B113FA"/>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B113FA"/>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B113FA"/>
    <w:pPr>
      <w:ind w:left="1350" w:hanging="774"/>
    </w:pPr>
  </w:style>
  <w:style w:type="character" w:customStyle="1" w:styleId="TimeProgressionChar">
    <w:name w:val="TimeProgression Char"/>
    <w:basedOn w:val="BlockquoteChar"/>
    <w:link w:val="TimeProgression"/>
    <w:rsid w:val="00B113FA"/>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B113FA"/>
    <w:rPr>
      <w:sz w:val="20"/>
    </w:rPr>
  </w:style>
  <w:style w:type="character" w:customStyle="1" w:styleId="PagenumberChar">
    <w:name w:val="Pagenumber Char"/>
    <w:basedOn w:val="Normal-CenteredChar"/>
    <w:link w:val="Pagenumber"/>
    <w:rsid w:val="00B113FA"/>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B113FA"/>
    <w:rPr>
      <w:sz w:val="20"/>
    </w:rPr>
  </w:style>
  <w:style w:type="character" w:customStyle="1" w:styleId="Header10Char">
    <w:name w:val="Header10 Char"/>
    <w:basedOn w:val="CenteredChar"/>
    <w:link w:val="Header10"/>
    <w:rsid w:val="00B113FA"/>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B11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1588</Words>
  <Characters>9056</Characters>
  <Application>Microsoft Office Word</Application>
  <DocSecurity>0</DocSecurity>
  <Lines>75</Lines>
  <Paragraphs>21</Paragraphs>
  <ScaleCrop>false</ScaleCrop>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2025-07-21T21:14:00Z</dcterms:created>
  <dcterms:modified xsi:type="dcterms:W3CDTF">2025-07-24T15:24:00Z</dcterms:modified>
</cp:coreProperties>
</file>