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0B29" w14:textId="77777777" w:rsidR="00C037C9" w:rsidRDefault="00C037C9" w:rsidP="00C037C9">
      <w:pPr>
        <w:pStyle w:val="NormalCentered"/>
        <w:rPr>
          <w:sz w:val="44"/>
          <w:szCs w:val="44"/>
        </w:rPr>
      </w:pPr>
    </w:p>
    <w:p w14:paraId="5FD4567C" w14:textId="388A6734" w:rsidR="00C037C9" w:rsidRPr="00FE3822" w:rsidRDefault="00C037C9" w:rsidP="00C037C9">
      <w:pPr>
        <w:pStyle w:val="NormalCentered"/>
        <w:rPr>
          <w:sz w:val="44"/>
          <w:szCs w:val="44"/>
        </w:rPr>
      </w:pPr>
      <w:r w:rsidRPr="00FE3822">
        <w:rPr>
          <w:sz w:val="44"/>
          <w:szCs w:val="44"/>
        </w:rPr>
        <w:t>An Open-Access Casebook</w:t>
      </w:r>
    </w:p>
    <w:p w14:paraId="7006C0D0" w14:textId="77777777" w:rsidR="00C037C9" w:rsidRDefault="00C037C9" w:rsidP="00C037C9">
      <w:pPr>
        <w:pStyle w:val="NormalCentered"/>
      </w:pPr>
    </w:p>
    <w:p w14:paraId="4E1FEFBC" w14:textId="77777777" w:rsidR="00C037C9" w:rsidRDefault="00C037C9" w:rsidP="00C037C9">
      <w:pPr>
        <w:pStyle w:val="NormalCentered"/>
        <w:rPr>
          <w:sz w:val="32"/>
          <w:szCs w:val="32"/>
        </w:rPr>
      </w:pPr>
    </w:p>
    <w:p w14:paraId="3A3CE905" w14:textId="77777777" w:rsidR="00C037C9" w:rsidRPr="00566252" w:rsidRDefault="00C037C9" w:rsidP="00C037C9">
      <w:pPr>
        <w:pStyle w:val="NormalCentered"/>
        <w:rPr>
          <w:caps/>
          <w:sz w:val="32"/>
          <w:szCs w:val="32"/>
        </w:rPr>
      </w:pPr>
    </w:p>
    <w:p w14:paraId="4DC449F8" w14:textId="77777777" w:rsidR="00C037C9" w:rsidRPr="000B428E" w:rsidRDefault="00C037C9" w:rsidP="00C037C9">
      <w:pPr>
        <w:pStyle w:val="NormalCentered"/>
        <w:rPr>
          <w:sz w:val="28"/>
          <w:szCs w:val="28"/>
          <w:lang w:val="de-DE"/>
        </w:rPr>
      </w:pPr>
      <w:r w:rsidRPr="000B428E">
        <w:rPr>
          <w:sz w:val="28"/>
          <w:szCs w:val="28"/>
          <w:lang w:val="de-DE"/>
        </w:rPr>
        <w:t>Version 12 (2025)</w:t>
      </w:r>
    </w:p>
    <w:p w14:paraId="7E56912C" w14:textId="77777777" w:rsidR="00C037C9" w:rsidRPr="000B428E" w:rsidRDefault="00C037C9" w:rsidP="00C037C9">
      <w:pPr>
        <w:pStyle w:val="NormalCentered"/>
        <w:rPr>
          <w:sz w:val="28"/>
          <w:szCs w:val="28"/>
          <w:lang w:val="de-DE"/>
        </w:rPr>
      </w:pPr>
      <w:r w:rsidRPr="000B428E">
        <w:rPr>
          <w:sz w:val="28"/>
          <w:szCs w:val="28"/>
          <w:lang w:val="de-DE"/>
        </w:rPr>
        <w:t>Digital Edition</w:t>
      </w:r>
    </w:p>
    <w:p w14:paraId="5A0C3C45" w14:textId="77777777" w:rsidR="00C037C9" w:rsidRPr="000B428E" w:rsidRDefault="00C037C9" w:rsidP="00C037C9">
      <w:pPr>
        <w:pStyle w:val="NormalCentered"/>
        <w:rPr>
          <w:sz w:val="28"/>
          <w:szCs w:val="28"/>
          <w:lang w:val="de-DE"/>
        </w:rPr>
      </w:pPr>
      <w:r w:rsidRPr="000B428E">
        <w:rPr>
          <w:sz w:val="28"/>
          <w:szCs w:val="28"/>
          <w:lang w:val="de-DE"/>
        </w:rPr>
        <w:t>www.tmcasebook.org</w:t>
      </w:r>
    </w:p>
    <w:p w14:paraId="22710380" w14:textId="77777777" w:rsidR="00C037C9" w:rsidRDefault="00C037C9" w:rsidP="00C037C9">
      <w:pPr>
        <w:pStyle w:val="NormalCentered"/>
        <w:rPr>
          <w:sz w:val="32"/>
          <w:szCs w:val="32"/>
          <w:lang w:val="de-DE"/>
        </w:rPr>
      </w:pPr>
    </w:p>
    <w:p w14:paraId="64A01692" w14:textId="77777777" w:rsidR="00C037C9" w:rsidRDefault="00C037C9" w:rsidP="00C037C9">
      <w:pPr>
        <w:pStyle w:val="NormalCentered"/>
        <w:rPr>
          <w:sz w:val="32"/>
          <w:szCs w:val="32"/>
          <w:lang w:val="de-DE"/>
        </w:rPr>
      </w:pPr>
    </w:p>
    <w:p w14:paraId="6C8ECD68" w14:textId="77777777" w:rsidR="00C037C9" w:rsidRPr="0065729C" w:rsidRDefault="00C037C9" w:rsidP="00C037C9">
      <w:pPr>
        <w:pStyle w:val="NormalCentered"/>
        <w:rPr>
          <w:sz w:val="32"/>
          <w:szCs w:val="32"/>
          <w:lang w:val="de-DE"/>
        </w:rPr>
      </w:pPr>
    </w:p>
    <w:p w14:paraId="3D6AFDFA" w14:textId="77777777" w:rsidR="00C037C9" w:rsidRPr="0065729C" w:rsidRDefault="00C037C9" w:rsidP="00C037C9">
      <w:pPr>
        <w:pStyle w:val="NormalCentered"/>
        <w:rPr>
          <w:sz w:val="32"/>
          <w:szCs w:val="32"/>
          <w:lang w:val="de-DE"/>
        </w:rPr>
      </w:pPr>
    </w:p>
    <w:p w14:paraId="4C9E2893" w14:textId="77777777" w:rsidR="00C037C9" w:rsidRPr="000B428E" w:rsidRDefault="00C037C9" w:rsidP="00C037C9">
      <w:pPr>
        <w:pStyle w:val="NormalCentered"/>
        <w:rPr>
          <w:sz w:val="28"/>
          <w:szCs w:val="28"/>
        </w:rPr>
      </w:pPr>
      <w:r w:rsidRPr="000B428E">
        <w:rPr>
          <w:sz w:val="28"/>
          <w:szCs w:val="28"/>
        </w:rPr>
        <w:t>Barton Beebe</w:t>
      </w:r>
    </w:p>
    <w:p w14:paraId="6A87778D" w14:textId="77777777" w:rsidR="00C037C9" w:rsidRPr="000B428E" w:rsidRDefault="00C037C9" w:rsidP="00C037C9">
      <w:pPr>
        <w:pStyle w:val="NormalCentered"/>
        <w:rPr>
          <w:sz w:val="28"/>
          <w:szCs w:val="28"/>
        </w:rPr>
      </w:pPr>
      <w:r w:rsidRPr="000B428E">
        <w:rPr>
          <w:sz w:val="28"/>
          <w:szCs w:val="28"/>
        </w:rPr>
        <w:t>John M. Desmarais Professor of Intellectual Property Law</w:t>
      </w:r>
    </w:p>
    <w:p w14:paraId="6A02487E" w14:textId="77777777" w:rsidR="00C037C9" w:rsidRPr="0065729C" w:rsidRDefault="00C037C9" w:rsidP="00C037C9">
      <w:pPr>
        <w:pStyle w:val="NormalCentered"/>
        <w:rPr>
          <w:sz w:val="32"/>
          <w:szCs w:val="32"/>
        </w:rPr>
      </w:pPr>
      <w:r w:rsidRPr="000B428E">
        <w:rPr>
          <w:sz w:val="28"/>
          <w:szCs w:val="28"/>
        </w:rPr>
        <w:t>New York University School of Law</w:t>
      </w:r>
    </w:p>
    <w:p w14:paraId="74A3F5AB" w14:textId="77777777" w:rsidR="00C037C9" w:rsidRDefault="00C037C9" w:rsidP="00C037C9">
      <w:pPr>
        <w:pStyle w:val="TOC1"/>
      </w:pPr>
    </w:p>
    <w:p w14:paraId="5114908A" w14:textId="77777777" w:rsidR="00C037C9" w:rsidRDefault="00C037C9" w:rsidP="00C037C9"/>
    <w:p w14:paraId="1CF9DBDF" w14:textId="77777777" w:rsidR="00C037C9" w:rsidRDefault="00C037C9" w:rsidP="00C037C9"/>
    <w:p w14:paraId="3874B668" w14:textId="77777777" w:rsidR="00C037C9" w:rsidRPr="00ED0B13" w:rsidRDefault="00C037C9" w:rsidP="00C037C9"/>
    <w:p w14:paraId="708676B1" w14:textId="77777777" w:rsidR="00C037C9" w:rsidRPr="00ED0B13" w:rsidRDefault="00C037C9" w:rsidP="00C037C9"/>
    <w:p w14:paraId="71844601" w14:textId="77777777" w:rsidR="00C037C9" w:rsidRPr="00ED0B13" w:rsidRDefault="00C037C9" w:rsidP="00C037C9">
      <w:pPr>
        <w:pStyle w:val="TOC1"/>
      </w:pPr>
    </w:p>
    <w:p w14:paraId="7A7E8F2B" w14:textId="77777777" w:rsidR="00C037C9" w:rsidRDefault="00C037C9" w:rsidP="00C037C9">
      <w:pPr>
        <w:pStyle w:val="TOC1"/>
      </w:pPr>
      <w:r w:rsidRPr="00ED0B13">
        <w:t>This work is licensed under a Creative Commons Attribution-</w:t>
      </w:r>
      <w:proofErr w:type="spellStart"/>
      <w:r w:rsidRPr="00ED0B13">
        <w:t>NonCommercial</w:t>
      </w:r>
      <w:proofErr w:type="spellEnd"/>
      <w:r w:rsidRPr="00ED0B13">
        <w:t>-</w:t>
      </w:r>
    </w:p>
    <w:p w14:paraId="644759BB" w14:textId="77777777" w:rsidR="00C037C9" w:rsidRPr="00ED0B13" w:rsidRDefault="00C037C9" w:rsidP="00C037C9">
      <w:pPr>
        <w:pStyle w:val="TOC1"/>
      </w:pPr>
      <w:proofErr w:type="spellStart"/>
      <w:r w:rsidRPr="00ED0B13">
        <w:t>ShareAlike</w:t>
      </w:r>
      <w:proofErr w:type="spellEnd"/>
      <w:r w:rsidRPr="00ED0B13">
        <w:t xml:space="preserve"> 4.0 International License.</w:t>
      </w:r>
    </w:p>
    <w:p w14:paraId="17F9A8FB" w14:textId="204A578B" w:rsidR="00C037C9" w:rsidRDefault="00C037C9" w:rsidP="00C037C9">
      <w:pPr>
        <w:spacing w:after="160" w:line="278" w:lineRule="auto"/>
        <w:ind w:firstLine="0"/>
        <w:jc w:val="center"/>
        <w:rPr>
          <w:rFonts w:asciiTheme="majorHAnsi" w:eastAsiaTheme="majorEastAsia" w:hAnsiTheme="majorHAnsi" w:cstheme="majorBidi"/>
          <w:color w:val="0F4761" w:themeColor="accent1" w:themeShade="BF"/>
          <w:sz w:val="40"/>
          <w:szCs w:val="40"/>
        </w:rPr>
      </w:pPr>
      <w:r>
        <w:rPr>
          <w:noProof/>
        </w:rPr>
        <w:drawing>
          <wp:inline distT="0" distB="0" distL="0" distR="0" wp14:anchorId="5F0D2598" wp14:editId="1668179B">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r>
        <w:rPr>
          <w:sz w:val="40"/>
          <w:szCs w:val="40"/>
        </w:rPr>
        <w:br w:type="page"/>
      </w:r>
    </w:p>
    <w:p w14:paraId="26B265CC" w14:textId="6151BE2D" w:rsidR="00CB3166" w:rsidRPr="00104B31" w:rsidRDefault="00CB3166" w:rsidP="00C037C9">
      <w:pPr>
        <w:pStyle w:val="Heading2"/>
        <w:ind w:firstLine="0"/>
        <w:rPr>
          <w:rFonts w:asciiTheme="minorHAnsi" w:hAnsiTheme="minorHAnsi"/>
          <w:sz w:val="40"/>
          <w:szCs w:val="40"/>
        </w:rPr>
      </w:pPr>
      <w:r w:rsidRPr="00104B31">
        <w:rPr>
          <w:rFonts w:asciiTheme="minorHAnsi" w:hAnsiTheme="minorHAnsi"/>
          <w:sz w:val="40"/>
          <w:szCs w:val="40"/>
        </w:rPr>
        <w:lastRenderedPageBreak/>
        <w:t>Trademark Abandonment</w:t>
      </w:r>
    </w:p>
    <w:p w14:paraId="24F80C3E" w14:textId="77777777" w:rsidR="00CB3166" w:rsidRPr="00104B31" w:rsidRDefault="00CB3166" w:rsidP="00CB3166">
      <w:pPr>
        <w:rPr>
          <w:rFonts w:asciiTheme="minorHAnsi" w:hAnsiTheme="minorHAnsi"/>
          <w:sz w:val="24"/>
          <w:szCs w:val="22"/>
        </w:rPr>
      </w:pPr>
      <w:r w:rsidRPr="00104B31">
        <w:rPr>
          <w:rFonts w:asciiTheme="minorHAnsi" w:hAnsiTheme="minorHAnsi"/>
          <w:sz w:val="24"/>
          <w:szCs w:val="22"/>
        </w:rPr>
        <w:t>A defendant may show that a mark has been abandoned and is thus unprotectable by showing either that (1) the plaintiff has ceased to use the mark with the intent not to resume use, or (2) the plaintiff has failed to control the use of the mark (for example, by licensing its use indiscriminately) with the result that the mark has lost its significance as a designation of a particular source. These two modes of abandonment are based on the definition of “abandoned” in Lanham Act § 45, 15 U.S.C. § 1127:</w:t>
      </w:r>
    </w:p>
    <w:p w14:paraId="5AFA64CA" w14:textId="77777777" w:rsidR="00CB3166" w:rsidRPr="00104B31" w:rsidRDefault="00CB3166" w:rsidP="00CB3166">
      <w:pPr>
        <w:pStyle w:val="Blockquoteindent"/>
        <w:rPr>
          <w:rFonts w:asciiTheme="minorHAnsi" w:hAnsiTheme="minorHAnsi"/>
          <w:sz w:val="24"/>
          <w:szCs w:val="22"/>
        </w:rPr>
      </w:pPr>
      <w:r w:rsidRPr="00104B31">
        <w:rPr>
          <w:rFonts w:asciiTheme="minorHAnsi" w:hAnsiTheme="minorHAnsi"/>
          <w:sz w:val="24"/>
          <w:szCs w:val="22"/>
        </w:rPr>
        <w:t>A mark shall be deemed to be “abandoned” if either of the following occurs:</w:t>
      </w:r>
    </w:p>
    <w:p w14:paraId="52F9710C" w14:textId="77777777" w:rsidR="00CB3166" w:rsidRPr="00104B31" w:rsidRDefault="00CB3166" w:rsidP="00CB3166">
      <w:pPr>
        <w:pStyle w:val="Blockquoteindent"/>
        <w:rPr>
          <w:rFonts w:asciiTheme="minorHAnsi" w:hAnsiTheme="minorHAnsi"/>
          <w:sz w:val="24"/>
          <w:szCs w:val="22"/>
        </w:rPr>
      </w:pPr>
      <w:r w:rsidRPr="00104B31">
        <w:rPr>
          <w:rFonts w:asciiTheme="minorHAnsi" w:hAnsiTheme="minorHAnsi"/>
          <w:sz w:val="24"/>
          <w:szCs w:val="22"/>
        </w:rPr>
        <w:t>(1) When its use has been discontinued with intent not to resume such use. Intent not to resume may be inferred from circumstances. Nonuse for 3 consecutive years shall be prima facie evidence of abandonment. “Use” of a mark means the bona fide use of such mark made in the ordinary course of trade, and not made merely to reserve a right in a mark.</w:t>
      </w:r>
    </w:p>
    <w:p w14:paraId="4672C721" w14:textId="77777777" w:rsidR="00CB3166" w:rsidRPr="00104B31" w:rsidRDefault="00CB3166" w:rsidP="00CB3166">
      <w:pPr>
        <w:pStyle w:val="Blockquoteindent"/>
        <w:rPr>
          <w:rFonts w:asciiTheme="minorHAnsi" w:hAnsiTheme="minorHAnsi"/>
          <w:sz w:val="24"/>
          <w:szCs w:val="22"/>
        </w:rPr>
      </w:pPr>
      <w:r w:rsidRPr="00104B31">
        <w:rPr>
          <w:rFonts w:asciiTheme="minorHAnsi" w:hAnsiTheme="minorHAnsi"/>
          <w:sz w:val="24"/>
          <w:szCs w:val="22"/>
        </w:rPr>
        <w:t xml:space="preserve">(2) When any course of conduct of the owner, including acts of omission as well as commission, causes the mark to become the generic name for the goods or services on or in connection with which it is used or otherwise to lose its significance as a mark. </w:t>
      </w:r>
      <w:proofErr w:type="gramStart"/>
      <w:r w:rsidRPr="00104B31">
        <w:rPr>
          <w:rFonts w:asciiTheme="minorHAnsi" w:hAnsiTheme="minorHAnsi"/>
          <w:sz w:val="24"/>
          <w:szCs w:val="22"/>
        </w:rPr>
        <w:t>Purchaser</w:t>
      </w:r>
      <w:proofErr w:type="gramEnd"/>
      <w:r w:rsidRPr="00104B31">
        <w:rPr>
          <w:rFonts w:asciiTheme="minorHAnsi" w:hAnsiTheme="minorHAnsi"/>
          <w:sz w:val="24"/>
          <w:szCs w:val="22"/>
        </w:rPr>
        <w:t xml:space="preserve"> motivation shall not be a test for determining abandonment under this paragraph.</w:t>
      </w:r>
    </w:p>
    <w:p w14:paraId="3C4E1ACD" w14:textId="77777777" w:rsidR="00CB3166" w:rsidRPr="00104B31" w:rsidRDefault="00CB3166" w:rsidP="00CB3166">
      <w:pPr>
        <w:pStyle w:val="Heading3"/>
        <w:rPr>
          <w:rFonts w:asciiTheme="minorHAnsi" w:hAnsiTheme="minorHAnsi"/>
        </w:rPr>
      </w:pPr>
      <w:bookmarkStart w:id="0" w:name="_Toc371957107"/>
      <w:bookmarkStart w:id="1" w:name="_Toc519683166"/>
      <w:bookmarkStart w:id="2" w:name="_Toc201424458"/>
      <w:r w:rsidRPr="00104B31">
        <w:rPr>
          <w:rFonts w:asciiTheme="minorHAnsi" w:hAnsiTheme="minorHAnsi"/>
        </w:rPr>
        <w:t>1.</w:t>
      </w:r>
      <w:r w:rsidRPr="00104B31">
        <w:rPr>
          <w:rFonts w:asciiTheme="minorHAnsi" w:hAnsiTheme="minorHAnsi"/>
        </w:rPr>
        <w:tab/>
        <w:t>Abandonment Through Cessation of Use</w:t>
      </w:r>
      <w:bookmarkEnd w:id="0"/>
      <w:bookmarkEnd w:id="1"/>
      <w:bookmarkEnd w:id="2"/>
    </w:p>
    <w:p w14:paraId="1B66EDD6" w14:textId="295C8DC4" w:rsidR="00CB3166" w:rsidRPr="00104B31" w:rsidRDefault="00CB3166" w:rsidP="00CB3166">
      <w:pPr>
        <w:rPr>
          <w:rFonts w:asciiTheme="minorHAnsi" w:hAnsiTheme="minorHAnsi"/>
          <w:sz w:val="24"/>
          <w:szCs w:val="22"/>
        </w:rPr>
      </w:pPr>
      <w:r w:rsidRPr="00104B31">
        <w:rPr>
          <w:rFonts w:asciiTheme="minorHAnsi" w:hAnsiTheme="minorHAnsi"/>
          <w:sz w:val="24"/>
          <w:szCs w:val="22"/>
        </w:rPr>
        <w:t xml:space="preserve">The following excerpt is taken from </w:t>
      </w:r>
      <w:r w:rsidRPr="00104B31">
        <w:rPr>
          <w:rFonts w:asciiTheme="minorHAnsi" w:hAnsiTheme="minorHAnsi"/>
          <w:i/>
          <w:sz w:val="24"/>
          <w:szCs w:val="22"/>
        </w:rPr>
        <w:t xml:space="preserve">ITC Ltd. v. </w:t>
      </w:r>
      <w:proofErr w:type="spellStart"/>
      <w:r w:rsidRPr="00104B31">
        <w:rPr>
          <w:rFonts w:asciiTheme="minorHAnsi" w:hAnsiTheme="minorHAnsi"/>
          <w:i/>
          <w:sz w:val="24"/>
          <w:szCs w:val="22"/>
        </w:rPr>
        <w:t>Punchgini</w:t>
      </w:r>
      <w:proofErr w:type="spellEnd"/>
      <w:r w:rsidRPr="00104B31">
        <w:rPr>
          <w:rFonts w:asciiTheme="minorHAnsi" w:hAnsiTheme="minorHAnsi"/>
          <w:i/>
          <w:sz w:val="24"/>
          <w:szCs w:val="22"/>
        </w:rPr>
        <w:t>, Inc</w:t>
      </w:r>
      <w:r w:rsidRPr="00104B31">
        <w:rPr>
          <w:rFonts w:asciiTheme="minorHAnsi" w:hAnsiTheme="minorHAnsi"/>
          <w:sz w:val="24"/>
          <w:szCs w:val="22"/>
        </w:rPr>
        <w:t>., 482 F.3d 135 (2d Cir. 2007)</w:t>
      </w:r>
      <w:r w:rsidR="008D55B5">
        <w:rPr>
          <w:rFonts w:asciiTheme="minorHAnsi" w:hAnsiTheme="minorHAnsi"/>
          <w:sz w:val="24"/>
          <w:szCs w:val="22"/>
        </w:rPr>
        <w:t>. I</w:t>
      </w:r>
      <w:r w:rsidRPr="00104B31">
        <w:rPr>
          <w:rFonts w:asciiTheme="minorHAnsi" w:hAnsiTheme="minorHAnsi"/>
          <w:sz w:val="24"/>
          <w:szCs w:val="22"/>
        </w:rPr>
        <w:t xml:space="preserve">n 1986, the plaintiff ITC Ltd. opened a restaurant under the name Bukhara in New York City. In 1987, the plaintiff entered into a franchise agreement for a Bukhara restaurant in Chicago. Also in 1987, the plaintiff registered at the PTO the mark </w:t>
      </w:r>
      <w:proofErr w:type="spellStart"/>
      <w:r w:rsidRPr="00104B31">
        <w:rPr>
          <w:rFonts w:asciiTheme="minorHAnsi" w:hAnsiTheme="minorHAnsi"/>
          <w:smallCaps/>
          <w:sz w:val="24"/>
          <w:szCs w:val="22"/>
        </w:rPr>
        <w:t>bukhara</w:t>
      </w:r>
      <w:proofErr w:type="spellEnd"/>
      <w:r w:rsidRPr="00104B31">
        <w:rPr>
          <w:rFonts w:asciiTheme="minorHAnsi" w:hAnsiTheme="minorHAnsi"/>
          <w:sz w:val="24"/>
          <w:szCs w:val="22"/>
        </w:rPr>
        <w:t xml:space="preserve"> in connection with “restaurant services” </w:t>
      </w:r>
      <w:r w:rsidRPr="00104B31">
        <w:rPr>
          <w:rFonts w:asciiTheme="minorHAnsi" w:hAnsiTheme="minorHAnsi"/>
          <w:i/>
          <w:sz w:val="24"/>
          <w:szCs w:val="22"/>
        </w:rPr>
        <w:t>See</w:t>
      </w:r>
      <w:r w:rsidRPr="00104B31">
        <w:rPr>
          <w:rFonts w:asciiTheme="minorHAnsi" w:hAnsiTheme="minorHAnsi"/>
          <w:sz w:val="24"/>
          <w:szCs w:val="22"/>
        </w:rPr>
        <w:t xml:space="preserve"> U.S. Trademark Registration No. 1,461,445 (Oct. 13, 1987). The New York City restaurant closed in </w:t>
      </w:r>
      <w:proofErr w:type="gramStart"/>
      <w:r w:rsidRPr="00104B31">
        <w:rPr>
          <w:rFonts w:asciiTheme="minorHAnsi" w:hAnsiTheme="minorHAnsi"/>
          <w:sz w:val="24"/>
          <w:szCs w:val="22"/>
        </w:rPr>
        <w:t>1991</w:t>
      </w:r>
      <w:proofErr w:type="gramEnd"/>
      <w:r w:rsidRPr="00104B31">
        <w:rPr>
          <w:rFonts w:asciiTheme="minorHAnsi" w:hAnsiTheme="minorHAnsi"/>
          <w:sz w:val="24"/>
          <w:szCs w:val="22"/>
        </w:rPr>
        <w:t xml:space="preserve"> and ITC cancelled its Chicago franchise in 1997. In 2000, the defendant </w:t>
      </w:r>
      <w:proofErr w:type="spellStart"/>
      <w:r w:rsidRPr="00104B31">
        <w:rPr>
          <w:rFonts w:asciiTheme="minorHAnsi" w:hAnsiTheme="minorHAnsi"/>
          <w:sz w:val="24"/>
          <w:szCs w:val="22"/>
        </w:rPr>
        <w:t>Punchgini</w:t>
      </w:r>
      <w:proofErr w:type="spellEnd"/>
      <w:r w:rsidRPr="00104B31">
        <w:rPr>
          <w:rFonts w:asciiTheme="minorHAnsi" w:hAnsiTheme="minorHAnsi"/>
          <w:sz w:val="24"/>
          <w:szCs w:val="22"/>
        </w:rPr>
        <w:t>, Inc. opened the restaurant Bukhara Grill in New York City. In 2003, the plaintiff sued for trademark infringement. The district court had granted summary judgment in favor of the defendant.</w:t>
      </w:r>
    </w:p>
    <w:p w14:paraId="56BEE988" w14:textId="77777777" w:rsidR="00CB3166" w:rsidRDefault="00CB3166" w:rsidP="00CB3166">
      <w:pPr>
        <w:rPr>
          <w:rFonts w:asciiTheme="minorHAnsi" w:hAnsiTheme="minorHAnsi"/>
          <w:sz w:val="24"/>
          <w:szCs w:val="24"/>
        </w:rPr>
      </w:pPr>
      <w:r w:rsidRPr="00104B31">
        <w:rPr>
          <w:rFonts w:asciiTheme="minorHAnsi" w:hAnsiTheme="minorHAnsi"/>
          <w:sz w:val="24"/>
          <w:szCs w:val="22"/>
        </w:rPr>
        <w:t xml:space="preserve">In this case, the well-known marks issue related to the abandonment issue in the following respect. If ITC was found to have abandoned the </w:t>
      </w:r>
      <w:proofErr w:type="spellStart"/>
      <w:r w:rsidRPr="00104B31">
        <w:rPr>
          <w:rFonts w:asciiTheme="minorHAnsi" w:hAnsiTheme="minorHAnsi"/>
          <w:smallCaps/>
          <w:sz w:val="24"/>
          <w:szCs w:val="22"/>
        </w:rPr>
        <w:t>bukhara</w:t>
      </w:r>
      <w:proofErr w:type="spellEnd"/>
      <w:r w:rsidRPr="00104B31">
        <w:rPr>
          <w:rFonts w:asciiTheme="minorHAnsi" w:hAnsiTheme="minorHAnsi"/>
          <w:sz w:val="24"/>
          <w:szCs w:val="22"/>
        </w:rPr>
        <w:t xml:space="preserve"> mark in the United States, then the only good argument ITC had left was that even though it had ceased to use its mark in commerce in the United States, the mark’s global reputation qualified it for protection as a “well-known mark” within the United States</w:t>
      </w:r>
      <w:r w:rsidRPr="00104B31">
        <w:rPr>
          <w:rFonts w:asciiTheme="minorHAnsi" w:hAnsiTheme="minorHAnsi"/>
          <w:sz w:val="24"/>
          <w:szCs w:val="24"/>
        </w:rPr>
        <w:t xml:space="preserve">. </w:t>
      </w:r>
    </w:p>
    <w:p w14:paraId="3B4C07F3" w14:textId="77777777" w:rsidR="008D55B5" w:rsidRPr="00104B31" w:rsidRDefault="008D55B5" w:rsidP="00CB3166">
      <w:pPr>
        <w:rPr>
          <w:rFonts w:asciiTheme="minorHAnsi" w:hAnsiTheme="minorHAnsi"/>
          <w:sz w:val="24"/>
          <w:szCs w:val="24"/>
        </w:rPr>
      </w:pPr>
    </w:p>
    <w:p w14:paraId="7511E87C" w14:textId="6092D244" w:rsidR="00CB3166" w:rsidRPr="00104B31" w:rsidRDefault="00CB3166" w:rsidP="00CB3166">
      <w:pPr>
        <w:pStyle w:val="Heading7"/>
        <w:rPr>
          <w:rFonts w:asciiTheme="minorHAnsi" w:hAnsiTheme="minorHAnsi"/>
          <w:color w:val="FF0000"/>
          <w:sz w:val="24"/>
          <w:szCs w:val="24"/>
        </w:rPr>
      </w:pPr>
      <w:bookmarkStart w:id="3" w:name="_Toc519683167"/>
      <w:bookmarkStart w:id="4" w:name="_Toc201424459"/>
      <w:r w:rsidRPr="00104B31">
        <w:rPr>
          <w:rFonts w:asciiTheme="minorHAnsi" w:hAnsiTheme="minorHAnsi"/>
          <w:color w:val="FF0000"/>
          <w:sz w:val="24"/>
          <w:szCs w:val="24"/>
        </w:rPr>
        <w:t>[</w:t>
      </w:r>
      <w:r w:rsidR="00C037C9" w:rsidRPr="00104B31">
        <w:rPr>
          <w:rFonts w:asciiTheme="minorHAnsi" w:hAnsiTheme="minorHAnsi"/>
          <w:color w:val="FF0000"/>
          <w:sz w:val="24"/>
          <w:szCs w:val="24"/>
        </w:rPr>
        <w:t xml:space="preserve">The opinion </w:t>
      </w:r>
      <w:proofErr w:type="gramStart"/>
      <w:r w:rsidR="00C037C9" w:rsidRPr="00104B31">
        <w:rPr>
          <w:rFonts w:asciiTheme="minorHAnsi" w:hAnsiTheme="minorHAnsi"/>
          <w:color w:val="FF0000"/>
          <w:sz w:val="24"/>
          <w:szCs w:val="24"/>
        </w:rPr>
        <w:t>in</w:t>
      </w:r>
      <w:proofErr w:type="gramEnd"/>
      <w:r w:rsidR="00C037C9" w:rsidRPr="00104B31">
        <w:rPr>
          <w:rFonts w:asciiTheme="minorHAnsi" w:hAnsiTheme="minorHAnsi"/>
          <w:color w:val="FF0000"/>
          <w:sz w:val="24"/>
          <w:szCs w:val="24"/>
        </w:rPr>
        <w:t xml:space="preserve"> </w:t>
      </w:r>
      <w:r w:rsidRPr="00104B31">
        <w:rPr>
          <w:rFonts w:asciiTheme="minorHAnsi" w:hAnsiTheme="minorHAnsi"/>
          <w:i/>
          <w:iCs/>
          <w:color w:val="FF0000"/>
          <w:sz w:val="24"/>
          <w:szCs w:val="24"/>
        </w:rPr>
        <w:t xml:space="preserve">ITC Ltd. v. </w:t>
      </w:r>
      <w:proofErr w:type="spellStart"/>
      <w:r w:rsidRPr="00104B31">
        <w:rPr>
          <w:rFonts w:asciiTheme="minorHAnsi" w:hAnsiTheme="minorHAnsi"/>
          <w:i/>
          <w:iCs/>
          <w:color w:val="FF0000"/>
          <w:sz w:val="24"/>
          <w:szCs w:val="24"/>
        </w:rPr>
        <w:t>Punchgini</w:t>
      </w:r>
      <w:proofErr w:type="spellEnd"/>
      <w:r w:rsidRPr="00104B31">
        <w:rPr>
          <w:rFonts w:asciiTheme="minorHAnsi" w:hAnsiTheme="minorHAnsi"/>
          <w:i/>
          <w:iCs/>
          <w:color w:val="FF0000"/>
          <w:sz w:val="24"/>
          <w:szCs w:val="24"/>
        </w:rPr>
        <w:t>, Inc</w:t>
      </w:r>
      <w:r w:rsidRPr="00104B31">
        <w:rPr>
          <w:rFonts w:asciiTheme="minorHAnsi" w:hAnsiTheme="minorHAnsi"/>
          <w:color w:val="FF0000"/>
          <w:sz w:val="24"/>
          <w:szCs w:val="24"/>
        </w:rPr>
        <w:t>.</w:t>
      </w:r>
      <w:bookmarkEnd w:id="3"/>
      <w:bookmarkEnd w:id="4"/>
      <w:r w:rsidR="00C037C9" w:rsidRPr="00104B31">
        <w:rPr>
          <w:rFonts w:asciiTheme="minorHAnsi" w:hAnsiTheme="minorHAnsi"/>
          <w:color w:val="FF0000"/>
          <w:sz w:val="24"/>
          <w:szCs w:val="24"/>
        </w:rPr>
        <w:t xml:space="preserve"> is available separately.</w:t>
      </w:r>
      <w:r w:rsidRPr="00104B31">
        <w:rPr>
          <w:rFonts w:asciiTheme="minorHAnsi" w:hAnsiTheme="minorHAnsi"/>
          <w:color w:val="FF0000"/>
          <w:sz w:val="24"/>
          <w:szCs w:val="24"/>
        </w:rPr>
        <w:t>]</w:t>
      </w:r>
    </w:p>
    <w:p w14:paraId="2EB3AA73" w14:textId="77777777" w:rsidR="00CB3166" w:rsidRPr="00104B31" w:rsidRDefault="00CB3166" w:rsidP="00CB3166">
      <w:pPr>
        <w:rPr>
          <w:rFonts w:asciiTheme="minorHAnsi" w:hAnsiTheme="minorHAnsi"/>
          <w:color w:val="FF0000"/>
          <w:sz w:val="24"/>
          <w:szCs w:val="24"/>
        </w:rPr>
      </w:pPr>
    </w:p>
    <w:p w14:paraId="3D9ED5AB" w14:textId="5E7F048E" w:rsidR="00CB3166" w:rsidRPr="00104B31" w:rsidRDefault="00CB3166" w:rsidP="00CB3166">
      <w:pPr>
        <w:pStyle w:val="Heading7"/>
        <w:rPr>
          <w:rFonts w:asciiTheme="minorHAnsi" w:hAnsiTheme="minorHAnsi"/>
          <w:color w:val="FF0000"/>
          <w:sz w:val="24"/>
          <w:szCs w:val="24"/>
        </w:rPr>
      </w:pPr>
      <w:bookmarkStart w:id="5" w:name="_Toc519683168"/>
      <w:bookmarkStart w:id="6" w:name="_Toc201424460"/>
      <w:r w:rsidRPr="00104B31">
        <w:rPr>
          <w:rFonts w:asciiTheme="minorHAnsi" w:hAnsiTheme="minorHAnsi"/>
          <w:color w:val="FF0000"/>
          <w:sz w:val="24"/>
          <w:szCs w:val="24"/>
        </w:rPr>
        <w:lastRenderedPageBreak/>
        <w:t>[</w:t>
      </w:r>
      <w:r w:rsidR="00C037C9" w:rsidRPr="00104B31">
        <w:rPr>
          <w:rFonts w:asciiTheme="minorHAnsi" w:hAnsiTheme="minorHAnsi"/>
          <w:color w:val="FF0000"/>
          <w:sz w:val="24"/>
          <w:szCs w:val="24"/>
        </w:rPr>
        <w:t xml:space="preserve">The opinion in </w:t>
      </w:r>
      <w:r w:rsidRPr="00104B31">
        <w:rPr>
          <w:rFonts w:asciiTheme="minorHAnsi" w:hAnsiTheme="minorHAnsi"/>
          <w:i/>
          <w:iCs/>
          <w:color w:val="FF0000"/>
          <w:sz w:val="24"/>
          <w:szCs w:val="24"/>
        </w:rPr>
        <w:t>Crash Dummy Movie, LLC v. Mattel, Inc</w:t>
      </w:r>
      <w:r w:rsidRPr="00104B31">
        <w:rPr>
          <w:rFonts w:asciiTheme="minorHAnsi" w:hAnsiTheme="minorHAnsi"/>
          <w:color w:val="FF0000"/>
          <w:sz w:val="24"/>
          <w:szCs w:val="24"/>
        </w:rPr>
        <w:t>.</w:t>
      </w:r>
      <w:bookmarkEnd w:id="5"/>
      <w:bookmarkEnd w:id="6"/>
      <w:r w:rsidR="00C037C9" w:rsidRPr="00104B31">
        <w:rPr>
          <w:rFonts w:asciiTheme="minorHAnsi" w:hAnsiTheme="minorHAnsi"/>
          <w:color w:val="FF0000"/>
          <w:sz w:val="24"/>
          <w:szCs w:val="24"/>
        </w:rPr>
        <w:t xml:space="preserve"> is available separately.</w:t>
      </w:r>
      <w:r w:rsidRPr="00104B31">
        <w:rPr>
          <w:rFonts w:asciiTheme="minorHAnsi" w:hAnsiTheme="minorHAnsi"/>
          <w:color w:val="FF0000"/>
          <w:sz w:val="24"/>
          <w:szCs w:val="24"/>
        </w:rPr>
        <w:t>]</w:t>
      </w:r>
    </w:p>
    <w:p w14:paraId="42C12F75" w14:textId="77777777" w:rsidR="00CB3166" w:rsidRPr="00104B31" w:rsidRDefault="00CB3166" w:rsidP="00CB3166">
      <w:pPr>
        <w:rPr>
          <w:rFonts w:asciiTheme="minorHAnsi" w:hAnsiTheme="minorHAnsi"/>
          <w:sz w:val="24"/>
          <w:szCs w:val="24"/>
        </w:rPr>
      </w:pPr>
    </w:p>
    <w:p w14:paraId="27214C88" w14:textId="77777777" w:rsidR="00CB3166" w:rsidRPr="00104B31" w:rsidRDefault="00CB3166" w:rsidP="00CB3166">
      <w:pPr>
        <w:pStyle w:val="CommentsandQuestions"/>
        <w:rPr>
          <w:rFonts w:asciiTheme="minorHAnsi" w:hAnsiTheme="minorHAnsi"/>
          <w:sz w:val="24"/>
          <w:szCs w:val="24"/>
        </w:rPr>
      </w:pPr>
      <w:r w:rsidRPr="00104B31">
        <w:rPr>
          <w:rFonts w:asciiTheme="minorHAnsi" w:hAnsiTheme="minorHAnsi"/>
          <w:sz w:val="24"/>
          <w:szCs w:val="24"/>
        </w:rPr>
        <w:t>Questions and Comments</w:t>
      </w:r>
    </w:p>
    <w:p w14:paraId="4381CE1B" w14:textId="77777777" w:rsidR="00CB3166" w:rsidRPr="00104B31" w:rsidRDefault="00CB3166" w:rsidP="00CB3166">
      <w:pPr>
        <w:rPr>
          <w:rFonts w:asciiTheme="minorHAnsi" w:hAnsiTheme="minorHAnsi"/>
          <w:sz w:val="24"/>
          <w:szCs w:val="24"/>
        </w:rPr>
      </w:pPr>
      <w:r w:rsidRPr="00104B31">
        <w:rPr>
          <w:rFonts w:asciiTheme="minorHAnsi" w:hAnsiTheme="minorHAnsi"/>
          <w:sz w:val="24"/>
          <w:szCs w:val="24"/>
        </w:rPr>
        <w:t xml:space="preserve">1. </w:t>
      </w:r>
      <w:r w:rsidRPr="00104B31">
        <w:rPr>
          <w:rFonts w:asciiTheme="minorHAnsi" w:hAnsiTheme="minorHAnsi"/>
          <w:i/>
          <w:sz w:val="24"/>
          <w:szCs w:val="24"/>
        </w:rPr>
        <w:t>Why might a firm deliberately and formally abandon a mark?</w:t>
      </w:r>
      <w:r w:rsidRPr="00104B31">
        <w:rPr>
          <w:rFonts w:asciiTheme="minorHAnsi" w:hAnsiTheme="minorHAnsi"/>
          <w:sz w:val="24"/>
          <w:szCs w:val="24"/>
        </w:rPr>
        <w:t xml:space="preserve">  At least one reason is for tax write-off purposes. </w:t>
      </w:r>
      <w:r w:rsidRPr="00104B31">
        <w:rPr>
          <w:rFonts w:asciiTheme="minorHAnsi" w:hAnsiTheme="minorHAnsi"/>
          <w:i/>
          <w:sz w:val="24"/>
          <w:szCs w:val="24"/>
        </w:rPr>
        <w:t>See, e.g</w:t>
      </w:r>
      <w:r w:rsidRPr="00104B31">
        <w:rPr>
          <w:rFonts w:asciiTheme="minorHAnsi" w:hAnsiTheme="minorHAnsi"/>
          <w:sz w:val="24"/>
          <w:szCs w:val="24"/>
        </w:rPr>
        <w:t xml:space="preserve">., </w:t>
      </w:r>
      <w:r w:rsidRPr="00104B31">
        <w:rPr>
          <w:rFonts w:asciiTheme="minorHAnsi" w:hAnsiTheme="minorHAnsi"/>
          <w:i/>
          <w:sz w:val="24"/>
          <w:szCs w:val="24"/>
        </w:rPr>
        <w:t>California Cedar Prod. Co. v. Pine Mountain Corp</w:t>
      </w:r>
      <w:r w:rsidRPr="00104B31">
        <w:rPr>
          <w:rFonts w:asciiTheme="minorHAnsi" w:hAnsiTheme="minorHAnsi"/>
          <w:sz w:val="24"/>
          <w:szCs w:val="24"/>
        </w:rPr>
        <w:t xml:space="preserve">., 724 F.2d 827, 829 (9th Cir. 1984) (describing previous owner of </w:t>
      </w:r>
      <w:proofErr w:type="spellStart"/>
      <w:r w:rsidRPr="00104B31">
        <w:rPr>
          <w:rFonts w:asciiTheme="minorHAnsi" w:hAnsiTheme="minorHAnsi"/>
          <w:smallCaps/>
          <w:sz w:val="24"/>
          <w:szCs w:val="24"/>
        </w:rPr>
        <w:t>duraflame</w:t>
      </w:r>
      <w:proofErr w:type="spellEnd"/>
      <w:r w:rsidRPr="00104B31">
        <w:rPr>
          <w:rFonts w:asciiTheme="minorHAnsi" w:hAnsiTheme="minorHAnsi"/>
          <w:sz w:val="24"/>
          <w:szCs w:val="24"/>
        </w:rPr>
        <w:t xml:space="preserve"> mark’s “objective of withdrawing from the artificial </w:t>
      </w:r>
      <w:proofErr w:type="spellStart"/>
      <w:r w:rsidRPr="00104B31">
        <w:rPr>
          <w:rFonts w:asciiTheme="minorHAnsi" w:hAnsiTheme="minorHAnsi"/>
          <w:sz w:val="24"/>
          <w:szCs w:val="24"/>
        </w:rPr>
        <w:t>firelog</w:t>
      </w:r>
      <w:proofErr w:type="spellEnd"/>
      <w:r w:rsidRPr="00104B31">
        <w:rPr>
          <w:rFonts w:asciiTheme="minorHAnsi" w:hAnsiTheme="minorHAnsi"/>
          <w:sz w:val="24"/>
          <w:szCs w:val="24"/>
        </w:rPr>
        <w:t xml:space="preserve"> market and writing off for accounting purposes” the mark’s goodwill); </w:t>
      </w:r>
      <w:r w:rsidRPr="00104B31">
        <w:rPr>
          <w:rFonts w:asciiTheme="minorHAnsi" w:hAnsiTheme="minorHAnsi"/>
          <w:i/>
          <w:sz w:val="24"/>
          <w:szCs w:val="24"/>
        </w:rPr>
        <w:t>Manhattan Indus., Inc. v. Sweater Bee by Banff, Ltd</w:t>
      </w:r>
      <w:r w:rsidRPr="00104B31">
        <w:rPr>
          <w:rFonts w:asciiTheme="minorHAnsi" w:hAnsiTheme="minorHAnsi"/>
          <w:sz w:val="24"/>
          <w:szCs w:val="24"/>
        </w:rPr>
        <w:t>., 627 F.2d 628, 630 n .2 (2d Cir. 1980) (“Although the record does not show General Mills’ reason for abandoning the mark {</w:t>
      </w:r>
      <w:proofErr w:type="spellStart"/>
      <w:r w:rsidRPr="00104B31">
        <w:rPr>
          <w:rFonts w:asciiTheme="minorHAnsi" w:hAnsiTheme="minorHAnsi"/>
          <w:smallCaps/>
          <w:sz w:val="24"/>
          <w:szCs w:val="24"/>
        </w:rPr>
        <w:t>kimberly</w:t>
      </w:r>
      <w:proofErr w:type="spellEnd"/>
      <w:r w:rsidRPr="00104B31">
        <w:rPr>
          <w:rFonts w:asciiTheme="minorHAnsi" w:hAnsiTheme="minorHAnsi"/>
          <w:sz w:val="24"/>
          <w:szCs w:val="24"/>
        </w:rPr>
        <w:t xml:space="preserve"> for women’s apparel}, counsel suggested at oral argument, in answer to the court’s question, that the abandonment might have been for tax purposes.”). </w:t>
      </w:r>
      <w:r w:rsidRPr="00104B31">
        <w:rPr>
          <w:rFonts w:asciiTheme="minorHAnsi" w:hAnsiTheme="minorHAnsi"/>
          <w:i/>
          <w:sz w:val="24"/>
          <w:szCs w:val="24"/>
        </w:rPr>
        <w:t>Cf. id</w:t>
      </w:r>
      <w:r w:rsidRPr="00104B31">
        <w:rPr>
          <w:rFonts w:asciiTheme="minorHAnsi" w:hAnsiTheme="minorHAnsi"/>
          <w:sz w:val="24"/>
          <w:szCs w:val="24"/>
        </w:rPr>
        <w:t>. at 629 (“Upon the mark’s abandonment, a free-for-all ensued” in which several different clothing manufacturers sought to claim rights in the mark).</w:t>
      </w:r>
    </w:p>
    <w:p w14:paraId="65CCAD56" w14:textId="77777777" w:rsidR="00CB3166" w:rsidRPr="00104B31" w:rsidRDefault="00CB3166" w:rsidP="00CB3166">
      <w:pPr>
        <w:rPr>
          <w:rFonts w:asciiTheme="minorHAnsi" w:hAnsiTheme="minorHAnsi"/>
          <w:sz w:val="24"/>
          <w:szCs w:val="24"/>
        </w:rPr>
      </w:pPr>
      <w:r w:rsidRPr="00104B31">
        <w:rPr>
          <w:rFonts w:asciiTheme="minorHAnsi" w:hAnsiTheme="minorHAnsi"/>
          <w:sz w:val="24"/>
          <w:szCs w:val="24"/>
        </w:rPr>
        <w:t xml:space="preserve">2. </w:t>
      </w:r>
      <w:proofErr w:type="spellStart"/>
      <w:r w:rsidRPr="00104B31">
        <w:rPr>
          <w:rFonts w:asciiTheme="minorHAnsi" w:hAnsiTheme="minorHAnsi"/>
          <w:i/>
          <w:sz w:val="24"/>
          <w:szCs w:val="24"/>
        </w:rPr>
        <w:t>Badwill</w:t>
      </w:r>
      <w:proofErr w:type="spellEnd"/>
      <w:r w:rsidRPr="00104B31">
        <w:rPr>
          <w:rFonts w:asciiTheme="minorHAnsi" w:hAnsiTheme="minorHAnsi"/>
          <w:i/>
          <w:sz w:val="24"/>
          <w:szCs w:val="24"/>
        </w:rPr>
        <w:t>?</w:t>
      </w:r>
      <w:r w:rsidRPr="00104B31">
        <w:rPr>
          <w:rFonts w:asciiTheme="minorHAnsi" w:hAnsiTheme="minorHAnsi"/>
          <w:sz w:val="24"/>
          <w:szCs w:val="24"/>
        </w:rPr>
        <w:t xml:space="preserve"> Trademark law enables firms to protect the goodwill they have developed in the various goods or services they provide. But what about trademarks that develop a reputation for severely defective goods and poor performance? It is apparently routine practice that after a commercial airliner crashes, airlines will rush to paint over any identifying trademarks appearing on the exterior of the wreckage if that wreckage is photographable. </w:t>
      </w:r>
      <w:r w:rsidRPr="00104B31">
        <w:rPr>
          <w:rFonts w:asciiTheme="minorHAnsi" w:hAnsiTheme="minorHAnsi"/>
          <w:i/>
          <w:sz w:val="24"/>
          <w:szCs w:val="24"/>
        </w:rPr>
        <w:t>See</w:t>
      </w:r>
      <w:r w:rsidRPr="00104B31">
        <w:rPr>
          <w:rFonts w:asciiTheme="minorHAnsi" w:hAnsiTheme="minorHAnsi"/>
          <w:sz w:val="24"/>
          <w:szCs w:val="24"/>
        </w:rPr>
        <w:t xml:space="preserve"> Will Coldwell, </w:t>
      </w:r>
      <w:r w:rsidRPr="00104B31">
        <w:rPr>
          <w:rFonts w:asciiTheme="minorHAnsi" w:hAnsiTheme="minorHAnsi"/>
          <w:i/>
          <w:sz w:val="24"/>
          <w:szCs w:val="24"/>
        </w:rPr>
        <w:t>Thai Airways and that logo – just part of post-plane-crash etiquette?</w:t>
      </w:r>
      <w:r w:rsidRPr="00104B31">
        <w:rPr>
          <w:rFonts w:asciiTheme="minorHAnsi" w:hAnsiTheme="minorHAnsi"/>
          <w:sz w:val="24"/>
          <w:szCs w:val="24"/>
        </w:rPr>
        <w:t xml:space="preserve">, </w:t>
      </w:r>
      <w:r w:rsidRPr="00104B31">
        <w:rPr>
          <w:rFonts w:asciiTheme="minorHAnsi" w:hAnsiTheme="minorHAnsi"/>
          <w:smallCaps/>
          <w:sz w:val="24"/>
          <w:szCs w:val="24"/>
        </w:rPr>
        <w:t>The Guardian</w:t>
      </w:r>
      <w:r w:rsidRPr="00104B31">
        <w:rPr>
          <w:rFonts w:asciiTheme="minorHAnsi" w:hAnsiTheme="minorHAnsi"/>
          <w:sz w:val="24"/>
          <w:szCs w:val="24"/>
        </w:rPr>
        <w:t>, Sept. 9, 2013, https://www.theguardian.com/world/ 2013/</w:t>
      </w:r>
      <w:proofErr w:type="spellStart"/>
      <w:r w:rsidRPr="00104B31">
        <w:rPr>
          <w:rFonts w:asciiTheme="minorHAnsi" w:hAnsiTheme="minorHAnsi"/>
          <w:sz w:val="24"/>
          <w:szCs w:val="24"/>
        </w:rPr>
        <w:t>sep</w:t>
      </w:r>
      <w:proofErr w:type="spellEnd"/>
      <w:r w:rsidRPr="00104B31">
        <w:rPr>
          <w:rFonts w:asciiTheme="minorHAnsi" w:hAnsiTheme="minorHAnsi"/>
          <w:sz w:val="24"/>
          <w:szCs w:val="24"/>
        </w:rPr>
        <w:t>/09/</w:t>
      </w:r>
      <w:proofErr w:type="spellStart"/>
      <w:r w:rsidRPr="00104B31">
        <w:rPr>
          <w:rFonts w:asciiTheme="minorHAnsi" w:hAnsiTheme="minorHAnsi"/>
          <w:sz w:val="24"/>
          <w:szCs w:val="24"/>
        </w:rPr>
        <w:t>thai</w:t>
      </w:r>
      <w:proofErr w:type="spellEnd"/>
      <w:r w:rsidRPr="00104B31">
        <w:rPr>
          <w:rFonts w:asciiTheme="minorHAnsi" w:hAnsiTheme="minorHAnsi"/>
          <w:sz w:val="24"/>
          <w:szCs w:val="24"/>
        </w:rPr>
        <w:t xml:space="preserve">-airways-logo-crash-etiquette; Nick Squires, </w:t>
      </w:r>
      <w:r w:rsidRPr="00104B31">
        <w:rPr>
          <w:rFonts w:asciiTheme="minorHAnsi" w:hAnsiTheme="minorHAnsi"/>
          <w:i/>
          <w:sz w:val="24"/>
          <w:szCs w:val="24"/>
        </w:rPr>
        <w:t>Alitalia paints over crashed plane’s markings</w:t>
      </w:r>
      <w:r w:rsidRPr="00104B31">
        <w:rPr>
          <w:rFonts w:asciiTheme="minorHAnsi" w:hAnsiTheme="minorHAnsi"/>
          <w:sz w:val="24"/>
          <w:szCs w:val="24"/>
        </w:rPr>
        <w:t xml:space="preserve">, </w:t>
      </w:r>
      <w:r w:rsidRPr="00104B31">
        <w:rPr>
          <w:rFonts w:asciiTheme="minorHAnsi" w:hAnsiTheme="minorHAnsi"/>
          <w:smallCaps/>
          <w:sz w:val="24"/>
          <w:szCs w:val="24"/>
        </w:rPr>
        <w:t>The Telegraph</w:t>
      </w:r>
      <w:r w:rsidRPr="00104B31">
        <w:rPr>
          <w:rFonts w:asciiTheme="minorHAnsi" w:hAnsiTheme="minorHAnsi"/>
          <w:sz w:val="24"/>
          <w:szCs w:val="24"/>
        </w:rPr>
        <w:t xml:space="preserve">, Feb. 4, 2013, https://www.telegraph.co.uk/news/worldnews/europe/ </w:t>
      </w:r>
      <w:proofErr w:type="spellStart"/>
      <w:r w:rsidRPr="00104B31">
        <w:rPr>
          <w:rFonts w:asciiTheme="minorHAnsi" w:hAnsiTheme="minorHAnsi"/>
          <w:sz w:val="24"/>
          <w:szCs w:val="24"/>
        </w:rPr>
        <w:t>italy</w:t>
      </w:r>
      <w:proofErr w:type="spellEnd"/>
      <w:r w:rsidRPr="00104B31">
        <w:rPr>
          <w:rFonts w:asciiTheme="minorHAnsi" w:hAnsiTheme="minorHAnsi"/>
          <w:sz w:val="24"/>
          <w:szCs w:val="24"/>
        </w:rPr>
        <w:t xml:space="preserve">/9847651/Alitalia-paints-over-crashed-planes-markings.html (quoting a spokesman of Alitalia, after it painted over its trademark on wreckage, that “[t]his is something that is done by airline companies in many countries and we are surprised that such a fuss is being made. It is a matter of brand protection.”). </w:t>
      </w:r>
      <w:r w:rsidRPr="00104B31">
        <w:rPr>
          <w:rFonts w:asciiTheme="minorHAnsi" w:hAnsiTheme="minorHAnsi"/>
          <w:i/>
          <w:sz w:val="24"/>
          <w:szCs w:val="24"/>
        </w:rPr>
        <w:t>Cf</w:t>
      </w:r>
      <w:r w:rsidRPr="00104B31">
        <w:rPr>
          <w:rFonts w:asciiTheme="minorHAnsi" w:hAnsiTheme="minorHAnsi"/>
          <w:sz w:val="24"/>
          <w:szCs w:val="24"/>
        </w:rPr>
        <w:t xml:space="preserve">. Reuters, </w:t>
      </w:r>
      <w:r w:rsidRPr="00104B31">
        <w:rPr>
          <w:rFonts w:asciiTheme="minorHAnsi" w:hAnsiTheme="minorHAnsi"/>
          <w:i/>
          <w:sz w:val="24"/>
          <w:szCs w:val="24"/>
        </w:rPr>
        <w:t xml:space="preserve">AIG to Revive AIG Name; Drop </w:t>
      </w:r>
      <w:proofErr w:type="spellStart"/>
      <w:r w:rsidRPr="00104B31">
        <w:rPr>
          <w:rFonts w:asciiTheme="minorHAnsi" w:hAnsiTheme="minorHAnsi"/>
          <w:i/>
          <w:sz w:val="24"/>
          <w:szCs w:val="24"/>
        </w:rPr>
        <w:t>Chartis</w:t>
      </w:r>
      <w:proofErr w:type="spellEnd"/>
      <w:r w:rsidRPr="00104B31">
        <w:rPr>
          <w:rFonts w:asciiTheme="minorHAnsi" w:hAnsiTheme="minorHAnsi"/>
          <w:i/>
          <w:sz w:val="24"/>
          <w:szCs w:val="24"/>
        </w:rPr>
        <w:t xml:space="preserve">, </w:t>
      </w:r>
      <w:proofErr w:type="spellStart"/>
      <w:r w:rsidRPr="00104B31">
        <w:rPr>
          <w:rFonts w:asciiTheme="minorHAnsi" w:hAnsiTheme="minorHAnsi"/>
          <w:i/>
          <w:sz w:val="24"/>
          <w:szCs w:val="24"/>
        </w:rPr>
        <w:t>SunAmerica</w:t>
      </w:r>
      <w:proofErr w:type="spellEnd"/>
      <w:r w:rsidRPr="00104B31">
        <w:rPr>
          <w:rFonts w:asciiTheme="minorHAnsi" w:hAnsiTheme="minorHAnsi"/>
          <w:i/>
          <w:sz w:val="24"/>
          <w:szCs w:val="24"/>
        </w:rPr>
        <w:t xml:space="preserve"> Names: Reuters</w:t>
      </w:r>
      <w:r w:rsidRPr="00104B31">
        <w:rPr>
          <w:rFonts w:asciiTheme="minorHAnsi" w:hAnsiTheme="minorHAnsi"/>
          <w:sz w:val="24"/>
          <w:szCs w:val="24"/>
        </w:rPr>
        <w:t xml:space="preserve">, </w:t>
      </w:r>
      <w:r w:rsidRPr="00104B31">
        <w:rPr>
          <w:rFonts w:asciiTheme="minorHAnsi" w:hAnsiTheme="minorHAnsi"/>
          <w:smallCaps/>
          <w:sz w:val="24"/>
          <w:szCs w:val="24"/>
        </w:rPr>
        <w:t>Insurance Journal</w:t>
      </w:r>
      <w:r w:rsidRPr="00104B31">
        <w:rPr>
          <w:rFonts w:asciiTheme="minorHAnsi" w:hAnsiTheme="minorHAnsi"/>
          <w:sz w:val="24"/>
          <w:szCs w:val="24"/>
        </w:rPr>
        <w:t xml:space="preserve">, June 28, 2012, https://www.insurancejournal.com/news/ national/2012/ 06/28/253571.htm (discussing AIG’s efforts to rename itself, in part for the safety of its own employees, after the 2008 financial crisis and its subsequent decision to return to the AIG name). Should trademark law (or some neighboring body of law) require that firms continue to use marks that have developed </w:t>
      </w:r>
      <w:proofErr w:type="spellStart"/>
      <w:r w:rsidRPr="00104B31">
        <w:rPr>
          <w:rFonts w:asciiTheme="minorHAnsi" w:hAnsiTheme="minorHAnsi"/>
          <w:sz w:val="24"/>
          <w:szCs w:val="24"/>
        </w:rPr>
        <w:t>badwill</w:t>
      </w:r>
      <w:proofErr w:type="spellEnd"/>
      <w:r w:rsidRPr="00104B31">
        <w:rPr>
          <w:rFonts w:asciiTheme="minorHAnsi" w:hAnsiTheme="minorHAnsi"/>
          <w:sz w:val="24"/>
          <w:szCs w:val="24"/>
        </w:rPr>
        <w:t xml:space="preserve">? </w:t>
      </w:r>
      <w:r w:rsidRPr="00104B31">
        <w:rPr>
          <w:rFonts w:asciiTheme="minorHAnsi" w:hAnsiTheme="minorHAnsi"/>
          <w:i/>
          <w:sz w:val="24"/>
          <w:szCs w:val="24"/>
        </w:rPr>
        <w:t>See</w:t>
      </w:r>
      <w:r w:rsidRPr="00104B31">
        <w:rPr>
          <w:rFonts w:asciiTheme="minorHAnsi" w:hAnsiTheme="minorHAnsi"/>
          <w:sz w:val="24"/>
          <w:szCs w:val="24"/>
        </w:rPr>
        <w:t xml:space="preserve"> Note, </w:t>
      </w:r>
      <w:proofErr w:type="spellStart"/>
      <w:r w:rsidRPr="00104B31">
        <w:rPr>
          <w:rFonts w:asciiTheme="minorHAnsi" w:hAnsiTheme="minorHAnsi"/>
          <w:i/>
          <w:sz w:val="24"/>
          <w:szCs w:val="24"/>
        </w:rPr>
        <w:t>Badwill</w:t>
      </w:r>
      <w:proofErr w:type="spellEnd"/>
      <w:r w:rsidRPr="00104B31">
        <w:rPr>
          <w:rFonts w:asciiTheme="minorHAnsi" w:hAnsiTheme="minorHAnsi"/>
          <w:sz w:val="24"/>
          <w:szCs w:val="24"/>
        </w:rPr>
        <w:t xml:space="preserve">, 116 </w:t>
      </w:r>
      <w:r w:rsidRPr="00104B31">
        <w:rPr>
          <w:rFonts w:asciiTheme="minorHAnsi" w:hAnsiTheme="minorHAnsi"/>
          <w:smallCaps/>
          <w:sz w:val="24"/>
          <w:szCs w:val="24"/>
        </w:rPr>
        <w:t>Harv. L. Rev</w:t>
      </w:r>
      <w:r w:rsidRPr="00104B31">
        <w:rPr>
          <w:rFonts w:asciiTheme="minorHAnsi" w:hAnsiTheme="minorHAnsi"/>
          <w:sz w:val="24"/>
          <w:szCs w:val="24"/>
        </w:rPr>
        <w:t xml:space="preserve">. 1845 (2003). </w:t>
      </w:r>
      <w:r w:rsidRPr="00104B31">
        <w:rPr>
          <w:rFonts w:asciiTheme="minorHAnsi" w:hAnsiTheme="minorHAnsi"/>
          <w:i/>
          <w:iCs/>
          <w:sz w:val="24"/>
          <w:szCs w:val="24"/>
        </w:rPr>
        <w:t>See also</w:t>
      </w:r>
      <w:r w:rsidRPr="00104B31">
        <w:rPr>
          <w:rFonts w:asciiTheme="minorHAnsi" w:hAnsiTheme="minorHAnsi"/>
          <w:sz w:val="24"/>
          <w:szCs w:val="24"/>
        </w:rPr>
        <w:t xml:space="preserve"> Matthew Sipe, </w:t>
      </w:r>
      <w:proofErr w:type="spellStart"/>
      <w:r w:rsidRPr="00104B31">
        <w:rPr>
          <w:rFonts w:asciiTheme="minorHAnsi" w:hAnsiTheme="minorHAnsi"/>
          <w:sz w:val="24"/>
          <w:szCs w:val="24"/>
        </w:rPr>
        <w:t>Trademasks</w:t>
      </w:r>
      <w:proofErr w:type="spellEnd"/>
      <w:r w:rsidRPr="00104B31">
        <w:rPr>
          <w:rFonts w:asciiTheme="minorHAnsi" w:hAnsiTheme="minorHAnsi"/>
          <w:sz w:val="24"/>
          <w:szCs w:val="24"/>
        </w:rPr>
        <w:t xml:space="preserve"> (working paper).</w:t>
      </w:r>
    </w:p>
    <w:p w14:paraId="782299AD" w14:textId="77777777" w:rsidR="00CB3166" w:rsidRPr="00104B31" w:rsidRDefault="00CB3166" w:rsidP="00CB3166">
      <w:pPr>
        <w:pStyle w:val="Heading3"/>
        <w:rPr>
          <w:rFonts w:asciiTheme="minorHAnsi" w:hAnsiTheme="minorHAnsi"/>
        </w:rPr>
      </w:pPr>
      <w:bookmarkStart w:id="7" w:name="_Toc371957108"/>
      <w:bookmarkStart w:id="8" w:name="_Toc519683169"/>
      <w:bookmarkStart w:id="9" w:name="_Toc201424461"/>
      <w:r w:rsidRPr="00104B31">
        <w:rPr>
          <w:rFonts w:asciiTheme="minorHAnsi" w:hAnsiTheme="minorHAnsi"/>
        </w:rPr>
        <w:t>2.</w:t>
      </w:r>
      <w:r w:rsidRPr="00104B31">
        <w:rPr>
          <w:rFonts w:asciiTheme="minorHAnsi" w:hAnsiTheme="minorHAnsi"/>
        </w:rPr>
        <w:tab/>
        <w:t>Abandonment Through Failure to Control Use</w:t>
      </w:r>
      <w:bookmarkEnd w:id="7"/>
      <w:bookmarkEnd w:id="8"/>
      <w:bookmarkEnd w:id="9"/>
    </w:p>
    <w:p w14:paraId="626E6F17" w14:textId="5936B134" w:rsidR="00CB3166" w:rsidRPr="00104B31" w:rsidRDefault="00CB3166" w:rsidP="00CB3166">
      <w:pPr>
        <w:pStyle w:val="Normal-centered0"/>
        <w:rPr>
          <w:rFonts w:asciiTheme="minorHAnsi" w:hAnsiTheme="minorHAnsi"/>
        </w:rPr>
      </w:pPr>
    </w:p>
    <w:p w14:paraId="41A8BF44" w14:textId="0CDAD2E4" w:rsidR="00CB3166" w:rsidRPr="00104B31" w:rsidRDefault="00CB3166" w:rsidP="00CB3166">
      <w:pPr>
        <w:pStyle w:val="Heading7"/>
        <w:rPr>
          <w:rFonts w:asciiTheme="minorHAnsi" w:hAnsiTheme="minorHAnsi"/>
          <w:color w:val="FF0000"/>
          <w:sz w:val="24"/>
          <w:szCs w:val="22"/>
        </w:rPr>
      </w:pPr>
      <w:bookmarkStart w:id="10" w:name="_Toc519683170"/>
      <w:bookmarkStart w:id="11" w:name="_Toc201424462"/>
      <w:r w:rsidRPr="00104B31">
        <w:rPr>
          <w:rFonts w:asciiTheme="minorHAnsi" w:hAnsiTheme="minorHAnsi"/>
          <w:color w:val="FF0000"/>
          <w:sz w:val="24"/>
          <w:szCs w:val="22"/>
        </w:rPr>
        <w:t>[</w:t>
      </w:r>
      <w:r w:rsidR="00C037C9" w:rsidRPr="00104B31">
        <w:rPr>
          <w:rFonts w:asciiTheme="minorHAnsi" w:hAnsiTheme="minorHAnsi"/>
          <w:color w:val="FF0000"/>
          <w:sz w:val="24"/>
          <w:szCs w:val="22"/>
        </w:rPr>
        <w:t xml:space="preserve">The opinion in </w:t>
      </w:r>
      <w:proofErr w:type="spellStart"/>
      <w:r w:rsidRPr="00104B31">
        <w:rPr>
          <w:rFonts w:asciiTheme="minorHAnsi" w:hAnsiTheme="minorHAnsi"/>
          <w:i/>
          <w:iCs/>
          <w:color w:val="FF0000"/>
          <w:sz w:val="24"/>
          <w:szCs w:val="22"/>
        </w:rPr>
        <w:t>FreecycleSunnyvale</w:t>
      </w:r>
      <w:proofErr w:type="spellEnd"/>
      <w:r w:rsidRPr="00104B31">
        <w:rPr>
          <w:rFonts w:asciiTheme="minorHAnsi" w:hAnsiTheme="minorHAnsi"/>
          <w:i/>
          <w:iCs/>
          <w:color w:val="FF0000"/>
          <w:sz w:val="24"/>
          <w:szCs w:val="22"/>
        </w:rPr>
        <w:t xml:space="preserve"> v. Freecycle Network</w:t>
      </w:r>
      <w:bookmarkEnd w:id="10"/>
      <w:bookmarkEnd w:id="11"/>
      <w:r w:rsidR="00C037C9" w:rsidRPr="00104B31">
        <w:rPr>
          <w:rFonts w:asciiTheme="minorHAnsi" w:hAnsiTheme="minorHAnsi"/>
          <w:color w:val="FF0000"/>
          <w:sz w:val="24"/>
          <w:szCs w:val="22"/>
        </w:rPr>
        <w:t xml:space="preserve"> is available separately.</w:t>
      </w:r>
      <w:r w:rsidRPr="00104B31">
        <w:rPr>
          <w:rFonts w:asciiTheme="minorHAnsi" w:hAnsiTheme="minorHAnsi"/>
          <w:color w:val="FF0000"/>
          <w:sz w:val="24"/>
          <w:szCs w:val="22"/>
        </w:rPr>
        <w:t>]</w:t>
      </w:r>
    </w:p>
    <w:p w14:paraId="3B8266AD" w14:textId="77777777" w:rsidR="00CB3166" w:rsidRPr="00104B31" w:rsidRDefault="00CB3166" w:rsidP="00CB3166">
      <w:pPr>
        <w:rPr>
          <w:rFonts w:asciiTheme="minorHAnsi" w:hAnsiTheme="minorHAnsi"/>
          <w:sz w:val="24"/>
          <w:szCs w:val="22"/>
        </w:rPr>
      </w:pPr>
    </w:p>
    <w:p w14:paraId="4FC9236A" w14:textId="77777777" w:rsidR="00CB3166" w:rsidRPr="00104B31" w:rsidRDefault="00CB3166" w:rsidP="00CB3166">
      <w:pPr>
        <w:pStyle w:val="CommentsandQuestions"/>
        <w:rPr>
          <w:rFonts w:asciiTheme="minorHAnsi" w:hAnsiTheme="minorHAnsi"/>
          <w:sz w:val="24"/>
          <w:szCs w:val="22"/>
        </w:rPr>
      </w:pPr>
      <w:r w:rsidRPr="00104B31">
        <w:rPr>
          <w:rFonts w:asciiTheme="minorHAnsi" w:hAnsiTheme="minorHAnsi"/>
          <w:sz w:val="24"/>
          <w:szCs w:val="22"/>
        </w:rPr>
        <w:lastRenderedPageBreak/>
        <w:t>Questions and Comments</w:t>
      </w:r>
    </w:p>
    <w:p w14:paraId="72608B05" w14:textId="77777777" w:rsidR="00CB3166" w:rsidRPr="00104B31" w:rsidRDefault="00CB3166" w:rsidP="00CB3166">
      <w:pPr>
        <w:rPr>
          <w:rFonts w:asciiTheme="minorHAnsi" w:hAnsiTheme="minorHAnsi"/>
          <w:sz w:val="24"/>
          <w:szCs w:val="22"/>
        </w:rPr>
      </w:pPr>
      <w:r w:rsidRPr="00104B31">
        <w:rPr>
          <w:rFonts w:asciiTheme="minorHAnsi" w:hAnsiTheme="minorHAnsi"/>
          <w:sz w:val="24"/>
          <w:szCs w:val="22"/>
        </w:rPr>
        <w:t xml:space="preserve">1. </w:t>
      </w:r>
      <w:r w:rsidRPr="00104B31">
        <w:rPr>
          <w:rFonts w:asciiTheme="minorHAnsi" w:hAnsiTheme="minorHAnsi"/>
          <w:i/>
          <w:iCs/>
          <w:sz w:val="24"/>
          <w:szCs w:val="22"/>
        </w:rPr>
        <w:t>Trademark rights and open innovation</w:t>
      </w:r>
      <w:r w:rsidRPr="00104B31">
        <w:rPr>
          <w:rFonts w:asciiTheme="minorHAnsi" w:hAnsiTheme="minorHAnsi"/>
          <w:sz w:val="24"/>
          <w:szCs w:val="22"/>
        </w:rPr>
        <w:t xml:space="preserve">. Linus Torvalds released the Linux operating system kernel in 1991 and has since overseen the development of Linux into one of the world’s leading operating systems, particularly for servers, mainframes, supercomputers, and, through the Linux-derived Android mobile operating system, smartphones. Linux is open source software and Torvalds is an outspoken advocate for the open source movement. But Torvalds asserts tight control over the </w:t>
      </w:r>
      <w:proofErr w:type="spellStart"/>
      <w:r w:rsidRPr="00104B31">
        <w:rPr>
          <w:rFonts w:asciiTheme="minorHAnsi" w:hAnsiTheme="minorHAnsi"/>
          <w:smallCaps/>
          <w:sz w:val="24"/>
          <w:szCs w:val="22"/>
        </w:rPr>
        <w:t>linux</w:t>
      </w:r>
      <w:proofErr w:type="spellEnd"/>
      <w:r w:rsidRPr="00104B31">
        <w:rPr>
          <w:rFonts w:asciiTheme="minorHAnsi" w:hAnsiTheme="minorHAnsi"/>
          <w:sz w:val="24"/>
          <w:szCs w:val="22"/>
        </w:rPr>
        <w:t xml:space="preserve"> trademark. </w:t>
      </w:r>
      <w:r w:rsidRPr="00104B31">
        <w:rPr>
          <w:rFonts w:asciiTheme="minorHAnsi" w:hAnsiTheme="minorHAnsi"/>
          <w:i/>
          <w:iCs/>
          <w:sz w:val="24"/>
          <w:szCs w:val="22"/>
        </w:rPr>
        <w:t>See</w:t>
      </w:r>
      <w:r w:rsidRPr="00104B31">
        <w:rPr>
          <w:rFonts w:asciiTheme="minorHAnsi" w:hAnsiTheme="minorHAnsi"/>
          <w:sz w:val="24"/>
          <w:szCs w:val="22"/>
        </w:rPr>
        <w:t xml:space="preserve"> https://www.linuxfoundation.org/about/linux-mark/. He does so in part to ensure that the trademark </w:t>
      </w:r>
      <w:proofErr w:type="gramStart"/>
      <w:r w:rsidRPr="00104B31">
        <w:rPr>
          <w:rFonts w:asciiTheme="minorHAnsi" w:hAnsiTheme="minorHAnsi"/>
          <w:sz w:val="24"/>
          <w:szCs w:val="22"/>
        </w:rPr>
        <w:t>not be</w:t>
      </w:r>
      <w:proofErr w:type="gramEnd"/>
      <w:r w:rsidRPr="00104B31">
        <w:rPr>
          <w:rFonts w:asciiTheme="minorHAnsi" w:hAnsiTheme="minorHAnsi"/>
          <w:sz w:val="24"/>
          <w:szCs w:val="22"/>
        </w:rPr>
        <w:t xml:space="preserve"> deemed abandoned and in part to control the development of the Linux operating system itself. On the important role played by trademark rights (and moral rights) in open source software development, see Greg Vetter, </w:t>
      </w:r>
      <w:r w:rsidRPr="00104B31">
        <w:rPr>
          <w:rFonts w:asciiTheme="minorHAnsi" w:hAnsiTheme="minorHAnsi"/>
          <w:i/>
          <w:iCs/>
          <w:sz w:val="24"/>
          <w:szCs w:val="22"/>
        </w:rPr>
        <w:t>The Collaborative Integrity of Open-Source Software</w:t>
      </w:r>
      <w:r w:rsidRPr="00104B31">
        <w:rPr>
          <w:rFonts w:asciiTheme="minorHAnsi" w:hAnsiTheme="minorHAnsi"/>
          <w:sz w:val="24"/>
          <w:szCs w:val="22"/>
        </w:rPr>
        <w:t xml:space="preserve">, 2004 </w:t>
      </w:r>
      <w:r w:rsidRPr="00104B31">
        <w:rPr>
          <w:rFonts w:asciiTheme="minorHAnsi" w:hAnsiTheme="minorHAnsi"/>
          <w:smallCaps/>
          <w:sz w:val="24"/>
          <w:szCs w:val="22"/>
        </w:rPr>
        <w:t>Utah L. Rev.</w:t>
      </w:r>
      <w:r w:rsidRPr="00104B31">
        <w:rPr>
          <w:rFonts w:asciiTheme="minorHAnsi" w:hAnsiTheme="minorHAnsi"/>
          <w:sz w:val="24"/>
          <w:szCs w:val="22"/>
        </w:rPr>
        <w:t xml:space="preserve"> 563 (2004).</w:t>
      </w:r>
    </w:p>
    <w:p w14:paraId="7CC24622" w14:textId="77777777" w:rsidR="00CB3166" w:rsidRPr="00104B31" w:rsidRDefault="00CB3166" w:rsidP="00CB3166">
      <w:pPr>
        <w:rPr>
          <w:rFonts w:asciiTheme="minorHAnsi" w:hAnsiTheme="minorHAnsi"/>
          <w:sz w:val="24"/>
          <w:szCs w:val="22"/>
        </w:rPr>
      </w:pPr>
      <w:r w:rsidRPr="00104B31">
        <w:rPr>
          <w:rFonts w:asciiTheme="minorHAnsi" w:hAnsiTheme="minorHAnsi"/>
          <w:sz w:val="24"/>
          <w:szCs w:val="22"/>
        </w:rPr>
        <w:t xml:space="preserve">2. </w:t>
      </w:r>
      <w:r w:rsidRPr="00104B31">
        <w:rPr>
          <w:rFonts w:asciiTheme="minorHAnsi" w:hAnsiTheme="minorHAnsi"/>
          <w:i/>
          <w:sz w:val="24"/>
          <w:szCs w:val="22"/>
        </w:rPr>
        <w:t>Reclaiming abandoned marks</w:t>
      </w:r>
      <w:r w:rsidRPr="00104B31">
        <w:rPr>
          <w:rFonts w:asciiTheme="minorHAnsi" w:hAnsiTheme="minorHAnsi"/>
          <w:sz w:val="24"/>
          <w:szCs w:val="22"/>
        </w:rPr>
        <w:t xml:space="preserve">. After a mark has been abandoned, anyone may establish rights in the mark by beginning to use the mark in commerce or filing an application to register the mark. In </w:t>
      </w:r>
      <w:r w:rsidRPr="00104B31">
        <w:rPr>
          <w:rFonts w:asciiTheme="minorHAnsi" w:hAnsiTheme="minorHAnsi"/>
          <w:i/>
          <w:sz w:val="24"/>
          <w:szCs w:val="22"/>
        </w:rPr>
        <w:t>California Cedar Prod. Co. v. Pine Mountain Corp</w:t>
      </w:r>
      <w:r w:rsidRPr="00104B31">
        <w:rPr>
          <w:rFonts w:asciiTheme="minorHAnsi" w:hAnsiTheme="minorHAnsi"/>
          <w:sz w:val="24"/>
          <w:szCs w:val="22"/>
        </w:rPr>
        <w:t xml:space="preserve">., 724 F.2d 827 (9th Cir. 1984), the Clorox Corporation was the owner through a subsidiary of the </w:t>
      </w:r>
      <w:proofErr w:type="spellStart"/>
      <w:r w:rsidRPr="00104B31">
        <w:rPr>
          <w:rFonts w:asciiTheme="minorHAnsi" w:hAnsiTheme="minorHAnsi"/>
          <w:smallCaps/>
          <w:sz w:val="24"/>
          <w:szCs w:val="22"/>
        </w:rPr>
        <w:t>duraflame</w:t>
      </w:r>
      <w:proofErr w:type="spellEnd"/>
      <w:r w:rsidRPr="00104B31">
        <w:rPr>
          <w:rFonts w:asciiTheme="minorHAnsi" w:hAnsiTheme="minorHAnsi"/>
          <w:sz w:val="24"/>
          <w:szCs w:val="22"/>
        </w:rPr>
        <w:t xml:space="preserve"> mark. Clorox withdrew from the artificial </w:t>
      </w:r>
      <w:proofErr w:type="spellStart"/>
      <w:r w:rsidRPr="00104B31">
        <w:rPr>
          <w:rFonts w:asciiTheme="minorHAnsi" w:hAnsiTheme="minorHAnsi"/>
          <w:sz w:val="24"/>
          <w:szCs w:val="22"/>
        </w:rPr>
        <w:t>firelog</w:t>
      </w:r>
      <w:proofErr w:type="spellEnd"/>
      <w:r w:rsidRPr="00104B31">
        <w:rPr>
          <w:rFonts w:asciiTheme="minorHAnsi" w:hAnsiTheme="minorHAnsi"/>
          <w:sz w:val="24"/>
          <w:szCs w:val="22"/>
        </w:rPr>
        <w:t xml:space="preserve"> market and published a notice in the Wall Street Journal announcing its abandonment of the mark. Clorox did so for tax purposes; by abandoning the mark, it could write off the value of the mark. On the same day as the Wall Street Journal announcement, California Cedar, which manufactured </w:t>
      </w:r>
      <w:proofErr w:type="spellStart"/>
      <w:r w:rsidRPr="00104B31">
        <w:rPr>
          <w:rFonts w:asciiTheme="minorHAnsi" w:hAnsiTheme="minorHAnsi"/>
          <w:sz w:val="24"/>
          <w:szCs w:val="22"/>
        </w:rPr>
        <w:t>firelogs</w:t>
      </w:r>
      <w:proofErr w:type="spellEnd"/>
      <w:r w:rsidRPr="00104B31">
        <w:rPr>
          <w:rFonts w:asciiTheme="minorHAnsi" w:hAnsiTheme="minorHAnsi"/>
          <w:sz w:val="24"/>
          <w:szCs w:val="22"/>
        </w:rPr>
        <w:t xml:space="preserve"> for Clorox under the </w:t>
      </w:r>
      <w:proofErr w:type="spellStart"/>
      <w:r w:rsidRPr="00104B31">
        <w:rPr>
          <w:rFonts w:asciiTheme="minorHAnsi" w:hAnsiTheme="minorHAnsi"/>
          <w:smallCaps/>
          <w:sz w:val="24"/>
          <w:szCs w:val="22"/>
        </w:rPr>
        <w:t>duraflame</w:t>
      </w:r>
      <w:proofErr w:type="spellEnd"/>
      <w:r w:rsidRPr="00104B31">
        <w:rPr>
          <w:rFonts w:asciiTheme="minorHAnsi" w:hAnsiTheme="minorHAnsi"/>
          <w:sz w:val="24"/>
          <w:szCs w:val="22"/>
        </w:rPr>
        <w:t xml:space="preserve"> mark, began selling </w:t>
      </w:r>
      <w:proofErr w:type="spellStart"/>
      <w:r w:rsidRPr="00104B31">
        <w:rPr>
          <w:rFonts w:asciiTheme="minorHAnsi" w:hAnsiTheme="minorHAnsi"/>
          <w:smallCaps/>
          <w:sz w:val="24"/>
          <w:szCs w:val="22"/>
        </w:rPr>
        <w:t>duraflame</w:t>
      </w:r>
      <w:proofErr w:type="spellEnd"/>
      <w:r w:rsidRPr="00104B31">
        <w:rPr>
          <w:rFonts w:asciiTheme="minorHAnsi" w:hAnsiTheme="minorHAnsi"/>
          <w:sz w:val="24"/>
          <w:szCs w:val="22"/>
        </w:rPr>
        <w:t xml:space="preserve">-branded </w:t>
      </w:r>
      <w:proofErr w:type="spellStart"/>
      <w:r w:rsidRPr="00104B31">
        <w:rPr>
          <w:rFonts w:asciiTheme="minorHAnsi" w:hAnsiTheme="minorHAnsi"/>
          <w:sz w:val="24"/>
          <w:szCs w:val="22"/>
        </w:rPr>
        <w:t>firelogs</w:t>
      </w:r>
      <w:proofErr w:type="spellEnd"/>
      <w:r w:rsidRPr="00104B31">
        <w:rPr>
          <w:rFonts w:asciiTheme="minorHAnsi" w:hAnsiTheme="minorHAnsi"/>
          <w:sz w:val="24"/>
          <w:szCs w:val="22"/>
        </w:rPr>
        <w:t xml:space="preserve"> in packaging that identified California Cedar as their source. Two other entities asserted rights in the mark. The defendant Pine Mountain had hurriedly begun to sell </w:t>
      </w:r>
      <w:proofErr w:type="spellStart"/>
      <w:r w:rsidRPr="00104B31">
        <w:rPr>
          <w:rFonts w:asciiTheme="minorHAnsi" w:hAnsiTheme="minorHAnsi"/>
          <w:smallCaps/>
          <w:sz w:val="24"/>
          <w:szCs w:val="22"/>
        </w:rPr>
        <w:t>duraflame</w:t>
      </w:r>
      <w:proofErr w:type="spellEnd"/>
      <w:r w:rsidRPr="00104B31">
        <w:rPr>
          <w:rFonts w:asciiTheme="minorHAnsi" w:hAnsiTheme="minorHAnsi"/>
          <w:sz w:val="24"/>
          <w:szCs w:val="22"/>
        </w:rPr>
        <w:t xml:space="preserve">-branded </w:t>
      </w:r>
      <w:proofErr w:type="spellStart"/>
      <w:r w:rsidRPr="00104B31">
        <w:rPr>
          <w:rFonts w:asciiTheme="minorHAnsi" w:hAnsiTheme="minorHAnsi"/>
          <w:sz w:val="24"/>
          <w:szCs w:val="22"/>
        </w:rPr>
        <w:t>firelogs</w:t>
      </w:r>
      <w:proofErr w:type="spellEnd"/>
      <w:r w:rsidRPr="00104B31">
        <w:rPr>
          <w:rFonts w:asciiTheme="minorHAnsi" w:hAnsiTheme="minorHAnsi"/>
          <w:sz w:val="24"/>
          <w:szCs w:val="22"/>
        </w:rPr>
        <w:t xml:space="preserve"> two days before the Wall Street Journal announcement. Another entity began selling such </w:t>
      </w:r>
      <w:proofErr w:type="spellStart"/>
      <w:r w:rsidRPr="00104B31">
        <w:rPr>
          <w:rFonts w:asciiTheme="minorHAnsi" w:hAnsiTheme="minorHAnsi"/>
          <w:sz w:val="24"/>
          <w:szCs w:val="22"/>
        </w:rPr>
        <w:t>firelogs</w:t>
      </w:r>
      <w:proofErr w:type="spellEnd"/>
      <w:r w:rsidRPr="00104B31">
        <w:rPr>
          <w:rFonts w:asciiTheme="minorHAnsi" w:hAnsiTheme="minorHAnsi"/>
          <w:sz w:val="24"/>
          <w:szCs w:val="22"/>
        </w:rPr>
        <w:t xml:space="preserve"> two days after the announcement. Affirming the district court’s granting of a preliminary injunction to California Cedar, the Ninth Circuit determined that Pine Mountain’s sales were “both premature and in bad faith.” </w:t>
      </w:r>
      <w:r w:rsidRPr="00104B31">
        <w:rPr>
          <w:rFonts w:asciiTheme="minorHAnsi" w:hAnsiTheme="minorHAnsi"/>
          <w:i/>
          <w:sz w:val="24"/>
          <w:szCs w:val="22"/>
        </w:rPr>
        <w:t>Id</w:t>
      </w:r>
      <w:r w:rsidRPr="00104B31">
        <w:rPr>
          <w:rFonts w:asciiTheme="minorHAnsi" w:hAnsiTheme="minorHAnsi"/>
          <w:sz w:val="24"/>
          <w:szCs w:val="22"/>
        </w:rPr>
        <w:t>. at 830. “[S]</w:t>
      </w:r>
      <w:proofErr w:type="spellStart"/>
      <w:r w:rsidRPr="00104B31">
        <w:rPr>
          <w:rFonts w:asciiTheme="minorHAnsi" w:hAnsiTheme="minorHAnsi"/>
          <w:sz w:val="24"/>
          <w:szCs w:val="22"/>
        </w:rPr>
        <w:t>ince</w:t>
      </w:r>
      <w:proofErr w:type="spellEnd"/>
      <w:r w:rsidRPr="00104B31">
        <w:rPr>
          <w:rFonts w:asciiTheme="minorHAnsi" w:hAnsiTheme="minorHAnsi"/>
          <w:sz w:val="24"/>
          <w:szCs w:val="22"/>
        </w:rPr>
        <w:t xml:space="preserve"> California Cedar was the first to use the ‘Duraflame’ trademark and trade dress after its abandonment, it was likely to prevail on the merits.” </w:t>
      </w:r>
      <w:r w:rsidRPr="00104B31">
        <w:rPr>
          <w:rFonts w:asciiTheme="minorHAnsi" w:hAnsiTheme="minorHAnsi"/>
          <w:i/>
          <w:sz w:val="24"/>
          <w:szCs w:val="22"/>
        </w:rPr>
        <w:t>Id</w:t>
      </w:r>
      <w:r w:rsidRPr="00104B31">
        <w:rPr>
          <w:rFonts w:asciiTheme="minorHAnsi" w:hAnsiTheme="minorHAnsi"/>
          <w:sz w:val="24"/>
          <w:szCs w:val="22"/>
        </w:rPr>
        <w:t xml:space="preserve">. at 831. The facts of </w:t>
      </w:r>
      <w:r w:rsidRPr="00104B31">
        <w:rPr>
          <w:rFonts w:asciiTheme="minorHAnsi" w:hAnsiTheme="minorHAnsi"/>
          <w:i/>
          <w:sz w:val="24"/>
          <w:szCs w:val="22"/>
        </w:rPr>
        <w:t>California Cedar</w:t>
      </w:r>
      <w:r w:rsidRPr="00104B31">
        <w:rPr>
          <w:rFonts w:asciiTheme="minorHAnsi" w:hAnsiTheme="minorHAnsi"/>
          <w:sz w:val="24"/>
          <w:szCs w:val="22"/>
        </w:rPr>
        <w:t xml:space="preserve"> transpired before the Trademark Law Revision Act of 1989. In a comparable present-day situation, how might a sophisticated claimant establish rights in an abandoned mark?</w:t>
      </w:r>
    </w:p>
    <w:p w14:paraId="4409885A" w14:textId="77777777" w:rsidR="00CB3166" w:rsidRPr="00104B31" w:rsidRDefault="00CB3166" w:rsidP="00CB3166">
      <w:pPr>
        <w:rPr>
          <w:rFonts w:asciiTheme="minorHAnsi" w:hAnsiTheme="minorHAnsi"/>
          <w:sz w:val="24"/>
          <w:szCs w:val="22"/>
        </w:rPr>
      </w:pPr>
      <w:r w:rsidRPr="00104B31">
        <w:rPr>
          <w:rFonts w:asciiTheme="minorHAnsi" w:hAnsiTheme="minorHAnsi"/>
          <w:sz w:val="24"/>
          <w:szCs w:val="22"/>
        </w:rPr>
        <w:t xml:space="preserve">3. </w:t>
      </w:r>
      <w:r w:rsidRPr="00104B31">
        <w:rPr>
          <w:rFonts w:asciiTheme="minorHAnsi" w:hAnsiTheme="minorHAnsi"/>
          <w:i/>
          <w:sz w:val="24"/>
          <w:szCs w:val="22"/>
        </w:rPr>
        <w:t>Abandoned marks and “residual goodwill.”</w:t>
      </w:r>
      <w:r w:rsidRPr="00104B31">
        <w:rPr>
          <w:rFonts w:asciiTheme="minorHAnsi" w:hAnsiTheme="minorHAnsi"/>
          <w:sz w:val="24"/>
          <w:szCs w:val="22"/>
        </w:rPr>
        <w:t xml:space="preserve"> After a prior owner has abandoned a mark, the mark may possess “residual goodwill” that points towards the prior owner. In very rare cases, this residual goodwill may defeat </w:t>
      </w:r>
      <w:proofErr w:type="gramStart"/>
      <w:r w:rsidRPr="00104B31">
        <w:rPr>
          <w:rFonts w:asciiTheme="minorHAnsi" w:hAnsiTheme="minorHAnsi"/>
          <w:sz w:val="24"/>
          <w:szCs w:val="22"/>
        </w:rPr>
        <w:t>a finding</w:t>
      </w:r>
      <w:proofErr w:type="gramEnd"/>
      <w:r w:rsidRPr="00104B31">
        <w:rPr>
          <w:rFonts w:asciiTheme="minorHAnsi" w:hAnsiTheme="minorHAnsi"/>
          <w:sz w:val="24"/>
          <w:szCs w:val="22"/>
        </w:rPr>
        <w:t xml:space="preserve"> of abandonment. </w:t>
      </w:r>
      <w:r w:rsidRPr="00104B31">
        <w:rPr>
          <w:rFonts w:asciiTheme="minorHAnsi" w:hAnsiTheme="minorHAnsi"/>
          <w:i/>
          <w:sz w:val="24"/>
          <w:szCs w:val="22"/>
        </w:rPr>
        <w:t xml:space="preserve">See, e.g., Ferrari S.p.A. </w:t>
      </w:r>
      <w:proofErr w:type="spellStart"/>
      <w:r w:rsidRPr="00104B31">
        <w:rPr>
          <w:rFonts w:asciiTheme="minorHAnsi" w:hAnsiTheme="minorHAnsi"/>
          <w:i/>
          <w:sz w:val="24"/>
          <w:szCs w:val="22"/>
        </w:rPr>
        <w:t>Esercizio</w:t>
      </w:r>
      <w:proofErr w:type="spellEnd"/>
      <w:r w:rsidRPr="00104B31">
        <w:rPr>
          <w:rFonts w:asciiTheme="minorHAnsi" w:hAnsiTheme="minorHAnsi"/>
          <w:i/>
          <w:sz w:val="24"/>
          <w:szCs w:val="22"/>
        </w:rPr>
        <w:t xml:space="preserve"> </w:t>
      </w:r>
      <w:proofErr w:type="spellStart"/>
      <w:r w:rsidRPr="00104B31">
        <w:rPr>
          <w:rFonts w:asciiTheme="minorHAnsi" w:hAnsiTheme="minorHAnsi"/>
          <w:i/>
          <w:sz w:val="24"/>
          <w:szCs w:val="22"/>
        </w:rPr>
        <w:t>Fabriche</w:t>
      </w:r>
      <w:proofErr w:type="spellEnd"/>
      <w:r w:rsidRPr="00104B31">
        <w:rPr>
          <w:rFonts w:asciiTheme="minorHAnsi" w:hAnsiTheme="minorHAnsi"/>
          <w:i/>
          <w:sz w:val="24"/>
          <w:szCs w:val="22"/>
        </w:rPr>
        <w:t xml:space="preserve"> </w:t>
      </w:r>
      <w:proofErr w:type="spellStart"/>
      <w:r w:rsidRPr="00104B31">
        <w:rPr>
          <w:rFonts w:asciiTheme="minorHAnsi" w:hAnsiTheme="minorHAnsi"/>
          <w:i/>
          <w:sz w:val="24"/>
          <w:szCs w:val="22"/>
        </w:rPr>
        <w:t>Automobili</w:t>
      </w:r>
      <w:proofErr w:type="spellEnd"/>
      <w:r w:rsidRPr="00104B31">
        <w:rPr>
          <w:rFonts w:asciiTheme="minorHAnsi" w:hAnsiTheme="minorHAnsi"/>
          <w:i/>
          <w:sz w:val="24"/>
          <w:szCs w:val="22"/>
        </w:rPr>
        <w:t xml:space="preserve"> e Corse v. McBurnie</w:t>
      </w:r>
      <w:r w:rsidRPr="00104B31">
        <w:rPr>
          <w:rFonts w:asciiTheme="minorHAnsi" w:hAnsiTheme="minorHAnsi"/>
          <w:sz w:val="24"/>
          <w:szCs w:val="22"/>
        </w:rPr>
        <w:t xml:space="preserve">, 11 U.S.P.Q.2d 1843, 1989 WL 298658, at *8 (S.D. Cal. 1989) (finding no abandonment where due to continuing very strong associations between Ferrari and the exterior design of the Daytona Spyder and Ferrari’s continuing manufacture of spare parts, “Ferrari has not only achieved a strong existing goodwill but continues to maintain a residual goodwill in the unique design of the DAYTONA </w:t>
      </w:r>
      <w:r w:rsidRPr="00104B31">
        <w:rPr>
          <w:rFonts w:asciiTheme="minorHAnsi" w:hAnsiTheme="minorHAnsi"/>
          <w:sz w:val="24"/>
          <w:szCs w:val="22"/>
        </w:rPr>
        <w:lastRenderedPageBreak/>
        <w:t xml:space="preserve">SPYDER”). The new user of a mark that possesses “residual goodwill” may be required to take reasonable measures, such as the use of a disclaimer, to ensure that consumers do not mistakenly believe that the new user’s products originate in the old user of the mark. </w:t>
      </w:r>
      <w:r w:rsidRPr="00104B31">
        <w:rPr>
          <w:rFonts w:asciiTheme="minorHAnsi" w:hAnsiTheme="minorHAnsi"/>
          <w:i/>
          <w:sz w:val="24"/>
          <w:szCs w:val="22"/>
        </w:rPr>
        <w:t>See</w:t>
      </w:r>
      <w:r w:rsidRPr="00104B31">
        <w:rPr>
          <w:rFonts w:asciiTheme="minorHAnsi" w:hAnsiTheme="minorHAnsi"/>
          <w:sz w:val="24"/>
          <w:szCs w:val="22"/>
        </w:rPr>
        <w:t xml:space="preserve"> Jerome Gilson &amp; Anne Gilson LaLonde, </w:t>
      </w:r>
      <w:r w:rsidRPr="00104B31">
        <w:rPr>
          <w:rFonts w:asciiTheme="minorHAnsi" w:hAnsiTheme="minorHAnsi"/>
          <w:i/>
          <w:sz w:val="24"/>
          <w:szCs w:val="22"/>
        </w:rPr>
        <w:t>The Zombie Trademark: A Windfall and a Pitfall</w:t>
      </w:r>
      <w:r w:rsidRPr="00104B31">
        <w:rPr>
          <w:rFonts w:asciiTheme="minorHAnsi" w:hAnsiTheme="minorHAnsi"/>
          <w:sz w:val="24"/>
          <w:szCs w:val="22"/>
        </w:rPr>
        <w:t xml:space="preserve">, 98 </w:t>
      </w:r>
      <w:r w:rsidRPr="00104B31">
        <w:rPr>
          <w:rFonts w:asciiTheme="minorHAnsi" w:hAnsiTheme="minorHAnsi"/>
          <w:smallCaps/>
          <w:sz w:val="24"/>
          <w:szCs w:val="22"/>
        </w:rPr>
        <w:t>Trademark Rep</w:t>
      </w:r>
      <w:r w:rsidRPr="00104B31">
        <w:rPr>
          <w:rFonts w:asciiTheme="minorHAnsi" w:hAnsiTheme="minorHAnsi"/>
          <w:sz w:val="24"/>
          <w:szCs w:val="22"/>
        </w:rPr>
        <w:t xml:space="preserve">. 1280 (2008). </w:t>
      </w:r>
    </w:p>
    <w:p w14:paraId="3CC0C43B" w14:textId="77777777" w:rsidR="00CB3166" w:rsidRPr="00104B31" w:rsidRDefault="00CB3166" w:rsidP="00CB3166">
      <w:pPr>
        <w:pStyle w:val="Heading2"/>
        <w:rPr>
          <w:rFonts w:asciiTheme="minorHAnsi" w:hAnsiTheme="minorHAnsi"/>
        </w:rPr>
      </w:pPr>
      <w:bookmarkStart w:id="12" w:name="_Toc519683171"/>
      <w:bookmarkStart w:id="13" w:name="_Toc201424463"/>
      <w:r w:rsidRPr="00104B31">
        <w:rPr>
          <w:rFonts w:asciiTheme="minorHAnsi" w:hAnsiTheme="minorHAnsi"/>
        </w:rPr>
        <w:t>E.</w:t>
      </w:r>
      <w:r w:rsidRPr="00104B31">
        <w:rPr>
          <w:rFonts w:asciiTheme="minorHAnsi" w:hAnsiTheme="minorHAnsi"/>
        </w:rPr>
        <w:tab/>
        <w:t>Assignment in Gross</w:t>
      </w:r>
      <w:bookmarkEnd w:id="12"/>
      <w:bookmarkEnd w:id="13"/>
    </w:p>
    <w:p w14:paraId="0C5ECBB1" w14:textId="15B3A538" w:rsidR="00CB3166" w:rsidRPr="00104B31" w:rsidRDefault="00CB3166" w:rsidP="00CB3166">
      <w:pPr>
        <w:rPr>
          <w:rFonts w:asciiTheme="minorHAnsi" w:hAnsiTheme="minorHAnsi"/>
          <w:sz w:val="24"/>
          <w:szCs w:val="22"/>
        </w:rPr>
      </w:pPr>
      <w:r w:rsidRPr="00104B31">
        <w:rPr>
          <w:rFonts w:asciiTheme="minorHAnsi" w:hAnsiTheme="minorHAnsi"/>
          <w:sz w:val="24"/>
          <w:szCs w:val="22"/>
        </w:rPr>
        <w:t xml:space="preserve">A trademark may be assigned to another entity provided that the “goodwill” of the mark is assigned along with it. Lanham Act § 10, 15 U.S.C.A. § 1060. An assignment of the mark without its goodwill is deemed an invalid “assignment in gross.”  To determine if a such an “assignment in gross” has occurred, courts will typically focus on whether (1) the assignor assigned along with the trademark any additional assets associated with the trademark, such as manufacturing facilities, product design information, or customer lists, and (2) the assignee produces goods or services substantially similar to the assignor’s such that consumers would not be deceived. Over time, courts have come to place greater emphasis on the second consideration. “The rule prohibiting an assignment in gross is now understood to require the seller and purchaser to attempt to ensure the accuracy of the implied representation of continuity of the seller’s quality control by taking steps to ensure that some facsimile of the seller’s quality control remains in place through the closing and for some indefinite period thereafter.” Neal R. Platt, </w:t>
      </w:r>
      <w:r w:rsidRPr="00104B31">
        <w:rPr>
          <w:rFonts w:asciiTheme="minorHAnsi" w:hAnsiTheme="minorHAnsi"/>
          <w:i/>
          <w:iCs/>
          <w:sz w:val="24"/>
          <w:szCs w:val="22"/>
        </w:rPr>
        <w:t>Good Will Enduring: How to Ensure that Trademark Priority Will Not be Destroyed by the Sale of a Business</w:t>
      </w:r>
      <w:r w:rsidRPr="00104B31">
        <w:rPr>
          <w:rFonts w:asciiTheme="minorHAnsi" w:hAnsiTheme="minorHAnsi"/>
          <w:sz w:val="24"/>
          <w:szCs w:val="22"/>
        </w:rPr>
        <w:t xml:space="preserve">, 99 </w:t>
      </w:r>
      <w:r w:rsidRPr="00104B31">
        <w:rPr>
          <w:rFonts w:asciiTheme="minorHAnsi" w:hAnsiTheme="minorHAnsi"/>
          <w:smallCaps/>
          <w:sz w:val="24"/>
          <w:szCs w:val="22"/>
        </w:rPr>
        <w:t>Trademark Rep.</w:t>
      </w:r>
      <w:r w:rsidRPr="00104B31">
        <w:rPr>
          <w:rFonts w:asciiTheme="minorHAnsi" w:hAnsiTheme="minorHAnsi"/>
          <w:sz w:val="24"/>
          <w:szCs w:val="22"/>
        </w:rPr>
        <w:t xml:space="preserve"> 788 (2009). When a trademark owner engages in an “assignment in gross” of its mark, the trademark assignor may lose rights in its mark (through abandonment) and the assignee essentially receives nothing. In most situations, as in the following case, the assignee may claim exclusive rights in the mark, but the basis of and the priority date for those rights </w:t>
      </w:r>
      <w:proofErr w:type="gramStart"/>
      <w:r w:rsidRPr="00104B31">
        <w:rPr>
          <w:rFonts w:asciiTheme="minorHAnsi" w:hAnsiTheme="minorHAnsi"/>
          <w:sz w:val="24"/>
          <w:szCs w:val="22"/>
        </w:rPr>
        <w:t>stem</w:t>
      </w:r>
      <w:proofErr w:type="gramEnd"/>
      <w:r w:rsidRPr="00104B31">
        <w:rPr>
          <w:rFonts w:asciiTheme="minorHAnsi" w:hAnsiTheme="minorHAnsi"/>
          <w:sz w:val="24"/>
          <w:szCs w:val="22"/>
        </w:rPr>
        <w:t xml:space="preserve"> only from the assignee’s new use of the mark, not from any previous use by the assignor. </w:t>
      </w:r>
      <w:bookmarkStart w:id="14" w:name="_Hlk106374807"/>
      <w:r w:rsidRPr="00104B31">
        <w:rPr>
          <w:rFonts w:asciiTheme="minorHAnsi" w:hAnsiTheme="minorHAnsi"/>
          <w:i/>
          <w:iCs/>
          <w:sz w:val="24"/>
          <w:szCs w:val="22"/>
        </w:rPr>
        <w:t>See generally</w:t>
      </w:r>
      <w:r w:rsidRPr="00104B31">
        <w:rPr>
          <w:rFonts w:asciiTheme="minorHAnsi" w:hAnsiTheme="minorHAnsi"/>
          <w:sz w:val="24"/>
          <w:szCs w:val="22"/>
        </w:rPr>
        <w:t xml:space="preserve"> Lynda Zadra-Symes &amp; Jacob Rosenbaum, </w:t>
      </w:r>
      <w:r w:rsidRPr="00104B31">
        <w:rPr>
          <w:rFonts w:asciiTheme="minorHAnsi" w:hAnsiTheme="minorHAnsi"/>
          <w:i/>
          <w:iCs/>
          <w:sz w:val="24"/>
          <w:szCs w:val="22"/>
        </w:rPr>
        <w:t>How Gross Is Your Assignment? Actions Speak Louder Than Words When Transferring Goodwill</w:t>
      </w:r>
      <w:r w:rsidRPr="00104B31">
        <w:rPr>
          <w:rFonts w:asciiTheme="minorHAnsi" w:hAnsiTheme="minorHAnsi"/>
          <w:sz w:val="24"/>
          <w:szCs w:val="22"/>
        </w:rPr>
        <w:t xml:space="preserve">, 111 </w:t>
      </w:r>
      <w:r w:rsidRPr="00104B31">
        <w:rPr>
          <w:rFonts w:asciiTheme="minorHAnsi" w:hAnsiTheme="minorHAnsi"/>
          <w:smallCaps/>
          <w:sz w:val="24"/>
          <w:szCs w:val="22"/>
        </w:rPr>
        <w:t>Trademark Rep</w:t>
      </w:r>
      <w:r w:rsidRPr="00104B31">
        <w:rPr>
          <w:rFonts w:asciiTheme="minorHAnsi" w:hAnsiTheme="minorHAnsi"/>
          <w:sz w:val="24"/>
          <w:szCs w:val="22"/>
        </w:rPr>
        <w:t>. 838 (2021).</w:t>
      </w:r>
      <w:bookmarkEnd w:id="14"/>
    </w:p>
    <w:p w14:paraId="2BB8EB97" w14:textId="77777777" w:rsidR="00CB3166" w:rsidRPr="00104B31" w:rsidRDefault="00CB3166" w:rsidP="00CB3166">
      <w:pPr>
        <w:rPr>
          <w:rFonts w:asciiTheme="minorHAnsi" w:hAnsiTheme="minorHAnsi"/>
          <w:sz w:val="24"/>
          <w:szCs w:val="22"/>
        </w:rPr>
      </w:pPr>
    </w:p>
    <w:p w14:paraId="7032D2B9" w14:textId="595A81AD" w:rsidR="00CB3166" w:rsidRPr="00104B31" w:rsidRDefault="00CB3166" w:rsidP="00CB3166">
      <w:pPr>
        <w:pStyle w:val="Heading7"/>
        <w:rPr>
          <w:rFonts w:asciiTheme="minorHAnsi" w:hAnsiTheme="minorHAnsi"/>
          <w:color w:val="FF0000"/>
          <w:sz w:val="24"/>
          <w:szCs w:val="22"/>
        </w:rPr>
      </w:pPr>
      <w:bookmarkStart w:id="15" w:name="_Toc519683172"/>
      <w:bookmarkStart w:id="16" w:name="_Toc201424464"/>
      <w:r w:rsidRPr="00104B31">
        <w:rPr>
          <w:rFonts w:asciiTheme="minorHAnsi" w:hAnsiTheme="minorHAnsi"/>
          <w:color w:val="FF0000"/>
          <w:sz w:val="24"/>
          <w:szCs w:val="22"/>
        </w:rPr>
        <w:t>[</w:t>
      </w:r>
      <w:r w:rsidR="00C037C9" w:rsidRPr="00104B31">
        <w:rPr>
          <w:rFonts w:asciiTheme="minorHAnsi" w:hAnsiTheme="minorHAnsi"/>
          <w:color w:val="FF0000"/>
          <w:sz w:val="24"/>
          <w:szCs w:val="22"/>
        </w:rPr>
        <w:t xml:space="preserve">The opinion in </w:t>
      </w:r>
      <w:r w:rsidRPr="00104B31">
        <w:rPr>
          <w:rFonts w:asciiTheme="minorHAnsi" w:hAnsiTheme="minorHAnsi"/>
          <w:i/>
          <w:iCs/>
          <w:color w:val="FF0000"/>
          <w:sz w:val="24"/>
          <w:szCs w:val="22"/>
        </w:rPr>
        <w:t>Sugar Busters LLC v Brennan</w:t>
      </w:r>
      <w:bookmarkEnd w:id="15"/>
      <w:bookmarkEnd w:id="16"/>
      <w:r w:rsidR="00C037C9" w:rsidRPr="00104B31">
        <w:rPr>
          <w:rFonts w:asciiTheme="minorHAnsi" w:hAnsiTheme="minorHAnsi"/>
          <w:color w:val="FF0000"/>
          <w:sz w:val="24"/>
          <w:szCs w:val="22"/>
        </w:rPr>
        <w:t xml:space="preserve"> is available separately.</w:t>
      </w:r>
      <w:r w:rsidRPr="00104B31">
        <w:rPr>
          <w:rFonts w:asciiTheme="minorHAnsi" w:hAnsiTheme="minorHAnsi"/>
          <w:color w:val="FF0000"/>
          <w:sz w:val="24"/>
          <w:szCs w:val="22"/>
        </w:rPr>
        <w:t>]</w:t>
      </w:r>
    </w:p>
    <w:p w14:paraId="32190B69" w14:textId="77777777" w:rsidR="00CB3166" w:rsidRPr="00104B31" w:rsidRDefault="00CB3166" w:rsidP="00CB3166">
      <w:pPr>
        <w:rPr>
          <w:rFonts w:asciiTheme="minorHAnsi" w:hAnsiTheme="minorHAnsi"/>
          <w:sz w:val="24"/>
          <w:szCs w:val="22"/>
        </w:rPr>
      </w:pPr>
    </w:p>
    <w:p w14:paraId="373C2343" w14:textId="77777777" w:rsidR="00CB3166" w:rsidRPr="00104B31" w:rsidRDefault="00CB3166" w:rsidP="00CB3166">
      <w:pPr>
        <w:pStyle w:val="CommentsandQuestions"/>
        <w:rPr>
          <w:rFonts w:asciiTheme="minorHAnsi" w:hAnsiTheme="minorHAnsi"/>
          <w:sz w:val="24"/>
          <w:szCs w:val="22"/>
        </w:rPr>
      </w:pPr>
      <w:r w:rsidRPr="00104B31">
        <w:rPr>
          <w:rFonts w:asciiTheme="minorHAnsi" w:hAnsiTheme="minorHAnsi"/>
          <w:sz w:val="24"/>
          <w:szCs w:val="22"/>
        </w:rPr>
        <w:t>Questions and Comments</w:t>
      </w:r>
    </w:p>
    <w:p w14:paraId="1921A080" w14:textId="77777777" w:rsidR="00CB3166" w:rsidRPr="00104B31" w:rsidRDefault="00CB3166" w:rsidP="00CB3166">
      <w:pPr>
        <w:rPr>
          <w:rFonts w:asciiTheme="minorHAnsi" w:hAnsiTheme="minorHAnsi"/>
          <w:sz w:val="24"/>
          <w:szCs w:val="22"/>
        </w:rPr>
      </w:pPr>
      <w:r w:rsidRPr="00104B31">
        <w:rPr>
          <w:rFonts w:asciiTheme="minorHAnsi" w:hAnsiTheme="minorHAnsi"/>
          <w:sz w:val="24"/>
          <w:szCs w:val="22"/>
        </w:rPr>
        <w:t xml:space="preserve">1. </w:t>
      </w:r>
      <w:r w:rsidRPr="00104B31">
        <w:rPr>
          <w:rFonts w:asciiTheme="minorHAnsi" w:hAnsiTheme="minorHAnsi"/>
          <w:i/>
          <w:iCs/>
          <w:sz w:val="24"/>
          <w:szCs w:val="22"/>
        </w:rPr>
        <w:t>What about the similarity of the books’ titles?</w:t>
      </w:r>
      <w:r w:rsidRPr="00104B31">
        <w:rPr>
          <w:rFonts w:asciiTheme="minorHAnsi" w:hAnsiTheme="minorHAnsi"/>
          <w:sz w:val="24"/>
          <w:szCs w:val="22"/>
        </w:rPr>
        <w:t xml:space="preserve"> In a portion of the </w:t>
      </w:r>
      <w:r w:rsidRPr="00104B31">
        <w:rPr>
          <w:rFonts w:asciiTheme="minorHAnsi" w:hAnsiTheme="minorHAnsi"/>
          <w:i/>
          <w:iCs/>
          <w:sz w:val="24"/>
          <w:szCs w:val="22"/>
        </w:rPr>
        <w:t>Sugar Busters</w:t>
      </w:r>
      <w:r w:rsidRPr="00104B31">
        <w:rPr>
          <w:rFonts w:asciiTheme="minorHAnsi" w:hAnsiTheme="minorHAnsi"/>
          <w:sz w:val="24"/>
          <w:szCs w:val="22"/>
        </w:rPr>
        <w:t xml:space="preserve"> opinion not excerpted here, the plaintiff argued that even if the assignment at issue was not valid, it nevertheless possessed trademark rights in the title of its book </w:t>
      </w:r>
      <w:r w:rsidRPr="00104B31">
        <w:rPr>
          <w:rFonts w:asciiTheme="minorHAnsi" w:hAnsiTheme="minorHAnsi"/>
          <w:i/>
          <w:iCs/>
          <w:sz w:val="24"/>
          <w:szCs w:val="22"/>
        </w:rPr>
        <w:t>Sugar Busters!</w:t>
      </w:r>
      <w:r w:rsidRPr="00104B31">
        <w:rPr>
          <w:rFonts w:asciiTheme="minorHAnsi" w:hAnsiTheme="minorHAnsi"/>
          <w:sz w:val="24"/>
          <w:szCs w:val="22"/>
        </w:rPr>
        <w:t xml:space="preserve">, and the defendant’s title </w:t>
      </w:r>
      <w:r w:rsidRPr="00104B31">
        <w:rPr>
          <w:rFonts w:asciiTheme="minorHAnsi" w:hAnsiTheme="minorHAnsi"/>
          <w:i/>
          <w:iCs/>
          <w:sz w:val="24"/>
          <w:szCs w:val="22"/>
        </w:rPr>
        <w:t>Sugar Bust for Life!</w:t>
      </w:r>
      <w:r w:rsidRPr="00104B31">
        <w:rPr>
          <w:rFonts w:asciiTheme="minorHAnsi" w:hAnsiTheme="minorHAnsi"/>
          <w:sz w:val="24"/>
          <w:szCs w:val="22"/>
        </w:rPr>
        <w:t xml:space="preserve"> would confuse consumers into mistakenly believing that the latter book was affiliated with the former. In analyzing this claim, the </w:t>
      </w:r>
      <w:r w:rsidRPr="00104B31">
        <w:rPr>
          <w:rFonts w:asciiTheme="minorHAnsi" w:hAnsiTheme="minorHAnsi"/>
          <w:i/>
          <w:iCs/>
          <w:sz w:val="24"/>
          <w:szCs w:val="22"/>
        </w:rPr>
        <w:t>Sugar Busters</w:t>
      </w:r>
      <w:r w:rsidRPr="00104B31">
        <w:rPr>
          <w:rFonts w:asciiTheme="minorHAnsi" w:hAnsiTheme="minorHAnsi"/>
          <w:sz w:val="24"/>
          <w:szCs w:val="22"/>
        </w:rPr>
        <w:t xml:space="preserve"> court cited numerous cases in support of trademark law’s longstanding rule that titles of </w:t>
      </w:r>
      <w:r w:rsidRPr="00104B31">
        <w:rPr>
          <w:rFonts w:asciiTheme="minorHAnsi" w:hAnsiTheme="minorHAnsi"/>
          <w:sz w:val="24"/>
          <w:szCs w:val="22"/>
        </w:rPr>
        <w:lastRenderedPageBreak/>
        <w:t xml:space="preserve">single creative works are not registrable as trademarks, apparently because titles are merely descriptive. Titles are “the proper name of a specific thing, not the differential of a species.” </w:t>
      </w:r>
      <w:r w:rsidRPr="00104B31">
        <w:rPr>
          <w:rFonts w:asciiTheme="minorHAnsi" w:hAnsiTheme="minorHAnsi"/>
          <w:i/>
          <w:iCs/>
          <w:sz w:val="24"/>
          <w:szCs w:val="22"/>
        </w:rPr>
        <w:t>Sugar Busters LLC v. Brennan</w:t>
      </w:r>
      <w:r w:rsidRPr="00104B31">
        <w:rPr>
          <w:rFonts w:asciiTheme="minorHAnsi" w:hAnsiTheme="minorHAnsi"/>
          <w:sz w:val="24"/>
          <w:szCs w:val="22"/>
        </w:rPr>
        <w:t xml:space="preserve">, 177 F.3d 258, 268–69 (5th Cir. 1999) (quoting </w:t>
      </w:r>
      <w:r w:rsidRPr="00104B31">
        <w:rPr>
          <w:rFonts w:asciiTheme="minorHAnsi" w:hAnsiTheme="minorHAnsi"/>
          <w:i/>
          <w:iCs/>
          <w:sz w:val="24"/>
          <w:szCs w:val="22"/>
        </w:rPr>
        <w:t>International Film Serv. Co. v. Associated Producers, Inc</w:t>
      </w:r>
      <w:r w:rsidRPr="00104B31">
        <w:rPr>
          <w:rFonts w:asciiTheme="minorHAnsi" w:hAnsiTheme="minorHAnsi"/>
          <w:sz w:val="24"/>
          <w:szCs w:val="22"/>
        </w:rPr>
        <w:t xml:space="preserve">., 273 F. 585, 587 (S.D.N.Y. 1921) (Hand, J.)). However, because titles of individual books may be protected under Lanham Act § 43(a) upon a showing of secondary meaning, the </w:t>
      </w:r>
      <w:r w:rsidRPr="00104B31">
        <w:rPr>
          <w:rFonts w:asciiTheme="minorHAnsi" w:hAnsiTheme="minorHAnsi"/>
          <w:i/>
          <w:iCs/>
          <w:sz w:val="24"/>
          <w:szCs w:val="22"/>
        </w:rPr>
        <w:t>Sugar Busters</w:t>
      </w:r>
      <w:r w:rsidRPr="00104B31">
        <w:rPr>
          <w:rFonts w:asciiTheme="minorHAnsi" w:hAnsiTheme="minorHAnsi"/>
          <w:sz w:val="24"/>
          <w:szCs w:val="22"/>
        </w:rPr>
        <w:t xml:space="preserve"> court remanded the case back to the district court to determine if the title possessed the requisite secondary meaning. </w:t>
      </w:r>
      <w:r w:rsidRPr="00104B31">
        <w:rPr>
          <w:rFonts w:asciiTheme="minorHAnsi" w:hAnsiTheme="minorHAnsi"/>
          <w:i/>
          <w:iCs/>
          <w:sz w:val="24"/>
          <w:szCs w:val="22"/>
        </w:rPr>
        <w:t>See Sugar Busters</w:t>
      </w:r>
      <w:r w:rsidRPr="00104B31">
        <w:rPr>
          <w:rFonts w:asciiTheme="minorHAnsi" w:hAnsiTheme="minorHAnsi"/>
          <w:sz w:val="24"/>
          <w:szCs w:val="22"/>
        </w:rPr>
        <w:t xml:space="preserve">, 177 F.3d at 270. For more on the peculiar (and probably incoherent) treatment that trademark law affords to titles of individual creative works (including movies), see </w:t>
      </w:r>
      <w:r w:rsidRPr="00104B31">
        <w:rPr>
          <w:rFonts w:asciiTheme="minorHAnsi" w:hAnsiTheme="minorHAnsi"/>
          <w:smallCaps/>
          <w:sz w:val="24"/>
          <w:szCs w:val="22"/>
        </w:rPr>
        <w:t>McCarthy</w:t>
      </w:r>
      <w:r w:rsidRPr="00104B31">
        <w:rPr>
          <w:rFonts w:asciiTheme="minorHAnsi" w:hAnsiTheme="minorHAnsi"/>
          <w:sz w:val="24"/>
          <w:szCs w:val="22"/>
        </w:rPr>
        <w:t xml:space="preserve"> § 10:4. </w:t>
      </w:r>
      <w:r w:rsidRPr="00104B31">
        <w:rPr>
          <w:rFonts w:asciiTheme="minorHAnsi" w:hAnsiTheme="minorHAnsi"/>
          <w:i/>
          <w:iCs/>
          <w:sz w:val="24"/>
          <w:szCs w:val="22"/>
        </w:rPr>
        <w:t>See also In Re Wood</w:t>
      </w:r>
      <w:r w:rsidRPr="00104B31">
        <w:rPr>
          <w:rFonts w:asciiTheme="minorHAnsi" w:hAnsiTheme="minorHAnsi"/>
          <w:sz w:val="24"/>
          <w:szCs w:val="22"/>
        </w:rPr>
        <w:t xml:space="preserve">, No. 88388841, 2023 WL 5287184, at *1 (T.T.A.B Aug. 15, 2023) (affirming refusal to register as a trademark book title </w:t>
      </w:r>
      <w:r w:rsidRPr="00104B31">
        <w:rPr>
          <w:rFonts w:asciiTheme="minorHAnsi" w:hAnsiTheme="minorHAnsi"/>
          <w:smallCaps/>
          <w:sz w:val="24"/>
          <w:szCs w:val="22"/>
        </w:rPr>
        <w:t>church boy to millionaire</w:t>
      </w:r>
      <w:r w:rsidRPr="00104B31">
        <w:rPr>
          <w:rFonts w:asciiTheme="minorHAnsi" w:hAnsiTheme="minorHAnsi"/>
          <w:sz w:val="24"/>
          <w:szCs w:val="22"/>
        </w:rPr>
        <w:t>).</w:t>
      </w:r>
    </w:p>
    <w:p w14:paraId="3A171C34" w14:textId="77777777" w:rsidR="00CB3166" w:rsidRPr="00104B31" w:rsidRDefault="00CB3166" w:rsidP="00CB3166">
      <w:pPr>
        <w:rPr>
          <w:rFonts w:asciiTheme="minorHAnsi" w:hAnsiTheme="minorHAnsi"/>
          <w:sz w:val="24"/>
          <w:szCs w:val="22"/>
        </w:rPr>
      </w:pPr>
      <w:r w:rsidRPr="00104B31">
        <w:rPr>
          <w:rFonts w:asciiTheme="minorHAnsi" w:hAnsiTheme="minorHAnsi"/>
          <w:sz w:val="24"/>
          <w:szCs w:val="22"/>
        </w:rPr>
        <w:t xml:space="preserve">2.  </w:t>
      </w:r>
      <w:r w:rsidRPr="00104B31">
        <w:rPr>
          <w:rFonts w:asciiTheme="minorHAnsi" w:hAnsiTheme="minorHAnsi"/>
          <w:i/>
          <w:sz w:val="24"/>
          <w:szCs w:val="22"/>
        </w:rPr>
        <w:t>Assignment and the importance of due diligence</w:t>
      </w:r>
      <w:r w:rsidRPr="00104B31">
        <w:rPr>
          <w:rFonts w:asciiTheme="minorHAnsi" w:hAnsiTheme="minorHAnsi"/>
          <w:sz w:val="24"/>
          <w:szCs w:val="22"/>
        </w:rPr>
        <w:t xml:space="preserve">. In 1998, Volkswagen AG purchased Rolls-Royce Motor Cars from Vickers PLC for £430 million ($712.7 million at the time), including Rolls-Royce Motor Cars’ traditional manufacturing facility at Crewe, England. Inexplicably, what Volkswagen failed to appreciate was that Rolls-Royce Motor Cars did not own the Rolls-Royce trademark for automobiles. Instead, Rolls-Royce PLC, the manufacturer of airplane engines, owned the mark for automobiles. Rolls-Royce PLC had licensed the mark to Rolls-Royce Motor Cars under a license that terminated in the event that Rolls-Royce Motor Cars was sold. When the sale of Rolls-Royce Motor Cars triggered the termination of the license to Rolls-Royce Motor Cars, Rolls-Royce PLC licensed the mark instead to Volkswagen’s rival BMW, which was Rolls-Royce PLC’s manufacturing partner for various aircraft engines (and the entity that Rolls-Royce PLC had hoped would purchase the automaker). Thus, Volkswagen had purchased the means to manufacture Rolls-Royce automobiles in all but name. In an effort to avoid litigation, Rolls-Royce PLC, Volkswagen, and BMW eventually reached an agreement in which BMW paid Rolls-Royce PLC £40 million in exchange for the assignment to BMW of the Rolls-Royce trademark for automobiles. BMW agreed to lease the mark to Volkswagen through 2002, after which Volkswagen would no longer be able to use the mark. On January 1, 2003, BMW-owned Rolls-Royce Motor Cars opened its new Goodwood manufacturing plant in England—thus freeing it of any need to rely on the Crewe, England plant. </w:t>
      </w:r>
      <w:r w:rsidRPr="00104B31">
        <w:rPr>
          <w:rFonts w:asciiTheme="minorHAnsi" w:hAnsiTheme="minorHAnsi"/>
          <w:i/>
          <w:sz w:val="24"/>
          <w:szCs w:val="22"/>
        </w:rPr>
        <w:t>See</w:t>
      </w:r>
      <w:r w:rsidRPr="00104B31">
        <w:rPr>
          <w:rFonts w:asciiTheme="minorHAnsi" w:hAnsiTheme="minorHAnsi"/>
          <w:sz w:val="24"/>
          <w:szCs w:val="22"/>
        </w:rPr>
        <w:t xml:space="preserve"> Tom Buerkle, </w:t>
      </w:r>
      <w:r w:rsidRPr="00104B31">
        <w:rPr>
          <w:rFonts w:asciiTheme="minorHAnsi" w:hAnsiTheme="minorHAnsi"/>
          <w:i/>
          <w:sz w:val="24"/>
          <w:szCs w:val="22"/>
        </w:rPr>
        <w:t>BMW Wrests Rolls-Royce Name Away from VW</w:t>
      </w:r>
      <w:r w:rsidRPr="00104B31">
        <w:rPr>
          <w:rFonts w:asciiTheme="minorHAnsi" w:hAnsiTheme="minorHAnsi"/>
          <w:sz w:val="24"/>
          <w:szCs w:val="22"/>
        </w:rPr>
        <w:t xml:space="preserve">, </w:t>
      </w:r>
      <w:r w:rsidRPr="00104B31">
        <w:rPr>
          <w:rFonts w:asciiTheme="minorHAnsi" w:hAnsiTheme="minorHAnsi"/>
          <w:smallCaps/>
          <w:sz w:val="24"/>
          <w:szCs w:val="22"/>
        </w:rPr>
        <w:t>N.Y. Times</w:t>
      </w:r>
      <w:r w:rsidRPr="00104B31">
        <w:rPr>
          <w:rFonts w:asciiTheme="minorHAnsi" w:hAnsiTheme="minorHAnsi"/>
          <w:sz w:val="24"/>
          <w:szCs w:val="22"/>
        </w:rPr>
        <w:t>, July 29, 1998.</w:t>
      </w:r>
    </w:p>
    <w:p w14:paraId="7C789913" w14:textId="77777777" w:rsidR="00EB3DF5" w:rsidRDefault="00EB3DF5"/>
    <w:sectPr w:rsidR="00EB3DF5" w:rsidSect="00C037C9">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3FA2" w14:textId="77777777" w:rsidR="00810647" w:rsidRDefault="00810647" w:rsidP="00CB3166">
      <w:pPr>
        <w:spacing w:after="0" w:line="240" w:lineRule="auto"/>
      </w:pPr>
      <w:r>
        <w:separator/>
      </w:r>
    </w:p>
  </w:endnote>
  <w:endnote w:type="continuationSeparator" w:id="0">
    <w:p w14:paraId="7CB47031" w14:textId="77777777" w:rsidR="00810647" w:rsidRDefault="00810647" w:rsidP="00CB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0DA1" w14:textId="77777777" w:rsidR="00C037C9" w:rsidRPr="00A04E11" w:rsidRDefault="00C037C9" w:rsidP="00C037C9">
    <w:pPr>
      <w:pStyle w:val="Pagenumber"/>
      <w:rPr>
        <w:rFonts w:asciiTheme="minorHAnsi" w:hAnsiTheme="minorHAnsi"/>
        <w:noProof/>
      </w:rPr>
    </w:pPr>
    <w:r w:rsidRPr="00A04E11">
      <w:rPr>
        <w:rFonts w:asciiTheme="minorHAnsi" w:hAnsiTheme="minorHAnsi"/>
      </w:rPr>
      <w:fldChar w:fldCharType="begin"/>
    </w:r>
    <w:r w:rsidRPr="00A04E11">
      <w:rPr>
        <w:rFonts w:asciiTheme="minorHAnsi" w:hAnsiTheme="minorHAnsi"/>
      </w:rPr>
      <w:instrText xml:space="preserve"> PAGE   \* MERGEFORMAT </w:instrText>
    </w:r>
    <w:r w:rsidRPr="00A04E11">
      <w:rPr>
        <w:rFonts w:asciiTheme="minorHAnsi" w:hAnsiTheme="minorHAnsi"/>
      </w:rPr>
      <w:fldChar w:fldCharType="separate"/>
    </w:r>
    <w:r w:rsidRPr="00A04E11">
      <w:rPr>
        <w:rFonts w:asciiTheme="minorHAnsi" w:hAnsiTheme="minorHAnsi"/>
      </w:rPr>
      <w:t>3</w:t>
    </w:r>
    <w:r w:rsidRPr="00A04E11">
      <w:rPr>
        <w:rFonts w:asciiTheme="minorHAnsi" w:hAnsiTheme="minorHAnsi"/>
        <w:noProof/>
      </w:rPr>
      <w:fldChar w:fldCharType="end"/>
    </w:r>
  </w:p>
  <w:p w14:paraId="50024B1E" w14:textId="77777777" w:rsidR="00C037C9" w:rsidRDefault="00C03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95A7" w14:textId="77777777" w:rsidR="00810647" w:rsidRDefault="00810647" w:rsidP="00CB3166">
      <w:pPr>
        <w:spacing w:after="0" w:line="240" w:lineRule="auto"/>
      </w:pPr>
      <w:r>
        <w:separator/>
      </w:r>
    </w:p>
  </w:footnote>
  <w:footnote w:type="continuationSeparator" w:id="0">
    <w:p w14:paraId="59E28ABF" w14:textId="77777777" w:rsidR="00810647" w:rsidRDefault="00810647" w:rsidP="00CB3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B105" w14:textId="77777777" w:rsidR="00C037C9" w:rsidRPr="00546A59" w:rsidRDefault="00C037C9" w:rsidP="00C037C9">
    <w:pPr>
      <w:pStyle w:val="Header10"/>
      <w:rPr>
        <w:rFonts w:asciiTheme="minorHAnsi" w:hAnsiTheme="minorHAnsi"/>
      </w:rPr>
    </w:pPr>
    <w:r w:rsidRPr="00546A59">
      <w:rPr>
        <w:rFonts w:asciiTheme="minorHAnsi" w:hAnsiTheme="minorHAnsi"/>
      </w:rPr>
      <w:t>Beebe - Trademark Law: An Open-Access Casebook</w:t>
    </w:r>
  </w:p>
  <w:p w14:paraId="74DE3963" w14:textId="77777777" w:rsidR="00C037C9" w:rsidRDefault="00C03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66"/>
    <w:rsid w:val="000A4AD4"/>
    <w:rsid w:val="000C53B3"/>
    <w:rsid w:val="00104B31"/>
    <w:rsid w:val="001405E0"/>
    <w:rsid w:val="005044A1"/>
    <w:rsid w:val="00810647"/>
    <w:rsid w:val="008D55B5"/>
    <w:rsid w:val="00A04E11"/>
    <w:rsid w:val="00C037C9"/>
    <w:rsid w:val="00C42906"/>
    <w:rsid w:val="00C712A7"/>
    <w:rsid w:val="00CB3166"/>
    <w:rsid w:val="00CE5F9E"/>
    <w:rsid w:val="00DC1D13"/>
    <w:rsid w:val="00DF55B0"/>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CB6DC"/>
  <w15:chartTrackingRefBased/>
  <w15:docId w15:val="{16007C6E-DFCF-4B41-96C0-49607723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166"/>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CB3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3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3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B3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B3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B3166"/>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CB3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3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3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B3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B3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B3166"/>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CB3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166"/>
    <w:rPr>
      <w:rFonts w:eastAsiaTheme="majorEastAsia" w:cstheme="majorBidi"/>
      <w:color w:val="272727" w:themeColor="text1" w:themeTint="D8"/>
    </w:rPr>
  </w:style>
  <w:style w:type="paragraph" w:styleId="Title">
    <w:name w:val="Title"/>
    <w:basedOn w:val="Normal"/>
    <w:next w:val="Normal"/>
    <w:link w:val="TitleChar"/>
    <w:uiPriority w:val="10"/>
    <w:qFormat/>
    <w:rsid w:val="00CB3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166"/>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166"/>
    <w:pPr>
      <w:spacing w:before="160"/>
      <w:jc w:val="center"/>
    </w:pPr>
    <w:rPr>
      <w:i/>
      <w:iCs/>
      <w:color w:val="404040" w:themeColor="text1" w:themeTint="BF"/>
    </w:rPr>
  </w:style>
  <w:style w:type="character" w:customStyle="1" w:styleId="QuoteChar">
    <w:name w:val="Quote Char"/>
    <w:basedOn w:val="DefaultParagraphFont"/>
    <w:link w:val="Quote"/>
    <w:uiPriority w:val="29"/>
    <w:rsid w:val="00CB3166"/>
    <w:rPr>
      <w:i/>
      <w:iCs/>
      <w:color w:val="404040" w:themeColor="text1" w:themeTint="BF"/>
    </w:rPr>
  </w:style>
  <w:style w:type="paragraph" w:styleId="ListParagraph">
    <w:name w:val="List Paragraph"/>
    <w:basedOn w:val="Normal"/>
    <w:uiPriority w:val="34"/>
    <w:qFormat/>
    <w:rsid w:val="00CB3166"/>
    <w:pPr>
      <w:ind w:left="720"/>
      <w:contextualSpacing/>
    </w:pPr>
  </w:style>
  <w:style w:type="character" w:styleId="IntenseEmphasis">
    <w:name w:val="Intense Emphasis"/>
    <w:basedOn w:val="DefaultParagraphFont"/>
    <w:uiPriority w:val="21"/>
    <w:qFormat/>
    <w:rsid w:val="00CB3166"/>
    <w:rPr>
      <w:i/>
      <w:iCs/>
      <w:color w:val="0F4761" w:themeColor="accent1" w:themeShade="BF"/>
    </w:rPr>
  </w:style>
  <w:style w:type="paragraph" w:styleId="IntenseQuote">
    <w:name w:val="Intense Quote"/>
    <w:basedOn w:val="Normal"/>
    <w:next w:val="Normal"/>
    <w:link w:val="IntenseQuoteChar"/>
    <w:uiPriority w:val="30"/>
    <w:qFormat/>
    <w:rsid w:val="00CB3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166"/>
    <w:rPr>
      <w:i/>
      <w:iCs/>
      <w:color w:val="0F4761" w:themeColor="accent1" w:themeShade="BF"/>
    </w:rPr>
  </w:style>
  <w:style w:type="character" w:styleId="IntenseReference">
    <w:name w:val="Intense Reference"/>
    <w:basedOn w:val="DefaultParagraphFont"/>
    <w:uiPriority w:val="32"/>
    <w:qFormat/>
    <w:rsid w:val="00CB3166"/>
    <w:rPr>
      <w:b/>
      <w:bCs/>
      <w:smallCaps/>
      <w:color w:val="0F4761" w:themeColor="accent1" w:themeShade="BF"/>
      <w:spacing w:val="5"/>
    </w:rPr>
  </w:style>
  <w:style w:type="paragraph" w:customStyle="1" w:styleId="OpinionCitation">
    <w:name w:val="Opinion Citation"/>
    <w:basedOn w:val="Normal"/>
    <w:link w:val="OpinionCitationChar"/>
    <w:qFormat/>
    <w:rsid w:val="00CB3166"/>
    <w:pPr>
      <w:keepNext/>
      <w:spacing w:after="120"/>
      <w:ind w:firstLine="0"/>
    </w:pPr>
    <w:rPr>
      <w:b/>
    </w:rPr>
  </w:style>
  <w:style w:type="character" w:customStyle="1" w:styleId="OpinionCitationChar">
    <w:name w:val="Opinion Citation Char"/>
    <w:link w:val="OpinionCitation"/>
    <w:rsid w:val="00CB3166"/>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CB3166"/>
    <w:pPr>
      <w:ind w:left="576" w:right="576" w:firstLine="0"/>
    </w:pPr>
  </w:style>
  <w:style w:type="character" w:customStyle="1" w:styleId="BlockquoteChar">
    <w:name w:val="Blockquote Char"/>
    <w:link w:val="Blockquote"/>
    <w:rsid w:val="00CB3166"/>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CB3166"/>
    <w:rPr>
      <w:sz w:val="20"/>
    </w:rPr>
  </w:style>
  <w:style w:type="character" w:customStyle="1" w:styleId="FootnoteTextChar">
    <w:name w:val="Footnote Text Char"/>
    <w:basedOn w:val="DefaultParagraphFont"/>
    <w:link w:val="FootnoteText"/>
    <w:uiPriority w:val="99"/>
    <w:rsid w:val="00CB3166"/>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CB3166"/>
    <w:rPr>
      <w:vertAlign w:val="superscript"/>
    </w:rPr>
  </w:style>
  <w:style w:type="paragraph" w:styleId="BalloonText">
    <w:name w:val="Balloon Text"/>
    <w:basedOn w:val="Normal"/>
    <w:link w:val="BalloonTextChar"/>
    <w:uiPriority w:val="99"/>
    <w:semiHidden/>
    <w:unhideWhenUsed/>
    <w:rsid w:val="00CB31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166"/>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CB3166"/>
    <w:pPr>
      <w:ind w:firstLine="0"/>
    </w:pPr>
  </w:style>
  <w:style w:type="character" w:customStyle="1" w:styleId="NormalNoIndentChar">
    <w:name w:val="Normal No Indent Char"/>
    <w:link w:val="NormalNoIndent"/>
    <w:rsid w:val="00CB3166"/>
    <w:rPr>
      <w:rFonts w:ascii="Cambria" w:eastAsia="Calibri" w:hAnsi="Cambria" w:cs="Times New Roman"/>
      <w:kern w:val="0"/>
      <w:sz w:val="22"/>
      <w:szCs w:val="20"/>
      <w14:ligatures w14:val="none"/>
    </w:rPr>
  </w:style>
  <w:style w:type="paragraph" w:styleId="Header">
    <w:name w:val="header"/>
    <w:basedOn w:val="Normal"/>
    <w:link w:val="HeaderChar"/>
    <w:uiPriority w:val="99"/>
    <w:unhideWhenUsed/>
    <w:rsid w:val="00CB3166"/>
    <w:pPr>
      <w:tabs>
        <w:tab w:val="center" w:pos="4680"/>
        <w:tab w:val="right" w:pos="9360"/>
      </w:tabs>
    </w:pPr>
  </w:style>
  <w:style w:type="character" w:customStyle="1" w:styleId="HeaderChar">
    <w:name w:val="Header Char"/>
    <w:basedOn w:val="DefaultParagraphFont"/>
    <w:link w:val="Header"/>
    <w:uiPriority w:val="99"/>
    <w:rsid w:val="00CB3166"/>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CB3166"/>
    <w:pPr>
      <w:tabs>
        <w:tab w:val="center" w:pos="4680"/>
        <w:tab w:val="right" w:pos="9360"/>
      </w:tabs>
    </w:pPr>
  </w:style>
  <w:style w:type="character" w:customStyle="1" w:styleId="FooterChar">
    <w:name w:val="Footer Char"/>
    <w:basedOn w:val="DefaultParagraphFont"/>
    <w:link w:val="Footer"/>
    <w:uiPriority w:val="99"/>
    <w:rsid w:val="00CB3166"/>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CB3166"/>
    <w:pPr>
      <w:keepNext/>
      <w:spacing w:before="120" w:after="120"/>
      <w:ind w:firstLine="0"/>
      <w:jc w:val="center"/>
    </w:pPr>
    <w:rPr>
      <w:b/>
    </w:rPr>
  </w:style>
  <w:style w:type="character" w:customStyle="1" w:styleId="CommentsandQuestionsChar">
    <w:name w:val="Comments and Questions Char"/>
    <w:link w:val="CommentsandQuestions"/>
    <w:rsid w:val="00CB3166"/>
    <w:rPr>
      <w:rFonts w:ascii="Cambria" w:eastAsia="Calibri" w:hAnsi="Cambria" w:cs="Times New Roman"/>
      <w:b/>
      <w:kern w:val="0"/>
      <w:sz w:val="22"/>
      <w:szCs w:val="20"/>
      <w14:ligatures w14:val="none"/>
    </w:rPr>
  </w:style>
  <w:style w:type="paragraph" w:styleId="ListBullet">
    <w:name w:val="List Bullet"/>
    <w:basedOn w:val="Normal"/>
    <w:uiPriority w:val="99"/>
    <w:unhideWhenUsed/>
    <w:rsid w:val="00CB3166"/>
    <w:pPr>
      <w:numPr>
        <w:numId w:val="3"/>
      </w:numPr>
      <w:contextualSpacing/>
    </w:pPr>
  </w:style>
  <w:style w:type="paragraph" w:customStyle="1" w:styleId="Dashbreak">
    <w:name w:val="Dash break"/>
    <w:basedOn w:val="NormalNoIndent"/>
    <w:link w:val="DashbreakChar"/>
    <w:qFormat/>
    <w:rsid w:val="00CB3166"/>
    <w:pPr>
      <w:spacing w:before="240" w:after="240"/>
      <w:jc w:val="center"/>
    </w:pPr>
  </w:style>
  <w:style w:type="character" w:customStyle="1" w:styleId="DashbreakChar">
    <w:name w:val="Dash break Char"/>
    <w:basedOn w:val="NormalNoIndentChar"/>
    <w:link w:val="Dashbreak"/>
    <w:rsid w:val="00CB3166"/>
    <w:rPr>
      <w:rFonts w:ascii="Cambria" w:eastAsia="Calibri" w:hAnsi="Cambria" w:cs="Times New Roman"/>
      <w:kern w:val="0"/>
      <w:sz w:val="22"/>
      <w:szCs w:val="20"/>
      <w14:ligatures w14:val="none"/>
    </w:rPr>
  </w:style>
  <w:style w:type="paragraph" w:styleId="BodyText">
    <w:name w:val="Body Text"/>
    <w:basedOn w:val="Normal"/>
    <w:link w:val="BodyTextChar"/>
    <w:uiPriority w:val="99"/>
    <w:semiHidden/>
    <w:unhideWhenUsed/>
    <w:rsid w:val="00CB3166"/>
    <w:pPr>
      <w:spacing w:after="120"/>
    </w:pPr>
  </w:style>
  <w:style w:type="character" w:customStyle="1" w:styleId="BodyTextChar">
    <w:name w:val="Body Text Char"/>
    <w:basedOn w:val="DefaultParagraphFont"/>
    <w:link w:val="BodyText"/>
    <w:uiPriority w:val="99"/>
    <w:semiHidden/>
    <w:rsid w:val="00CB3166"/>
    <w:rPr>
      <w:rFonts w:ascii="Cambria" w:eastAsia="Calibri" w:hAnsi="Cambria" w:cs="Times New Roman"/>
      <w:kern w:val="0"/>
      <w:sz w:val="22"/>
      <w:szCs w:val="20"/>
      <w14:ligatures w14:val="none"/>
    </w:rPr>
  </w:style>
  <w:style w:type="paragraph" w:customStyle="1" w:styleId="ReferenceLine">
    <w:name w:val="Reference Line"/>
    <w:basedOn w:val="BodyText"/>
    <w:rsid w:val="00CB3166"/>
  </w:style>
  <w:style w:type="character" w:styleId="Hyperlink">
    <w:name w:val="Hyperlink"/>
    <w:uiPriority w:val="99"/>
    <w:unhideWhenUsed/>
    <w:rsid w:val="00CB3166"/>
    <w:rPr>
      <w:color w:val="0000FF"/>
      <w:u w:val="single"/>
    </w:rPr>
  </w:style>
  <w:style w:type="paragraph" w:styleId="EndnoteText">
    <w:name w:val="endnote text"/>
    <w:basedOn w:val="Normal"/>
    <w:link w:val="EndnoteTextChar"/>
    <w:uiPriority w:val="99"/>
    <w:semiHidden/>
    <w:unhideWhenUsed/>
    <w:rsid w:val="00CB3166"/>
  </w:style>
  <w:style w:type="character" w:customStyle="1" w:styleId="EndnoteTextChar">
    <w:name w:val="Endnote Text Char"/>
    <w:basedOn w:val="DefaultParagraphFont"/>
    <w:link w:val="EndnoteText"/>
    <w:uiPriority w:val="99"/>
    <w:semiHidden/>
    <w:rsid w:val="00CB3166"/>
    <w:rPr>
      <w:rFonts w:ascii="Cambria" w:eastAsia="Calibri" w:hAnsi="Cambria" w:cs="Times New Roman"/>
      <w:kern w:val="0"/>
      <w:sz w:val="22"/>
      <w:szCs w:val="20"/>
      <w14:ligatures w14:val="none"/>
    </w:rPr>
  </w:style>
  <w:style w:type="character" w:styleId="EndnoteReference">
    <w:name w:val="endnote reference"/>
    <w:uiPriority w:val="99"/>
    <w:semiHidden/>
    <w:unhideWhenUsed/>
    <w:rsid w:val="00CB3166"/>
    <w:rPr>
      <w:vertAlign w:val="superscript"/>
    </w:rPr>
  </w:style>
  <w:style w:type="paragraph" w:styleId="TOCHeading">
    <w:name w:val="TOC Heading"/>
    <w:basedOn w:val="Heading1"/>
    <w:next w:val="Normal"/>
    <w:uiPriority w:val="39"/>
    <w:semiHidden/>
    <w:unhideWhenUsed/>
    <w:qFormat/>
    <w:rsid w:val="00CB3166"/>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CB3166"/>
    <w:pPr>
      <w:tabs>
        <w:tab w:val="right" w:leader="dot" w:pos="8784"/>
      </w:tabs>
      <w:ind w:left="270" w:hanging="270"/>
      <w:jc w:val="center"/>
    </w:pPr>
  </w:style>
  <w:style w:type="paragraph" w:styleId="TOC2">
    <w:name w:val="toc 2"/>
    <w:basedOn w:val="Normal"/>
    <w:next w:val="Normal"/>
    <w:autoRedefine/>
    <w:uiPriority w:val="39"/>
    <w:unhideWhenUsed/>
    <w:rsid w:val="00CB3166"/>
    <w:pPr>
      <w:tabs>
        <w:tab w:val="right" w:leader="dot" w:pos="8784"/>
      </w:tabs>
      <w:ind w:left="540" w:hanging="270"/>
    </w:pPr>
  </w:style>
  <w:style w:type="paragraph" w:styleId="TOC3">
    <w:name w:val="toc 3"/>
    <w:basedOn w:val="Normal"/>
    <w:next w:val="Normal"/>
    <w:autoRedefine/>
    <w:uiPriority w:val="39"/>
    <w:unhideWhenUsed/>
    <w:rsid w:val="00CB3166"/>
    <w:pPr>
      <w:tabs>
        <w:tab w:val="right" w:leader="dot" w:pos="8784"/>
      </w:tabs>
      <w:ind w:left="810" w:hanging="270"/>
    </w:pPr>
  </w:style>
  <w:style w:type="paragraph" w:styleId="TOC4">
    <w:name w:val="toc 4"/>
    <w:basedOn w:val="Normal"/>
    <w:next w:val="Normal"/>
    <w:autoRedefine/>
    <w:uiPriority w:val="39"/>
    <w:unhideWhenUsed/>
    <w:rsid w:val="00CB3166"/>
    <w:pPr>
      <w:tabs>
        <w:tab w:val="right" w:leader="dot" w:pos="8784"/>
      </w:tabs>
      <w:ind w:left="1080" w:hanging="270"/>
    </w:pPr>
  </w:style>
  <w:style w:type="paragraph" w:styleId="TOC5">
    <w:name w:val="toc 5"/>
    <w:basedOn w:val="Normal"/>
    <w:next w:val="Normal"/>
    <w:autoRedefine/>
    <w:uiPriority w:val="39"/>
    <w:unhideWhenUsed/>
    <w:rsid w:val="00CB3166"/>
    <w:pPr>
      <w:tabs>
        <w:tab w:val="right" w:leader="dot" w:pos="8784"/>
      </w:tabs>
      <w:ind w:left="1350" w:hanging="270"/>
    </w:pPr>
  </w:style>
  <w:style w:type="paragraph" w:styleId="TOC6">
    <w:name w:val="toc 6"/>
    <w:basedOn w:val="Normal"/>
    <w:next w:val="Normal"/>
    <w:autoRedefine/>
    <w:uiPriority w:val="39"/>
    <w:unhideWhenUsed/>
    <w:rsid w:val="00CB3166"/>
    <w:pPr>
      <w:tabs>
        <w:tab w:val="left" w:pos="1710"/>
        <w:tab w:val="right" w:leader="dot" w:pos="8784"/>
      </w:tabs>
      <w:ind w:left="1710" w:hanging="360"/>
    </w:pPr>
  </w:style>
  <w:style w:type="character" w:styleId="LineNumber">
    <w:name w:val="line number"/>
    <w:uiPriority w:val="99"/>
    <w:semiHidden/>
    <w:unhideWhenUsed/>
    <w:rsid w:val="00CB3166"/>
  </w:style>
  <w:style w:type="paragraph" w:customStyle="1" w:styleId="FootNote">
    <w:name w:val="_FootNote"/>
    <w:basedOn w:val="Normal"/>
    <w:link w:val="FootNoteChar"/>
    <w:rsid w:val="00CB3166"/>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CB3166"/>
    <w:rPr>
      <w:rFonts w:ascii="NewCenturySchlbk" w:eastAsia="Times New Roman" w:hAnsi="NewCenturySchlbk" w:cs="Times New Roman"/>
      <w:kern w:val="0"/>
      <w:sz w:val="16"/>
      <w14:ligatures w14:val="none"/>
    </w:rPr>
  </w:style>
  <w:style w:type="character" w:customStyle="1" w:styleId="NoterefInNote">
    <w:name w:val="_NoterefInNote"/>
    <w:rsid w:val="00CB3166"/>
    <w:rPr>
      <w:rFonts w:ascii="NewCenturySchlbk" w:hAnsi="NewCenturySchlbk" w:hint="default"/>
      <w:sz w:val="16"/>
      <w:vertAlign w:val="baseline"/>
    </w:rPr>
  </w:style>
  <w:style w:type="paragraph" w:customStyle="1" w:styleId="Centered">
    <w:name w:val="Centered"/>
    <w:basedOn w:val="Normal"/>
    <w:link w:val="CenteredChar"/>
    <w:qFormat/>
    <w:rsid w:val="00CB3166"/>
    <w:pPr>
      <w:ind w:firstLine="0"/>
      <w:jc w:val="center"/>
    </w:pPr>
    <w:rPr>
      <w:i/>
      <w:iCs/>
    </w:rPr>
  </w:style>
  <w:style w:type="character" w:customStyle="1" w:styleId="CenteredChar">
    <w:name w:val="Centered Char"/>
    <w:link w:val="Centered"/>
    <w:rsid w:val="00CB3166"/>
    <w:rPr>
      <w:rFonts w:ascii="Cambria" w:eastAsia="Calibri" w:hAnsi="Cambria" w:cs="Times New Roman"/>
      <w:i/>
      <w:iCs/>
      <w:kern w:val="0"/>
      <w:sz w:val="22"/>
      <w:szCs w:val="20"/>
      <w14:ligatures w14:val="none"/>
    </w:rPr>
  </w:style>
  <w:style w:type="paragraph" w:customStyle="1" w:styleId="Opinionheading">
    <w:name w:val="Opinion heading"/>
    <w:basedOn w:val="NormalNoIndent"/>
    <w:link w:val="OpinionheadingChar"/>
    <w:qFormat/>
    <w:rsid w:val="00CB3166"/>
    <w:rPr>
      <w:i/>
    </w:rPr>
  </w:style>
  <w:style w:type="character" w:customStyle="1" w:styleId="OpinionheadingChar">
    <w:name w:val="Opinion heading Char"/>
    <w:link w:val="Opinionheading"/>
    <w:rsid w:val="00CB3166"/>
    <w:rPr>
      <w:rFonts w:ascii="Cambria" w:eastAsia="Calibri" w:hAnsi="Cambria" w:cs="Times New Roman"/>
      <w:i/>
      <w:kern w:val="0"/>
      <w:sz w:val="22"/>
      <w:szCs w:val="20"/>
      <w14:ligatures w14:val="none"/>
    </w:rPr>
  </w:style>
  <w:style w:type="paragraph" w:styleId="TOC8">
    <w:name w:val="toc 8"/>
    <w:basedOn w:val="Normal"/>
    <w:next w:val="Normal"/>
    <w:autoRedefine/>
    <w:uiPriority w:val="39"/>
    <w:unhideWhenUsed/>
    <w:rsid w:val="00CB3166"/>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CB3166"/>
    <w:pPr>
      <w:tabs>
        <w:tab w:val="right" w:leader="dot" w:pos="8784"/>
      </w:tabs>
      <w:ind w:left="1710" w:firstLine="0"/>
    </w:pPr>
    <w:rPr>
      <w:i/>
    </w:rPr>
  </w:style>
  <w:style w:type="paragraph" w:styleId="TOC9">
    <w:name w:val="toc 9"/>
    <w:basedOn w:val="Normal"/>
    <w:next w:val="Normal"/>
    <w:autoRedefine/>
    <w:uiPriority w:val="39"/>
    <w:unhideWhenUsed/>
    <w:rsid w:val="00CB3166"/>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CB3166"/>
    <w:pPr>
      <w:ind w:firstLine="432"/>
    </w:pPr>
  </w:style>
  <w:style w:type="character" w:customStyle="1" w:styleId="BlockquoteindentChar">
    <w:name w:val="Blockquote indent Char"/>
    <w:basedOn w:val="BlockquoteChar"/>
    <w:link w:val="Blockquoteindent"/>
    <w:rsid w:val="00CB3166"/>
    <w:rPr>
      <w:rFonts w:ascii="Cambria" w:eastAsia="Calibri" w:hAnsi="Cambria" w:cs="Times New Roman"/>
      <w:kern w:val="0"/>
      <w:sz w:val="22"/>
      <w:szCs w:val="20"/>
      <w14:ligatures w14:val="none"/>
    </w:rPr>
  </w:style>
  <w:style w:type="paragraph" w:customStyle="1" w:styleId="Normal-Centered">
    <w:name w:val="*Normal-Centered"/>
    <w:basedOn w:val="NormalNoIndent"/>
    <w:link w:val="Normal-CenteredChar"/>
    <w:qFormat/>
    <w:rsid w:val="00CB3166"/>
    <w:pPr>
      <w:jc w:val="center"/>
    </w:pPr>
  </w:style>
  <w:style w:type="character" w:customStyle="1" w:styleId="Normal-CenteredChar">
    <w:name w:val="*Normal-Centered Char"/>
    <w:basedOn w:val="NormalNoIndentChar"/>
    <w:link w:val="Normal-Centered"/>
    <w:rsid w:val="00CB3166"/>
    <w:rPr>
      <w:rFonts w:ascii="Cambria" w:eastAsia="Calibri" w:hAnsi="Cambria" w:cs="Times New Roman"/>
      <w:kern w:val="0"/>
      <w:sz w:val="22"/>
      <w:szCs w:val="20"/>
      <w14:ligatures w14:val="none"/>
    </w:rPr>
  </w:style>
  <w:style w:type="character" w:styleId="Emphasis">
    <w:name w:val="Emphasis"/>
    <w:uiPriority w:val="20"/>
    <w:qFormat/>
    <w:rsid w:val="00CB3166"/>
    <w:rPr>
      <w:i/>
      <w:iCs/>
    </w:rPr>
  </w:style>
  <w:style w:type="character" w:customStyle="1" w:styleId="cosearchterm">
    <w:name w:val="co_searchterm"/>
    <w:rsid w:val="00CB3166"/>
  </w:style>
  <w:style w:type="paragraph" w:customStyle="1" w:styleId="CommentsandQuestions0">
    <w:name w:val="CommentsandQuestions"/>
    <w:basedOn w:val="Normal-Centered"/>
    <w:rsid w:val="00CB3166"/>
    <w:rPr>
      <w:b/>
    </w:rPr>
  </w:style>
  <w:style w:type="character" w:styleId="FollowedHyperlink">
    <w:name w:val="FollowedHyperlink"/>
    <w:uiPriority w:val="99"/>
    <w:semiHidden/>
    <w:unhideWhenUsed/>
    <w:rsid w:val="00CB3166"/>
    <w:rPr>
      <w:color w:val="954F72"/>
      <w:u w:val="single"/>
    </w:rPr>
  </w:style>
  <w:style w:type="paragraph" w:customStyle="1" w:styleId="Dashedline">
    <w:name w:val="Dashed line"/>
    <w:basedOn w:val="CommentsandQuestions"/>
    <w:qFormat/>
    <w:rsid w:val="00CB3166"/>
    <w:pPr>
      <w:spacing w:after="240"/>
    </w:pPr>
  </w:style>
  <w:style w:type="character" w:styleId="CommentReference">
    <w:name w:val="annotation reference"/>
    <w:semiHidden/>
    <w:rsid w:val="00CB3166"/>
    <w:rPr>
      <w:sz w:val="16"/>
      <w:szCs w:val="16"/>
    </w:rPr>
  </w:style>
  <w:style w:type="paragraph" w:styleId="CommentText">
    <w:name w:val="annotation text"/>
    <w:basedOn w:val="Normal"/>
    <w:link w:val="CommentTextChar"/>
    <w:semiHidden/>
    <w:rsid w:val="00CB3166"/>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CB3166"/>
    <w:rPr>
      <w:rFonts w:ascii="Times New Roman" w:eastAsia="Times New Roman" w:hAnsi="Times New Roman" w:cs="Times New Roman"/>
      <w:kern w:val="0"/>
      <w:sz w:val="22"/>
      <w:szCs w:val="20"/>
      <w14:ligatures w14:val="none"/>
    </w:rPr>
  </w:style>
  <w:style w:type="character" w:customStyle="1" w:styleId="ptext-">
    <w:name w:val="ptext-"/>
    <w:rsid w:val="00CB3166"/>
  </w:style>
  <w:style w:type="paragraph" w:customStyle="1" w:styleId="NormalCentered">
    <w:name w:val="NormalCentered"/>
    <w:basedOn w:val="Normal"/>
    <w:link w:val="NormalCenteredChar"/>
    <w:qFormat/>
    <w:rsid w:val="00CB3166"/>
    <w:pPr>
      <w:ind w:firstLine="0"/>
      <w:jc w:val="center"/>
    </w:pPr>
  </w:style>
  <w:style w:type="character" w:customStyle="1" w:styleId="NormalCenteredChar">
    <w:name w:val="NormalCentered Char"/>
    <w:link w:val="NormalCentered"/>
    <w:rsid w:val="00CB3166"/>
    <w:rPr>
      <w:rFonts w:ascii="Cambria" w:eastAsia="Calibri" w:hAnsi="Cambria" w:cs="Times New Roman"/>
      <w:kern w:val="0"/>
      <w:sz w:val="22"/>
      <w:szCs w:val="20"/>
      <w14:ligatures w14:val="none"/>
    </w:rPr>
  </w:style>
  <w:style w:type="paragraph" w:customStyle="1" w:styleId="Blockquoteindentnoindent">
    <w:name w:val="Blockquoteindentnoindent"/>
    <w:basedOn w:val="Blockquoteindent"/>
    <w:link w:val="BlockquoteindentnoindentChar"/>
    <w:qFormat/>
    <w:rsid w:val="00CB3166"/>
    <w:pPr>
      <w:ind w:hanging="36"/>
    </w:pPr>
  </w:style>
  <w:style w:type="paragraph" w:customStyle="1" w:styleId="NormCntrItal">
    <w:name w:val="NormCntrItal"/>
    <w:basedOn w:val="NormalCentered"/>
    <w:qFormat/>
    <w:rsid w:val="00CB3166"/>
    <w:pPr>
      <w:keepNext/>
      <w:keepLines/>
    </w:pPr>
    <w:rPr>
      <w:i/>
      <w:szCs w:val="22"/>
    </w:rPr>
  </w:style>
  <w:style w:type="character" w:customStyle="1" w:styleId="ssrfcpassagedeactivated">
    <w:name w:val="ss_rfcpassage_deactivated"/>
    <w:rsid w:val="00CB3166"/>
  </w:style>
  <w:style w:type="character" w:customStyle="1" w:styleId="costarpage">
    <w:name w:val="co_starpage"/>
    <w:rsid w:val="00CB3166"/>
  </w:style>
  <w:style w:type="paragraph" w:customStyle="1" w:styleId="CenteredBold">
    <w:name w:val="Centered Bold"/>
    <w:basedOn w:val="Centered"/>
    <w:link w:val="CenteredBoldChar"/>
    <w:qFormat/>
    <w:rsid w:val="00CB3166"/>
    <w:rPr>
      <w:b/>
      <w:i w:val="0"/>
    </w:rPr>
  </w:style>
  <w:style w:type="character" w:customStyle="1" w:styleId="CenteredBoldChar">
    <w:name w:val="Centered Bold Char"/>
    <w:link w:val="CenteredBold"/>
    <w:rsid w:val="00CB3166"/>
    <w:rPr>
      <w:rFonts w:ascii="Cambria" w:eastAsia="Calibri" w:hAnsi="Cambria" w:cs="Times New Roman"/>
      <w:b/>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CB3166"/>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CB3166"/>
    <w:rPr>
      <w:rFonts w:ascii="Cambria" w:eastAsia="Calibri" w:hAnsi="Cambria" w:cs="Times New Roman"/>
      <w:b/>
      <w:bCs/>
      <w:kern w:val="0"/>
      <w:sz w:val="22"/>
      <w:szCs w:val="20"/>
      <w14:ligatures w14:val="none"/>
    </w:rPr>
  </w:style>
  <w:style w:type="paragraph" w:styleId="Revision">
    <w:name w:val="Revision"/>
    <w:hidden/>
    <w:uiPriority w:val="99"/>
    <w:semiHidden/>
    <w:rsid w:val="00CB3166"/>
    <w:pPr>
      <w:spacing w:after="0" w:line="240" w:lineRule="auto"/>
    </w:pPr>
    <w:rPr>
      <w:rFonts w:ascii="Cambria" w:eastAsia="Calibri" w:hAnsi="Cambria" w:cs="Times New Roman"/>
      <w:kern w:val="0"/>
      <w:sz w:val="22"/>
      <w:szCs w:val="20"/>
      <w14:ligatures w14:val="none"/>
    </w:rPr>
  </w:style>
  <w:style w:type="paragraph" w:customStyle="1" w:styleId="Normal-centered0">
    <w:name w:val="Normal-centered"/>
    <w:basedOn w:val="Normal"/>
    <w:qFormat/>
    <w:rsid w:val="00CB3166"/>
    <w:pPr>
      <w:ind w:firstLine="0"/>
      <w:jc w:val="center"/>
    </w:pPr>
    <w:rPr>
      <w:noProof/>
    </w:rPr>
  </w:style>
  <w:style w:type="character" w:customStyle="1" w:styleId="cosearchdetaillevel1">
    <w:name w:val="co_search_detaillevel_1"/>
    <w:rsid w:val="00CB3166"/>
  </w:style>
  <w:style w:type="table" w:styleId="TableGrid">
    <w:name w:val="Table Grid"/>
    <w:basedOn w:val="TableNormal"/>
    <w:uiPriority w:val="59"/>
    <w:rsid w:val="00CB3166"/>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CB3166"/>
    <w:pPr>
      <w:ind w:firstLine="432"/>
    </w:pPr>
  </w:style>
  <w:style w:type="paragraph" w:customStyle="1" w:styleId="doubleblockquote">
    <w:name w:val="doubleblockquote"/>
    <w:basedOn w:val="Blockquoteindent"/>
    <w:qFormat/>
    <w:rsid w:val="00CB3166"/>
    <w:pPr>
      <w:ind w:left="1008" w:right="1008"/>
    </w:pPr>
  </w:style>
  <w:style w:type="paragraph" w:customStyle="1" w:styleId="CntrdNoItal">
    <w:name w:val="CntrdNoItal"/>
    <w:basedOn w:val="Centered"/>
    <w:qFormat/>
    <w:rsid w:val="00CB3166"/>
    <w:rPr>
      <w:i w:val="0"/>
    </w:rPr>
  </w:style>
  <w:style w:type="paragraph" w:customStyle="1" w:styleId="NoIndentItalics">
    <w:name w:val="NoIndentItalics"/>
    <w:basedOn w:val="NormalNoIndent"/>
    <w:qFormat/>
    <w:rsid w:val="00CB3166"/>
    <w:rPr>
      <w:i/>
      <w:iCs/>
    </w:rPr>
  </w:style>
  <w:style w:type="paragraph" w:customStyle="1" w:styleId="HalfBlock">
    <w:name w:val="HalfBlock"/>
    <w:basedOn w:val="NormalNoIndent"/>
    <w:qFormat/>
    <w:rsid w:val="00CB3166"/>
    <w:pPr>
      <w:ind w:left="432"/>
    </w:pPr>
  </w:style>
  <w:style w:type="character" w:customStyle="1" w:styleId="ssleftalign">
    <w:name w:val="ss_leftalign"/>
    <w:rsid w:val="00CB3166"/>
  </w:style>
  <w:style w:type="character" w:customStyle="1" w:styleId="UnresolvedMention1">
    <w:name w:val="Unresolved Mention1"/>
    <w:uiPriority w:val="99"/>
    <w:semiHidden/>
    <w:unhideWhenUsed/>
    <w:rsid w:val="00CB3166"/>
    <w:rPr>
      <w:color w:val="605E5C"/>
      <w:shd w:val="clear" w:color="auto" w:fill="E1DFDD"/>
    </w:rPr>
  </w:style>
  <w:style w:type="paragraph" w:customStyle="1" w:styleId="Footer-V-Date">
    <w:name w:val="Footer-V-Date"/>
    <w:basedOn w:val="NormalNoIndent"/>
    <w:link w:val="Footer-V-DateChar"/>
    <w:qFormat/>
    <w:rsid w:val="00CB3166"/>
    <w:rPr>
      <w:sz w:val="16"/>
      <w:szCs w:val="16"/>
    </w:rPr>
  </w:style>
  <w:style w:type="paragraph" w:customStyle="1" w:styleId="DoubleBlockQuote0">
    <w:name w:val="DoubleBlockQuote"/>
    <w:basedOn w:val="Blockquoteindent"/>
    <w:link w:val="DoubleBlockQuoteChar"/>
    <w:qFormat/>
    <w:rsid w:val="00CB3166"/>
    <w:pPr>
      <w:ind w:left="1152" w:right="1152" w:firstLine="0"/>
    </w:pPr>
  </w:style>
  <w:style w:type="character" w:customStyle="1" w:styleId="Footer-V-DateChar">
    <w:name w:val="Footer-V-Date Char"/>
    <w:link w:val="Footer-V-Date"/>
    <w:rsid w:val="00CB3166"/>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CB3166"/>
    <w:pPr>
      <w:ind w:left="1008" w:firstLine="0"/>
    </w:pPr>
  </w:style>
  <w:style w:type="character" w:customStyle="1" w:styleId="DoubleBlockQuoteChar">
    <w:name w:val="DoubleBlockQuote Char"/>
    <w:basedOn w:val="BlockquoteindentChar"/>
    <w:link w:val="DoubleBlockQuote0"/>
    <w:rsid w:val="00CB3166"/>
    <w:rPr>
      <w:rFonts w:ascii="Cambria" w:eastAsia="Calibri" w:hAnsi="Cambria" w:cs="Times New Roman"/>
      <w:kern w:val="0"/>
      <w:sz w:val="22"/>
      <w:szCs w:val="20"/>
      <w14:ligatures w14:val="none"/>
    </w:rPr>
  </w:style>
  <w:style w:type="character" w:customStyle="1" w:styleId="BlockquoteindentnoindentChar">
    <w:name w:val="Blockquoteindentnoindent Char"/>
    <w:basedOn w:val="BlockquoteindentChar"/>
    <w:link w:val="Blockquoteindentnoindent"/>
    <w:rsid w:val="00CB3166"/>
    <w:rPr>
      <w:rFonts w:ascii="Cambria" w:eastAsia="Calibri" w:hAnsi="Cambria" w:cs="Times New Roman"/>
      <w:kern w:val="0"/>
      <w:sz w:val="22"/>
      <w:szCs w:val="20"/>
      <w14:ligatures w14:val="none"/>
    </w:rPr>
  </w:style>
  <w:style w:type="character" w:customStyle="1" w:styleId="DoubleindentblockquoteChar">
    <w:name w:val="Doubleindentblockquote Char"/>
    <w:basedOn w:val="BlockquoteindentnoindentChar"/>
    <w:link w:val="Doubleindentblockquote"/>
    <w:rsid w:val="00CB3166"/>
    <w:rPr>
      <w:rFonts w:ascii="Cambria" w:eastAsia="Calibri" w:hAnsi="Cambria" w:cs="Times New Roman"/>
      <w:kern w:val="0"/>
      <w:sz w:val="22"/>
      <w:szCs w:val="20"/>
      <w14:ligatures w14:val="none"/>
    </w:rPr>
  </w:style>
  <w:style w:type="paragraph" w:customStyle="1" w:styleId="TimeProgression">
    <w:name w:val="TimeProgression"/>
    <w:basedOn w:val="Blockquote"/>
    <w:link w:val="TimeProgressionChar"/>
    <w:qFormat/>
    <w:rsid w:val="00CB3166"/>
    <w:pPr>
      <w:ind w:left="1350" w:hanging="774"/>
    </w:pPr>
  </w:style>
  <w:style w:type="character" w:customStyle="1" w:styleId="TimeProgressionChar">
    <w:name w:val="TimeProgression Char"/>
    <w:basedOn w:val="BlockquoteChar"/>
    <w:link w:val="TimeProgression"/>
    <w:rsid w:val="00CB3166"/>
    <w:rPr>
      <w:rFonts w:ascii="Cambria" w:eastAsia="Calibri" w:hAnsi="Cambria" w:cs="Times New Roman"/>
      <w:kern w:val="0"/>
      <w:sz w:val="22"/>
      <w:szCs w:val="20"/>
      <w14:ligatures w14:val="none"/>
    </w:rPr>
  </w:style>
  <w:style w:type="paragraph" w:customStyle="1" w:styleId="Pagenumber">
    <w:name w:val="Pagenumber"/>
    <w:basedOn w:val="Normal-Centered"/>
    <w:link w:val="PagenumberChar"/>
    <w:qFormat/>
    <w:rsid w:val="00CB3166"/>
    <w:rPr>
      <w:sz w:val="20"/>
    </w:rPr>
  </w:style>
  <w:style w:type="character" w:customStyle="1" w:styleId="PagenumberChar">
    <w:name w:val="Pagenumber Char"/>
    <w:basedOn w:val="Normal-CenteredChar"/>
    <w:link w:val="Pagenumber"/>
    <w:rsid w:val="00CB3166"/>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CB3166"/>
    <w:rPr>
      <w:sz w:val="20"/>
    </w:rPr>
  </w:style>
  <w:style w:type="character" w:customStyle="1" w:styleId="Header10Char">
    <w:name w:val="Header10 Char"/>
    <w:basedOn w:val="CenteredChar"/>
    <w:link w:val="Header10"/>
    <w:rsid w:val="00CB3166"/>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CB3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2182</Words>
  <Characters>12441</Characters>
  <Application>Microsoft Office Word</Application>
  <DocSecurity>0</DocSecurity>
  <Lines>103</Lines>
  <Paragraphs>29</Paragraphs>
  <ScaleCrop>false</ScaleCrop>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5</cp:revision>
  <dcterms:created xsi:type="dcterms:W3CDTF">2025-07-23T09:08:00Z</dcterms:created>
  <dcterms:modified xsi:type="dcterms:W3CDTF">2025-07-24T16:18:00Z</dcterms:modified>
</cp:coreProperties>
</file>