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379D" w14:textId="77777777" w:rsidR="006D6285" w:rsidRDefault="006D6285" w:rsidP="006D6285">
      <w:pPr>
        <w:pStyle w:val="NormalCentered"/>
        <w:rPr>
          <w:sz w:val="40"/>
          <w:szCs w:val="40"/>
        </w:rPr>
      </w:pPr>
    </w:p>
    <w:p w14:paraId="7EF77D42" w14:textId="774A5B4B" w:rsidR="006D6285" w:rsidRPr="00FE3822" w:rsidRDefault="006D6285" w:rsidP="006D6285">
      <w:pPr>
        <w:pStyle w:val="NormalCentered"/>
        <w:rPr>
          <w:sz w:val="44"/>
          <w:szCs w:val="44"/>
        </w:rPr>
      </w:pPr>
      <w:r w:rsidRPr="00FE3822">
        <w:rPr>
          <w:sz w:val="44"/>
          <w:szCs w:val="44"/>
        </w:rPr>
        <w:t>An Open-Access Casebook</w:t>
      </w:r>
    </w:p>
    <w:p w14:paraId="778D3C77" w14:textId="77777777" w:rsidR="006D6285" w:rsidRDefault="006D6285" w:rsidP="006D6285">
      <w:pPr>
        <w:pStyle w:val="NormalCentered"/>
      </w:pPr>
    </w:p>
    <w:p w14:paraId="0055AC3A" w14:textId="77777777" w:rsidR="006D6285" w:rsidRDefault="006D6285" w:rsidP="006D6285">
      <w:pPr>
        <w:pStyle w:val="NormalCentered"/>
        <w:rPr>
          <w:sz w:val="32"/>
          <w:szCs w:val="32"/>
        </w:rPr>
      </w:pPr>
    </w:p>
    <w:p w14:paraId="71BCDE72" w14:textId="77777777" w:rsidR="006D6285" w:rsidRPr="00566252" w:rsidRDefault="006D6285" w:rsidP="006D6285">
      <w:pPr>
        <w:pStyle w:val="NormalCentered"/>
        <w:rPr>
          <w:caps/>
          <w:sz w:val="32"/>
          <w:szCs w:val="32"/>
        </w:rPr>
      </w:pPr>
    </w:p>
    <w:p w14:paraId="75AEB027" w14:textId="77777777" w:rsidR="006D6285" w:rsidRPr="000B428E" w:rsidRDefault="006D6285" w:rsidP="006D6285">
      <w:pPr>
        <w:pStyle w:val="NormalCentered"/>
        <w:rPr>
          <w:sz w:val="28"/>
          <w:szCs w:val="28"/>
          <w:lang w:val="de-DE"/>
        </w:rPr>
      </w:pPr>
      <w:r w:rsidRPr="000B428E">
        <w:rPr>
          <w:sz w:val="28"/>
          <w:szCs w:val="28"/>
          <w:lang w:val="de-DE"/>
        </w:rPr>
        <w:t>Version 12 (2025)</w:t>
      </w:r>
    </w:p>
    <w:p w14:paraId="49A8B03E" w14:textId="77777777" w:rsidR="006D6285" w:rsidRPr="000B428E" w:rsidRDefault="006D6285" w:rsidP="006D6285">
      <w:pPr>
        <w:pStyle w:val="NormalCentered"/>
        <w:rPr>
          <w:sz w:val="28"/>
          <w:szCs w:val="28"/>
          <w:lang w:val="de-DE"/>
        </w:rPr>
      </w:pPr>
      <w:r w:rsidRPr="000B428E">
        <w:rPr>
          <w:sz w:val="28"/>
          <w:szCs w:val="28"/>
          <w:lang w:val="de-DE"/>
        </w:rPr>
        <w:t>Digital Edition</w:t>
      </w:r>
    </w:p>
    <w:p w14:paraId="677E1FE6" w14:textId="77777777" w:rsidR="006D6285" w:rsidRPr="000B428E" w:rsidRDefault="006D6285" w:rsidP="006D6285">
      <w:pPr>
        <w:pStyle w:val="NormalCentered"/>
        <w:rPr>
          <w:sz w:val="28"/>
          <w:szCs w:val="28"/>
          <w:lang w:val="de-DE"/>
        </w:rPr>
      </w:pPr>
      <w:r w:rsidRPr="000B428E">
        <w:rPr>
          <w:sz w:val="28"/>
          <w:szCs w:val="28"/>
          <w:lang w:val="de-DE"/>
        </w:rPr>
        <w:t>www.tmcasebook.org</w:t>
      </w:r>
    </w:p>
    <w:p w14:paraId="6C9AB18A" w14:textId="77777777" w:rsidR="006D6285" w:rsidRDefault="006D6285" w:rsidP="006D6285">
      <w:pPr>
        <w:pStyle w:val="NormalCentered"/>
        <w:rPr>
          <w:sz w:val="32"/>
          <w:szCs w:val="32"/>
          <w:lang w:val="de-DE"/>
        </w:rPr>
      </w:pPr>
    </w:p>
    <w:p w14:paraId="0599E60F" w14:textId="77777777" w:rsidR="006D6285" w:rsidRDefault="006D6285" w:rsidP="006D6285">
      <w:pPr>
        <w:pStyle w:val="NormalCentered"/>
        <w:rPr>
          <w:sz w:val="32"/>
          <w:szCs w:val="32"/>
          <w:lang w:val="de-DE"/>
        </w:rPr>
      </w:pPr>
    </w:p>
    <w:p w14:paraId="7C1B88B7" w14:textId="77777777" w:rsidR="006D6285" w:rsidRPr="0065729C" w:rsidRDefault="006D6285" w:rsidP="006D6285">
      <w:pPr>
        <w:pStyle w:val="NormalCentered"/>
        <w:rPr>
          <w:sz w:val="32"/>
          <w:szCs w:val="32"/>
          <w:lang w:val="de-DE"/>
        </w:rPr>
      </w:pPr>
    </w:p>
    <w:p w14:paraId="4758C852" w14:textId="77777777" w:rsidR="006D6285" w:rsidRPr="0065729C" w:rsidRDefault="006D6285" w:rsidP="006D6285">
      <w:pPr>
        <w:pStyle w:val="NormalCentered"/>
        <w:rPr>
          <w:sz w:val="32"/>
          <w:szCs w:val="32"/>
          <w:lang w:val="de-DE"/>
        </w:rPr>
      </w:pPr>
    </w:p>
    <w:p w14:paraId="3409C4BC" w14:textId="77777777" w:rsidR="006D6285" w:rsidRPr="000B428E" w:rsidRDefault="006D6285" w:rsidP="006D6285">
      <w:pPr>
        <w:pStyle w:val="NormalCentered"/>
        <w:rPr>
          <w:sz w:val="28"/>
          <w:szCs w:val="28"/>
        </w:rPr>
      </w:pPr>
      <w:r w:rsidRPr="000B428E">
        <w:rPr>
          <w:sz w:val="28"/>
          <w:szCs w:val="28"/>
        </w:rPr>
        <w:t>Barton Beebe</w:t>
      </w:r>
    </w:p>
    <w:p w14:paraId="75CD3D0E" w14:textId="77777777" w:rsidR="006D6285" w:rsidRPr="000B428E" w:rsidRDefault="006D6285" w:rsidP="006D6285">
      <w:pPr>
        <w:pStyle w:val="NormalCentered"/>
        <w:rPr>
          <w:sz w:val="28"/>
          <w:szCs w:val="28"/>
        </w:rPr>
      </w:pPr>
      <w:r w:rsidRPr="000B428E">
        <w:rPr>
          <w:sz w:val="28"/>
          <w:szCs w:val="28"/>
        </w:rPr>
        <w:t>John M. Desmarais Professor of Intellectual Property Law</w:t>
      </w:r>
    </w:p>
    <w:p w14:paraId="5DAC3D57" w14:textId="77777777" w:rsidR="006D6285" w:rsidRPr="0065729C" w:rsidRDefault="006D6285" w:rsidP="006D6285">
      <w:pPr>
        <w:pStyle w:val="NormalCentered"/>
        <w:rPr>
          <w:sz w:val="32"/>
          <w:szCs w:val="32"/>
        </w:rPr>
      </w:pPr>
      <w:r w:rsidRPr="000B428E">
        <w:rPr>
          <w:sz w:val="28"/>
          <w:szCs w:val="28"/>
        </w:rPr>
        <w:t>New York University School of Law</w:t>
      </w:r>
    </w:p>
    <w:p w14:paraId="33BA2B2B" w14:textId="77777777" w:rsidR="006D6285" w:rsidRDefault="006D6285" w:rsidP="006D6285">
      <w:pPr>
        <w:pStyle w:val="TOC1"/>
      </w:pPr>
    </w:p>
    <w:p w14:paraId="0816CE11" w14:textId="77777777" w:rsidR="006D6285" w:rsidRDefault="006D6285" w:rsidP="006D6285"/>
    <w:p w14:paraId="6DEC138D" w14:textId="77777777" w:rsidR="006D6285" w:rsidRDefault="006D6285" w:rsidP="006D6285"/>
    <w:p w14:paraId="14B6FCF7" w14:textId="77777777" w:rsidR="006D6285" w:rsidRPr="00ED0B13" w:rsidRDefault="006D6285" w:rsidP="006D6285"/>
    <w:p w14:paraId="4B134335" w14:textId="77777777" w:rsidR="006D6285" w:rsidRPr="00ED0B13" w:rsidRDefault="006D6285" w:rsidP="006D6285"/>
    <w:p w14:paraId="3D0619ED" w14:textId="77777777" w:rsidR="006D6285" w:rsidRPr="00ED0B13" w:rsidRDefault="006D6285" w:rsidP="006D6285">
      <w:pPr>
        <w:pStyle w:val="TOC1"/>
      </w:pPr>
    </w:p>
    <w:p w14:paraId="2E1D727D" w14:textId="77777777" w:rsidR="006D6285" w:rsidRDefault="006D6285" w:rsidP="006D6285">
      <w:pPr>
        <w:pStyle w:val="TOC1"/>
      </w:pPr>
      <w:r w:rsidRPr="00ED0B13">
        <w:t>This work is licensed under a Creative Commons Attribution-</w:t>
      </w:r>
      <w:proofErr w:type="spellStart"/>
      <w:r w:rsidRPr="00ED0B13">
        <w:t>NonCommercial</w:t>
      </w:r>
      <w:proofErr w:type="spellEnd"/>
      <w:r w:rsidRPr="00ED0B13">
        <w:t>-</w:t>
      </w:r>
    </w:p>
    <w:p w14:paraId="3ABDF3A3" w14:textId="77777777" w:rsidR="006D6285" w:rsidRPr="00ED0B13" w:rsidRDefault="006D6285" w:rsidP="006D6285">
      <w:pPr>
        <w:pStyle w:val="TOC1"/>
      </w:pPr>
      <w:proofErr w:type="spellStart"/>
      <w:r w:rsidRPr="00ED0B13">
        <w:t>ShareAlike</w:t>
      </w:r>
      <w:proofErr w:type="spellEnd"/>
      <w:r w:rsidRPr="00ED0B13">
        <w:t xml:space="preserve"> 4.0 International License.</w:t>
      </w:r>
    </w:p>
    <w:p w14:paraId="12F56A1A" w14:textId="24387FF8" w:rsidR="006D6285" w:rsidRDefault="006D6285" w:rsidP="006D6285">
      <w:pPr>
        <w:spacing w:after="160" w:line="278" w:lineRule="auto"/>
        <w:ind w:firstLine="0"/>
        <w:jc w:val="center"/>
        <w:rPr>
          <w:rFonts w:asciiTheme="minorHAnsi" w:eastAsiaTheme="majorEastAsia" w:hAnsiTheme="minorHAnsi" w:cstheme="majorBidi"/>
          <w:color w:val="0F4761" w:themeColor="accent1" w:themeShade="BF"/>
          <w:kern w:val="2"/>
          <w:sz w:val="40"/>
          <w:szCs w:val="40"/>
          <w14:ligatures w14:val="standardContextual"/>
        </w:rPr>
      </w:pPr>
      <w:r>
        <w:rPr>
          <w:noProof/>
        </w:rPr>
        <w:drawing>
          <wp:inline distT="0" distB="0" distL="0" distR="0" wp14:anchorId="26921913" wp14:editId="4DD8A86C">
            <wp:extent cx="839470" cy="292100"/>
            <wp:effectExtent l="0" t="0" r="0" b="0"/>
            <wp:docPr id="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9470" cy="292100"/>
                    </a:xfrm>
                    <a:prstGeom prst="rect">
                      <a:avLst/>
                    </a:prstGeom>
                    <a:noFill/>
                    <a:ln>
                      <a:noFill/>
                    </a:ln>
                  </pic:spPr>
                </pic:pic>
              </a:graphicData>
            </a:graphic>
          </wp:inline>
        </w:drawing>
      </w:r>
    </w:p>
    <w:p w14:paraId="259318FD" w14:textId="77777777" w:rsidR="006D6285" w:rsidRDefault="006D6285">
      <w:pPr>
        <w:spacing w:after="160" w:line="278" w:lineRule="auto"/>
        <w:ind w:firstLine="0"/>
        <w:jc w:val="left"/>
        <w:rPr>
          <w:rFonts w:asciiTheme="minorHAnsi" w:eastAsiaTheme="majorEastAsia" w:hAnsiTheme="minorHAnsi" w:cstheme="majorBidi"/>
          <w:color w:val="0F4761" w:themeColor="accent1" w:themeShade="BF"/>
          <w:kern w:val="2"/>
          <w:sz w:val="40"/>
          <w:szCs w:val="40"/>
          <w14:ligatures w14:val="standardContextual"/>
        </w:rPr>
      </w:pPr>
      <w:r>
        <w:rPr>
          <w:sz w:val="40"/>
          <w:szCs w:val="40"/>
        </w:rPr>
        <w:br w:type="page"/>
      </w:r>
    </w:p>
    <w:p w14:paraId="61BF5B4E" w14:textId="296512E8" w:rsidR="00801539" w:rsidRPr="006D6285" w:rsidRDefault="00801539" w:rsidP="00801539">
      <w:pPr>
        <w:pStyle w:val="Heading3"/>
        <w:rPr>
          <w:sz w:val="40"/>
          <w:szCs w:val="40"/>
        </w:rPr>
      </w:pPr>
      <w:r w:rsidRPr="006D6285">
        <w:rPr>
          <w:sz w:val="40"/>
          <w:szCs w:val="40"/>
        </w:rPr>
        <w:lastRenderedPageBreak/>
        <w:t xml:space="preserve">Dilution by </w:t>
      </w:r>
      <w:proofErr w:type="spellStart"/>
      <w:r w:rsidRPr="006D6285">
        <w:rPr>
          <w:sz w:val="40"/>
          <w:szCs w:val="40"/>
        </w:rPr>
        <w:t>Tarnishment</w:t>
      </w:r>
      <w:proofErr w:type="spellEnd"/>
    </w:p>
    <w:p w14:paraId="051EABD6" w14:textId="77777777" w:rsidR="00801539" w:rsidRPr="006D6285" w:rsidRDefault="00801539" w:rsidP="00801539">
      <w:pPr>
        <w:keepNext/>
        <w:rPr>
          <w:rFonts w:asciiTheme="minorHAnsi" w:hAnsiTheme="minorHAnsi"/>
          <w:sz w:val="24"/>
          <w:szCs w:val="24"/>
        </w:rPr>
      </w:pPr>
      <w:r w:rsidRPr="006D6285">
        <w:rPr>
          <w:rFonts w:asciiTheme="minorHAnsi" w:hAnsiTheme="minorHAnsi"/>
          <w:sz w:val="24"/>
          <w:szCs w:val="24"/>
        </w:rPr>
        <w:t>Which do you find more persuasive in what follows: the majority opinion or the dissenting opinion?</w:t>
      </w:r>
    </w:p>
    <w:p w14:paraId="68C263F7" w14:textId="77777777" w:rsidR="00801539" w:rsidRPr="006D6285" w:rsidRDefault="00801539" w:rsidP="00801539">
      <w:pPr>
        <w:pStyle w:val="NormalCentered"/>
        <w:rPr>
          <w:rFonts w:asciiTheme="minorHAnsi" w:hAnsiTheme="minorHAnsi"/>
          <w:sz w:val="24"/>
          <w:szCs w:val="24"/>
        </w:rPr>
      </w:pPr>
    </w:p>
    <w:p w14:paraId="0481F252" w14:textId="08BA4440" w:rsidR="00801539" w:rsidRPr="006D6285" w:rsidRDefault="00801539" w:rsidP="006D6285">
      <w:pPr>
        <w:pStyle w:val="Heading7"/>
        <w:ind w:firstLine="432"/>
        <w:rPr>
          <w:color w:val="FF0000"/>
        </w:rPr>
      </w:pPr>
      <w:bookmarkStart w:id="0" w:name="_Toc519598835"/>
      <w:bookmarkStart w:id="1" w:name="_Toc201424407"/>
      <w:r w:rsidRPr="006D6285">
        <w:rPr>
          <w:color w:val="FF0000"/>
        </w:rPr>
        <w:t>[</w:t>
      </w:r>
      <w:r w:rsidR="006D6285" w:rsidRPr="006D6285">
        <w:rPr>
          <w:color w:val="FF0000"/>
        </w:rPr>
        <w:t xml:space="preserve">The opinion in </w:t>
      </w:r>
      <w:r w:rsidRPr="006D6285">
        <w:rPr>
          <w:i/>
          <w:iCs/>
          <w:color w:val="FF0000"/>
        </w:rPr>
        <w:t>V Secret Catalogue, Inc. v. Moseley</w:t>
      </w:r>
      <w:bookmarkEnd w:id="0"/>
      <w:bookmarkEnd w:id="1"/>
      <w:r w:rsidR="006D6285" w:rsidRPr="006D6285">
        <w:rPr>
          <w:color w:val="FF0000"/>
        </w:rPr>
        <w:t xml:space="preserve"> is available separately.</w:t>
      </w:r>
      <w:r w:rsidRPr="006D6285">
        <w:rPr>
          <w:color w:val="FF0000"/>
        </w:rPr>
        <w:t>]</w:t>
      </w:r>
    </w:p>
    <w:p w14:paraId="3A6270B8" w14:textId="77777777" w:rsidR="00801539" w:rsidRPr="006D6285" w:rsidRDefault="00801539" w:rsidP="00801539">
      <w:pPr>
        <w:pStyle w:val="OpinionCitation"/>
        <w:rPr>
          <w:rFonts w:asciiTheme="minorHAnsi" w:hAnsiTheme="minorHAnsi"/>
          <w:sz w:val="24"/>
          <w:szCs w:val="24"/>
        </w:rPr>
      </w:pPr>
    </w:p>
    <w:p w14:paraId="0C98BB80" w14:textId="77777777" w:rsidR="00801539" w:rsidRPr="006D6285" w:rsidRDefault="00801539" w:rsidP="00801539">
      <w:pPr>
        <w:pStyle w:val="CommentsandQuestions"/>
        <w:rPr>
          <w:rFonts w:asciiTheme="minorHAnsi" w:hAnsiTheme="minorHAnsi"/>
          <w:sz w:val="24"/>
          <w:szCs w:val="24"/>
        </w:rPr>
      </w:pPr>
      <w:r w:rsidRPr="006D6285">
        <w:rPr>
          <w:rFonts w:asciiTheme="minorHAnsi" w:hAnsiTheme="minorHAnsi"/>
          <w:sz w:val="24"/>
          <w:szCs w:val="24"/>
        </w:rPr>
        <w:t>Questions and Comments</w:t>
      </w:r>
    </w:p>
    <w:p w14:paraId="5A5DCA3B" w14:textId="77777777" w:rsidR="00801539" w:rsidRPr="006D6285" w:rsidRDefault="00801539" w:rsidP="00801539">
      <w:pPr>
        <w:rPr>
          <w:rFonts w:asciiTheme="minorHAnsi" w:hAnsiTheme="minorHAnsi"/>
          <w:sz w:val="24"/>
          <w:szCs w:val="24"/>
        </w:rPr>
      </w:pPr>
      <w:bookmarkStart w:id="2" w:name="_Hlk171331529"/>
      <w:r w:rsidRPr="006D6285">
        <w:rPr>
          <w:rFonts w:asciiTheme="minorHAnsi" w:hAnsiTheme="minorHAnsi"/>
          <w:sz w:val="24"/>
          <w:szCs w:val="24"/>
        </w:rPr>
        <w:t xml:space="preserve">1. </w:t>
      </w:r>
      <w:r w:rsidRPr="006D6285">
        <w:rPr>
          <w:rFonts w:asciiTheme="minorHAnsi" w:hAnsiTheme="minorHAnsi"/>
          <w:i/>
          <w:iCs/>
          <w:sz w:val="24"/>
          <w:szCs w:val="24"/>
        </w:rPr>
        <w:t xml:space="preserve">Criticisms of the Sixth Circuit majority opinion in </w:t>
      </w:r>
      <w:r w:rsidRPr="006D6285">
        <w:rPr>
          <w:rFonts w:asciiTheme="minorHAnsi" w:hAnsiTheme="minorHAnsi"/>
          <w:sz w:val="24"/>
          <w:szCs w:val="24"/>
        </w:rPr>
        <w:t xml:space="preserve">V Secret. Leading voices in trademark law have strongly criticized the majority opinion. </w:t>
      </w:r>
      <w:r w:rsidRPr="006D6285">
        <w:rPr>
          <w:rFonts w:asciiTheme="minorHAnsi" w:hAnsiTheme="minorHAnsi"/>
          <w:i/>
          <w:iCs/>
          <w:sz w:val="24"/>
          <w:szCs w:val="24"/>
        </w:rPr>
        <w:t>See, e.g</w:t>
      </w:r>
      <w:r w:rsidRPr="006D6285">
        <w:rPr>
          <w:rFonts w:asciiTheme="minorHAnsi" w:hAnsiTheme="minorHAnsi"/>
          <w:sz w:val="24"/>
          <w:szCs w:val="24"/>
        </w:rPr>
        <w:t xml:space="preserve">., </w:t>
      </w:r>
      <w:r w:rsidRPr="006D6285">
        <w:rPr>
          <w:rFonts w:asciiTheme="minorHAnsi" w:hAnsiTheme="minorHAnsi"/>
          <w:smallCaps/>
          <w:sz w:val="24"/>
          <w:szCs w:val="24"/>
        </w:rPr>
        <w:t>McCarthy</w:t>
      </w:r>
      <w:r w:rsidRPr="006D6285">
        <w:rPr>
          <w:rFonts w:asciiTheme="minorHAnsi" w:hAnsiTheme="minorHAnsi"/>
          <w:sz w:val="24"/>
          <w:szCs w:val="24"/>
        </w:rPr>
        <w:t xml:space="preserve"> § 24:89 (condemning the </w:t>
      </w:r>
      <w:r w:rsidRPr="006D6285">
        <w:rPr>
          <w:rFonts w:asciiTheme="minorHAnsi" w:hAnsiTheme="minorHAnsi"/>
          <w:i/>
          <w:iCs/>
          <w:sz w:val="24"/>
          <w:szCs w:val="24"/>
        </w:rPr>
        <w:t>V Secret</w:t>
      </w:r>
      <w:r w:rsidRPr="006D6285">
        <w:rPr>
          <w:rFonts w:asciiTheme="minorHAnsi" w:hAnsiTheme="minorHAnsi"/>
          <w:sz w:val="24"/>
          <w:szCs w:val="24"/>
        </w:rPr>
        <w:t xml:space="preserve"> presumption as “wildly misguided” and observing that “[t]he majority’s  presumption certainly sounds like the judiciary is making value judgments about what is unacceptably ‘sexy,’ a highly subjective and very slippery slope, allowing courts to censor uses they personally find ‘sex-related.’”). McCarthy further notes a fundamental problem with the plaintiff’s evidence of </w:t>
      </w:r>
      <w:proofErr w:type="spellStart"/>
      <w:r w:rsidRPr="006D6285">
        <w:rPr>
          <w:rFonts w:asciiTheme="minorHAnsi" w:hAnsiTheme="minorHAnsi"/>
          <w:sz w:val="24"/>
          <w:szCs w:val="24"/>
        </w:rPr>
        <w:t>tarnishment</w:t>
      </w:r>
      <w:proofErr w:type="spellEnd"/>
      <w:r w:rsidRPr="006D6285">
        <w:rPr>
          <w:rFonts w:asciiTheme="minorHAnsi" w:hAnsiTheme="minorHAnsi"/>
          <w:sz w:val="24"/>
          <w:szCs w:val="24"/>
        </w:rPr>
        <w:t xml:space="preserve"> (and perhaps with the theory of dilution by </w:t>
      </w:r>
      <w:proofErr w:type="spellStart"/>
      <w:r w:rsidRPr="006D6285">
        <w:rPr>
          <w:rFonts w:asciiTheme="minorHAnsi" w:hAnsiTheme="minorHAnsi"/>
          <w:sz w:val="24"/>
          <w:szCs w:val="24"/>
        </w:rPr>
        <w:t>tarnishment</w:t>
      </w:r>
      <w:proofErr w:type="spellEnd"/>
      <w:r w:rsidRPr="006D6285">
        <w:rPr>
          <w:rFonts w:asciiTheme="minorHAnsi" w:hAnsiTheme="minorHAnsi"/>
          <w:sz w:val="24"/>
          <w:szCs w:val="24"/>
        </w:rPr>
        <w:t xml:space="preserve"> more broadly): “I find very troubling that the district court based its finding of a likelihood of </w:t>
      </w:r>
      <w:proofErr w:type="spellStart"/>
      <w:r w:rsidRPr="006D6285">
        <w:rPr>
          <w:rFonts w:asciiTheme="minorHAnsi" w:hAnsiTheme="minorHAnsi"/>
          <w:sz w:val="24"/>
          <w:szCs w:val="24"/>
        </w:rPr>
        <w:t>tarnishment</w:t>
      </w:r>
      <w:proofErr w:type="spellEnd"/>
      <w:r w:rsidRPr="006D6285">
        <w:rPr>
          <w:rFonts w:asciiTheme="minorHAnsi" w:hAnsiTheme="minorHAnsi"/>
          <w:sz w:val="24"/>
          <w:szCs w:val="24"/>
        </w:rPr>
        <w:t xml:space="preserve"> upon the very same testimony that the Supreme Court in 2003 had characterized as not being evidence of </w:t>
      </w:r>
      <w:proofErr w:type="spellStart"/>
      <w:r w:rsidRPr="006D6285">
        <w:rPr>
          <w:rFonts w:asciiTheme="minorHAnsi" w:hAnsiTheme="minorHAnsi"/>
          <w:sz w:val="24"/>
          <w:szCs w:val="24"/>
        </w:rPr>
        <w:t>tarnishment</w:t>
      </w:r>
      <w:proofErr w:type="spellEnd"/>
      <w:r w:rsidRPr="006D6285">
        <w:rPr>
          <w:rFonts w:asciiTheme="minorHAnsi" w:hAnsiTheme="minorHAnsi"/>
          <w:sz w:val="24"/>
          <w:szCs w:val="24"/>
        </w:rPr>
        <w:t xml:space="preserve">.” </w:t>
      </w:r>
      <w:r w:rsidRPr="006D6285">
        <w:rPr>
          <w:rFonts w:asciiTheme="minorHAnsi" w:hAnsiTheme="minorHAnsi"/>
          <w:i/>
          <w:iCs/>
          <w:sz w:val="24"/>
          <w:szCs w:val="24"/>
        </w:rPr>
        <w:t>Id</w:t>
      </w:r>
      <w:r w:rsidRPr="006D6285">
        <w:rPr>
          <w:rFonts w:asciiTheme="minorHAnsi" w:hAnsiTheme="minorHAnsi"/>
          <w:sz w:val="24"/>
          <w:szCs w:val="24"/>
        </w:rPr>
        <w:t>. McCarthy explains:</w:t>
      </w:r>
    </w:p>
    <w:p w14:paraId="5B242421" w14:textId="77777777" w:rsidR="00801539" w:rsidRPr="006D6285" w:rsidRDefault="00801539" w:rsidP="00801539">
      <w:pPr>
        <w:pStyle w:val="Blockquote"/>
        <w:rPr>
          <w:rFonts w:asciiTheme="minorHAnsi" w:hAnsiTheme="minorHAnsi"/>
          <w:sz w:val="24"/>
          <w:szCs w:val="24"/>
        </w:rPr>
      </w:pPr>
      <w:r w:rsidRPr="006D6285">
        <w:rPr>
          <w:rFonts w:asciiTheme="minorHAnsi" w:hAnsiTheme="minorHAnsi"/>
          <w:sz w:val="24"/>
          <w:szCs w:val="24"/>
        </w:rPr>
        <w:t>The district court relied on the same Army officer's testimony that the Supreme Court characterized in its opinion. That is, an Army Officer was offended by the junior user's use of its name on what he considered to be tasteless goods. The Supreme Court said that the officer “did not therefore form any different impression of the store that his wife and daughter had patronized … . The officer was offended by the ad, but it did not change his conception of Victoria's Secret. His offense was directed entirely at [the junior user], not at [the senior user Victoria's Secret].” Moseley v. V Secret Catalogue, Inc., 537 U.S. 418, 434 (2003). Yet, on remand, the district court said this same testimony “suggests the likelihood that the reputation and standing of the VICTORIA'S SECRET mark would be tarnished.”</w:t>
      </w:r>
    </w:p>
    <w:p w14:paraId="148AF902" w14:textId="77777777" w:rsidR="00801539" w:rsidRPr="006D6285" w:rsidRDefault="00801539" w:rsidP="00801539">
      <w:pPr>
        <w:pStyle w:val="NormalNoIndent"/>
        <w:rPr>
          <w:rFonts w:asciiTheme="minorHAnsi" w:hAnsiTheme="minorHAnsi"/>
          <w:sz w:val="24"/>
          <w:szCs w:val="24"/>
        </w:rPr>
      </w:pPr>
      <w:r w:rsidRPr="006D6285">
        <w:rPr>
          <w:rFonts w:asciiTheme="minorHAnsi" w:hAnsiTheme="minorHAnsi"/>
          <w:smallCaps/>
          <w:sz w:val="24"/>
          <w:szCs w:val="24"/>
        </w:rPr>
        <w:t>McCarthy</w:t>
      </w:r>
      <w:r w:rsidRPr="006D6285">
        <w:rPr>
          <w:rFonts w:asciiTheme="minorHAnsi" w:hAnsiTheme="minorHAnsi"/>
          <w:sz w:val="24"/>
          <w:szCs w:val="24"/>
        </w:rPr>
        <w:t xml:space="preserve"> § 24:89 n. 49.</w:t>
      </w:r>
    </w:p>
    <w:bookmarkEnd w:id="2"/>
    <w:p w14:paraId="327F6E3C" w14:textId="265863CD" w:rsidR="00801539" w:rsidRPr="006D6285" w:rsidRDefault="00801539" w:rsidP="00801539">
      <w:pPr>
        <w:rPr>
          <w:rFonts w:asciiTheme="minorHAnsi" w:hAnsiTheme="minorHAnsi"/>
          <w:sz w:val="24"/>
          <w:szCs w:val="24"/>
        </w:rPr>
      </w:pPr>
      <w:r w:rsidRPr="006D6285">
        <w:rPr>
          <w:rFonts w:asciiTheme="minorHAnsi" w:hAnsiTheme="minorHAnsi"/>
          <w:sz w:val="24"/>
          <w:szCs w:val="24"/>
        </w:rPr>
        <w:t xml:space="preserve">2.  </w:t>
      </w:r>
      <w:r w:rsidRPr="006D6285">
        <w:rPr>
          <w:rFonts w:asciiTheme="minorHAnsi" w:hAnsiTheme="minorHAnsi"/>
          <w:i/>
          <w:sz w:val="24"/>
          <w:szCs w:val="24"/>
        </w:rPr>
        <w:t>Is antidilution law constitutional?</w:t>
      </w:r>
      <w:r w:rsidRPr="006D6285">
        <w:rPr>
          <w:rFonts w:asciiTheme="minorHAnsi" w:hAnsiTheme="minorHAnsi"/>
          <w:sz w:val="24"/>
          <w:szCs w:val="24"/>
        </w:rPr>
        <w:t xml:space="preserve"> In </w:t>
      </w:r>
      <w:r w:rsidRPr="006D6285">
        <w:rPr>
          <w:rFonts w:asciiTheme="minorHAnsi" w:hAnsiTheme="minorHAnsi"/>
          <w:i/>
          <w:sz w:val="24"/>
          <w:szCs w:val="24"/>
        </w:rPr>
        <w:t>Matal v. Tam</w:t>
      </w:r>
      <w:r w:rsidRPr="006D6285">
        <w:rPr>
          <w:rFonts w:asciiTheme="minorHAnsi" w:hAnsiTheme="minorHAnsi"/>
          <w:sz w:val="24"/>
          <w:szCs w:val="24"/>
        </w:rPr>
        <w:t xml:space="preserve">, 582 U.S. 218 (2017), excerpted </w:t>
      </w:r>
      <w:r w:rsidR="006D6285">
        <w:rPr>
          <w:rFonts w:asciiTheme="minorHAnsi" w:hAnsiTheme="minorHAnsi"/>
          <w:sz w:val="24"/>
          <w:szCs w:val="24"/>
        </w:rPr>
        <w:t xml:space="preserve">in the reading for Class 24 with respect to trademark law and the First Amendment, </w:t>
      </w:r>
      <w:r w:rsidRPr="006D6285">
        <w:rPr>
          <w:rFonts w:asciiTheme="minorHAnsi" w:hAnsiTheme="minorHAnsi"/>
          <w:sz w:val="24"/>
          <w:szCs w:val="24"/>
        </w:rPr>
        <w:t xml:space="preserve">the Supreme Court ruled that the Lanham Act § 2(a) prohibition on the registration of marks that “may disparage . . . persons” was invalid under the Free Speech Clause of the First Amendment. What are the implications of the Court’s reasoning in </w:t>
      </w:r>
      <w:r w:rsidRPr="006D6285">
        <w:rPr>
          <w:rFonts w:asciiTheme="minorHAnsi" w:hAnsiTheme="minorHAnsi"/>
          <w:i/>
          <w:sz w:val="24"/>
          <w:szCs w:val="24"/>
        </w:rPr>
        <w:t>Tam</w:t>
      </w:r>
      <w:r w:rsidRPr="006D6285">
        <w:rPr>
          <w:rFonts w:asciiTheme="minorHAnsi" w:hAnsiTheme="minorHAnsi"/>
          <w:sz w:val="24"/>
          <w:szCs w:val="24"/>
        </w:rPr>
        <w:t xml:space="preserve"> for antidilution law, and particularly for anti-</w:t>
      </w:r>
      <w:proofErr w:type="spellStart"/>
      <w:r w:rsidRPr="006D6285">
        <w:rPr>
          <w:rFonts w:asciiTheme="minorHAnsi" w:hAnsiTheme="minorHAnsi"/>
          <w:sz w:val="24"/>
          <w:szCs w:val="24"/>
        </w:rPr>
        <w:t>tarnishment</w:t>
      </w:r>
      <w:proofErr w:type="spellEnd"/>
      <w:r w:rsidRPr="006D6285">
        <w:rPr>
          <w:rFonts w:asciiTheme="minorHAnsi" w:hAnsiTheme="minorHAnsi"/>
          <w:sz w:val="24"/>
          <w:szCs w:val="24"/>
        </w:rPr>
        <w:t xml:space="preserve"> law?</w:t>
      </w:r>
    </w:p>
    <w:p w14:paraId="5DB4C997" w14:textId="77777777" w:rsidR="00801539" w:rsidRPr="006D6285" w:rsidRDefault="00801539" w:rsidP="00801539">
      <w:pPr>
        <w:rPr>
          <w:rFonts w:asciiTheme="minorHAnsi" w:hAnsiTheme="minorHAnsi"/>
          <w:sz w:val="24"/>
          <w:szCs w:val="24"/>
        </w:rPr>
      </w:pPr>
      <w:r w:rsidRPr="006D6285">
        <w:rPr>
          <w:rFonts w:asciiTheme="minorHAnsi" w:hAnsiTheme="minorHAnsi"/>
          <w:sz w:val="24"/>
          <w:szCs w:val="24"/>
        </w:rPr>
        <w:t xml:space="preserve">3. </w:t>
      </w:r>
      <w:proofErr w:type="spellStart"/>
      <w:r w:rsidRPr="006D6285">
        <w:rPr>
          <w:rFonts w:asciiTheme="minorHAnsi" w:hAnsiTheme="minorHAnsi"/>
          <w:i/>
          <w:iCs/>
          <w:sz w:val="24"/>
          <w:szCs w:val="24"/>
        </w:rPr>
        <w:t>Tarnishment</w:t>
      </w:r>
      <w:proofErr w:type="spellEnd"/>
      <w:r w:rsidRPr="006D6285">
        <w:rPr>
          <w:rFonts w:asciiTheme="minorHAnsi" w:hAnsiTheme="minorHAnsi"/>
          <w:i/>
          <w:iCs/>
          <w:sz w:val="24"/>
          <w:szCs w:val="24"/>
        </w:rPr>
        <w:t xml:space="preserve"> or “</w:t>
      </w:r>
      <w:proofErr w:type="spellStart"/>
      <w:r w:rsidRPr="006D6285">
        <w:rPr>
          <w:rFonts w:asciiTheme="minorHAnsi" w:hAnsiTheme="minorHAnsi"/>
          <w:i/>
          <w:iCs/>
          <w:sz w:val="24"/>
          <w:szCs w:val="24"/>
        </w:rPr>
        <w:t>burnishment</w:t>
      </w:r>
      <w:proofErr w:type="spellEnd"/>
      <w:r w:rsidRPr="006D6285">
        <w:rPr>
          <w:rFonts w:asciiTheme="minorHAnsi" w:hAnsiTheme="minorHAnsi"/>
          <w:i/>
          <w:iCs/>
          <w:sz w:val="24"/>
          <w:szCs w:val="24"/>
        </w:rPr>
        <w:t>”?</w:t>
      </w:r>
      <w:r w:rsidRPr="006D6285">
        <w:rPr>
          <w:rFonts w:asciiTheme="minorHAnsi" w:hAnsiTheme="minorHAnsi"/>
          <w:sz w:val="24"/>
          <w:szCs w:val="24"/>
        </w:rPr>
        <w:t xml:space="preserve"> </w:t>
      </w:r>
      <w:r w:rsidRPr="006D6285">
        <w:rPr>
          <w:rFonts w:asciiTheme="minorHAnsi" w:hAnsiTheme="minorHAnsi"/>
          <w:i/>
          <w:iCs/>
          <w:sz w:val="24"/>
          <w:szCs w:val="24"/>
        </w:rPr>
        <w:t>See</w:t>
      </w:r>
      <w:r w:rsidRPr="006D6285">
        <w:rPr>
          <w:rFonts w:asciiTheme="minorHAnsi" w:hAnsiTheme="minorHAnsi"/>
          <w:sz w:val="24"/>
          <w:szCs w:val="24"/>
        </w:rPr>
        <w:t xml:space="preserve"> Jake Linford, Justin Sevier &amp; Allyson Willis, </w:t>
      </w:r>
      <w:r w:rsidRPr="006D6285">
        <w:rPr>
          <w:rFonts w:asciiTheme="minorHAnsi" w:hAnsiTheme="minorHAnsi"/>
          <w:i/>
          <w:iCs/>
          <w:sz w:val="24"/>
          <w:szCs w:val="24"/>
        </w:rPr>
        <w:t>Trademark</w:t>
      </w:r>
      <w:r w:rsidRPr="006D6285">
        <w:rPr>
          <w:rFonts w:asciiTheme="minorHAnsi" w:hAnsiTheme="minorHAnsi"/>
          <w:sz w:val="24"/>
          <w:szCs w:val="24"/>
        </w:rPr>
        <w:t xml:space="preserve"> </w:t>
      </w:r>
      <w:proofErr w:type="spellStart"/>
      <w:r w:rsidRPr="006D6285">
        <w:rPr>
          <w:rFonts w:asciiTheme="minorHAnsi" w:hAnsiTheme="minorHAnsi"/>
          <w:i/>
          <w:iCs/>
          <w:sz w:val="24"/>
          <w:szCs w:val="24"/>
        </w:rPr>
        <w:t>Tarnishmyths</w:t>
      </w:r>
      <w:proofErr w:type="spellEnd"/>
      <w:r w:rsidRPr="006D6285">
        <w:rPr>
          <w:rFonts w:asciiTheme="minorHAnsi" w:hAnsiTheme="minorHAnsi"/>
          <w:sz w:val="24"/>
          <w:szCs w:val="24"/>
        </w:rPr>
        <w:t xml:space="preserve">, 55 </w:t>
      </w:r>
      <w:r w:rsidRPr="006D6285">
        <w:rPr>
          <w:rFonts w:asciiTheme="minorHAnsi" w:hAnsiTheme="minorHAnsi"/>
          <w:smallCaps/>
          <w:sz w:val="24"/>
          <w:szCs w:val="24"/>
        </w:rPr>
        <w:t>Ariz. St. L.J.</w:t>
      </w:r>
      <w:r w:rsidRPr="006D6285">
        <w:rPr>
          <w:rFonts w:asciiTheme="minorHAnsi" w:hAnsiTheme="minorHAnsi"/>
          <w:sz w:val="24"/>
          <w:szCs w:val="24"/>
        </w:rPr>
        <w:t xml:space="preserve"> 609 (2023) (reporting the results of a series of </w:t>
      </w:r>
      <w:r w:rsidRPr="006D6285">
        <w:rPr>
          <w:rFonts w:asciiTheme="minorHAnsi" w:hAnsiTheme="minorHAnsi"/>
          <w:sz w:val="24"/>
          <w:szCs w:val="24"/>
        </w:rPr>
        <w:lastRenderedPageBreak/>
        <w:t>experiments that suggest that purportedly tarnishing conduct associating a targeted mark with sex, narcotics, or sacrilege does not harm the reputation and may even result in the “</w:t>
      </w:r>
      <w:proofErr w:type="spellStart"/>
      <w:r w:rsidRPr="006D6285">
        <w:rPr>
          <w:rFonts w:asciiTheme="minorHAnsi" w:hAnsiTheme="minorHAnsi"/>
          <w:sz w:val="24"/>
          <w:szCs w:val="24"/>
        </w:rPr>
        <w:t>burnishment</w:t>
      </w:r>
      <w:proofErr w:type="spellEnd"/>
      <w:r w:rsidRPr="006D6285">
        <w:rPr>
          <w:rFonts w:asciiTheme="minorHAnsi" w:hAnsiTheme="minorHAnsi"/>
          <w:sz w:val="24"/>
          <w:szCs w:val="24"/>
        </w:rPr>
        <w:t>” of the mark).</w:t>
      </w:r>
    </w:p>
    <w:p w14:paraId="35E35D15" w14:textId="77777777" w:rsidR="00EB3DF5" w:rsidRPr="006D6285" w:rsidRDefault="00EB3DF5">
      <w:pPr>
        <w:rPr>
          <w:rFonts w:asciiTheme="minorHAnsi" w:hAnsiTheme="minorHAnsi"/>
        </w:rPr>
      </w:pPr>
    </w:p>
    <w:sectPr w:rsidR="00EB3DF5" w:rsidRPr="006D6285" w:rsidSect="006D6285">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FB7B" w14:textId="77777777" w:rsidR="008F6B1B" w:rsidRDefault="008F6B1B" w:rsidP="00801539">
      <w:pPr>
        <w:spacing w:after="0" w:line="240" w:lineRule="auto"/>
      </w:pPr>
      <w:r>
        <w:separator/>
      </w:r>
    </w:p>
  </w:endnote>
  <w:endnote w:type="continuationSeparator" w:id="0">
    <w:p w14:paraId="1B3DAC1B" w14:textId="77777777" w:rsidR="008F6B1B" w:rsidRDefault="008F6B1B" w:rsidP="0080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4BEE" w14:textId="77777777" w:rsidR="006D6285" w:rsidRPr="00A04E11" w:rsidRDefault="006D6285" w:rsidP="006D6285">
    <w:pPr>
      <w:pStyle w:val="Pagenumber"/>
      <w:rPr>
        <w:rFonts w:asciiTheme="minorHAnsi" w:hAnsiTheme="minorHAnsi"/>
        <w:noProof/>
      </w:rPr>
    </w:pPr>
    <w:r w:rsidRPr="00A04E11">
      <w:rPr>
        <w:rFonts w:asciiTheme="minorHAnsi" w:hAnsiTheme="minorHAnsi"/>
      </w:rPr>
      <w:fldChar w:fldCharType="begin"/>
    </w:r>
    <w:r w:rsidRPr="00A04E11">
      <w:rPr>
        <w:rFonts w:asciiTheme="minorHAnsi" w:hAnsiTheme="minorHAnsi"/>
      </w:rPr>
      <w:instrText xml:space="preserve"> PAGE   \* MERGEFORMAT </w:instrText>
    </w:r>
    <w:r w:rsidRPr="00A04E11">
      <w:rPr>
        <w:rFonts w:asciiTheme="minorHAnsi" w:hAnsiTheme="minorHAnsi"/>
      </w:rPr>
      <w:fldChar w:fldCharType="separate"/>
    </w:r>
    <w:r>
      <w:rPr>
        <w:rFonts w:asciiTheme="minorHAnsi" w:hAnsiTheme="minorHAnsi"/>
      </w:rPr>
      <w:t>2</w:t>
    </w:r>
    <w:r w:rsidRPr="00A04E11">
      <w:rPr>
        <w:rFonts w:asciiTheme="minorHAnsi" w:hAnsiTheme="minorHAnsi"/>
        <w:noProof/>
      </w:rPr>
      <w:fldChar w:fldCharType="end"/>
    </w:r>
  </w:p>
  <w:p w14:paraId="3A31EB9C" w14:textId="77777777" w:rsidR="006D6285" w:rsidRDefault="006D6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4E76" w14:textId="77777777" w:rsidR="008F6B1B" w:rsidRDefault="008F6B1B" w:rsidP="00801539">
      <w:pPr>
        <w:spacing w:after="0" w:line="240" w:lineRule="auto"/>
      </w:pPr>
      <w:r>
        <w:separator/>
      </w:r>
    </w:p>
  </w:footnote>
  <w:footnote w:type="continuationSeparator" w:id="0">
    <w:p w14:paraId="395F6CE5" w14:textId="77777777" w:rsidR="008F6B1B" w:rsidRDefault="008F6B1B" w:rsidP="00801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5514" w14:textId="77777777" w:rsidR="006D6285" w:rsidRPr="00546A59" w:rsidRDefault="006D6285" w:rsidP="006D6285">
    <w:pPr>
      <w:pStyle w:val="Header10"/>
      <w:rPr>
        <w:rFonts w:asciiTheme="minorHAnsi" w:hAnsiTheme="minorHAnsi"/>
      </w:rPr>
    </w:pPr>
    <w:r w:rsidRPr="00546A59">
      <w:rPr>
        <w:rFonts w:asciiTheme="minorHAnsi" w:hAnsiTheme="minorHAnsi"/>
      </w:rPr>
      <w:t>Beebe - Trademark Law: An Open-Access Casebook</w:t>
    </w:r>
  </w:p>
  <w:p w14:paraId="04A08944" w14:textId="77777777" w:rsidR="006D6285" w:rsidRDefault="006D62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39"/>
    <w:rsid w:val="000A4AD4"/>
    <w:rsid w:val="000C53B3"/>
    <w:rsid w:val="001405E0"/>
    <w:rsid w:val="00340F6A"/>
    <w:rsid w:val="006D6285"/>
    <w:rsid w:val="007409E5"/>
    <w:rsid w:val="00801539"/>
    <w:rsid w:val="008F6B1B"/>
    <w:rsid w:val="00C712A7"/>
    <w:rsid w:val="00DC1D13"/>
    <w:rsid w:val="00E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7844"/>
  <w15:chartTrackingRefBased/>
  <w15:docId w15:val="{28E85698-C948-4354-A602-E30FC8C2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539"/>
    <w:pPr>
      <w:spacing w:after="60" w:line="264" w:lineRule="auto"/>
      <w:ind w:firstLine="432"/>
      <w:jc w:val="both"/>
    </w:pPr>
    <w:rPr>
      <w:rFonts w:ascii="Cambria" w:eastAsia="Calibri" w:hAnsi="Cambria" w:cs="Times New Roman"/>
      <w:kern w:val="0"/>
      <w:sz w:val="22"/>
      <w:szCs w:val="20"/>
      <w14:ligatures w14:val="none"/>
    </w:rPr>
  </w:style>
  <w:style w:type="paragraph" w:styleId="Heading1">
    <w:name w:val="heading 1"/>
    <w:basedOn w:val="Normal"/>
    <w:next w:val="Normal"/>
    <w:link w:val="Heading1Char"/>
    <w:uiPriority w:val="9"/>
    <w:qFormat/>
    <w:rsid w:val="00801539"/>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1539"/>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801539"/>
    <w:pPr>
      <w:keepNext/>
      <w:keepLines/>
      <w:spacing w:before="160" w:after="80" w:line="278"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1539"/>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01539"/>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01539"/>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aliases w:val="Case name"/>
    <w:basedOn w:val="Normal"/>
    <w:next w:val="Normal"/>
    <w:link w:val="Heading7Char"/>
    <w:uiPriority w:val="9"/>
    <w:unhideWhenUsed/>
    <w:qFormat/>
    <w:rsid w:val="00801539"/>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01539"/>
    <w:pPr>
      <w:keepNext/>
      <w:keepLines/>
      <w:spacing w:after="0" w:line="278" w:lineRule="auto"/>
      <w:ind w:firstLine="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01539"/>
    <w:pPr>
      <w:keepNext/>
      <w:keepLines/>
      <w:spacing w:after="0" w:line="278" w:lineRule="auto"/>
      <w:ind w:firstLine="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1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539"/>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801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539"/>
    <w:rPr>
      <w:rFonts w:eastAsiaTheme="majorEastAsia" w:cstheme="majorBidi"/>
      <w:color w:val="272727" w:themeColor="text1" w:themeTint="D8"/>
    </w:rPr>
  </w:style>
  <w:style w:type="paragraph" w:styleId="Title">
    <w:name w:val="Title"/>
    <w:basedOn w:val="Normal"/>
    <w:next w:val="Normal"/>
    <w:link w:val="TitleChar"/>
    <w:uiPriority w:val="10"/>
    <w:qFormat/>
    <w:rsid w:val="00801539"/>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1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539"/>
    <w:pPr>
      <w:numPr>
        <w:ilvl w:val="1"/>
      </w:numPr>
      <w:spacing w:after="160" w:line="278"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1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539"/>
    <w:pPr>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01539"/>
    <w:rPr>
      <w:i/>
      <w:iCs/>
      <w:color w:val="404040" w:themeColor="text1" w:themeTint="BF"/>
    </w:rPr>
  </w:style>
  <w:style w:type="paragraph" w:styleId="ListParagraph">
    <w:name w:val="List Paragraph"/>
    <w:basedOn w:val="Normal"/>
    <w:uiPriority w:val="34"/>
    <w:qFormat/>
    <w:rsid w:val="00801539"/>
    <w:pPr>
      <w:spacing w:after="160" w:line="278" w:lineRule="auto"/>
      <w:ind w:left="720" w:firstLine="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01539"/>
    <w:rPr>
      <w:i/>
      <w:iCs/>
      <w:color w:val="0F4761" w:themeColor="accent1" w:themeShade="BF"/>
    </w:rPr>
  </w:style>
  <w:style w:type="paragraph" w:styleId="IntenseQuote">
    <w:name w:val="Intense Quote"/>
    <w:basedOn w:val="Normal"/>
    <w:next w:val="Normal"/>
    <w:link w:val="IntenseQuoteChar"/>
    <w:uiPriority w:val="30"/>
    <w:qFormat/>
    <w:rsid w:val="00801539"/>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01539"/>
    <w:rPr>
      <w:i/>
      <w:iCs/>
      <w:color w:val="0F4761" w:themeColor="accent1" w:themeShade="BF"/>
    </w:rPr>
  </w:style>
  <w:style w:type="character" w:styleId="IntenseReference">
    <w:name w:val="Intense Reference"/>
    <w:basedOn w:val="DefaultParagraphFont"/>
    <w:uiPriority w:val="32"/>
    <w:qFormat/>
    <w:rsid w:val="00801539"/>
    <w:rPr>
      <w:b/>
      <w:bCs/>
      <w:smallCaps/>
      <w:color w:val="0F4761" w:themeColor="accent1" w:themeShade="BF"/>
      <w:spacing w:val="5"/>
    </w:rPr>
  </w:style>
  <w:style w:type="paragraph" w:customStyle="1" w:styleId="OpinionCitation">
    <w:name w:val="Opinion Citation"/>
    <w:basedOn w:val="Normal"/>
    <w:link w:val="OpinionCitationChar"/>
    <w:qFormat/>
    <w:rsid w:val="00801539"/>
    <w:pPr>
      <w:keepNext/>
      <w:spacing w:after="120"/>
      <w:ind w:firstLine="0"/>
    </w:pPr>
    <w:rPr>
      <w:b/>
    </w:rPr>
  </w:style>
  <w:style w:type="character" w:customStyle="1" w:styleId="OpinionCitationChar">
    <w:name w:val="Opinion Citation Char"/>
    <w:link w:val="OpinionCitation"/>
    <w:rsid w:val="00801539"/>
    <w:rPr>
      <w:rFonts w:ascii="Cambria" w:eastAsia="Calibri" w:hAnsi="Cambria" w:cs="Times New Roman"/>
      <w:b/>
      <w:kern w:val="0"/>
      <w:sz w:val="22"/>
      <w:szCs w:val="20"/>
      <w14:ligatures w14:val="none"/>
    </w:rPr>
  </w:style>
  <w:style w:type="paragraph" w:customStyle="1" w:styleId="Blockquote">
    <w:name w:val="Blockquote"/>
    <w:basedOn w:val="Normal"/>
    <w:link w:val="BlockquoteChar"/>
    <w:qFormat/>
    <w:rsid w:val="00801539"/>
    <w:pPr>
      <w:ind w:left="576" w:right="576" w:firstLine="0"/>
    </w:pPr>
  </w:style>
  <w:style w:type="character" w:customStyle="1" w:styleId="BlockquoteChar">
    <w:name w:val="Blockquote Char"/>
    <w:link w:val="Blockquote"/>
    <w:rsid w:val="00801539"/>
    <w:rPr>
      <w:rFonts w:ascii="Cambria" w:eastAsia="Calibri" w:hAnsi="Cambria" w:cs="Times New Roman"/>
      <w:kern w:val="0"/>
      <w:sz w:val="22"/>
      <w:szCs w:val="20"/>
      <w14:ligatures w14:val="none"/>
    </w:rPr>
  </w:style>
  <w:style w:type="paragraph" w:styleId="FootnoteText">
    <w:name w:val="footnote text"/>
    <w:basedOn w:val="Normal"/>
    <w:link w:val="FootnoteTextChar"/>
    <w:uiPriority w:val="99"/>
    <w:unhideWhenUsed/>
    <w:qFormat/>
    <w:rsid w:val="00801539"/>
    <w:rPr>
      <w:sz w:val="20"/>
    </w:rPr>
  </w:style>
  <w:style w:type="character" w:customStyle="1" w:styleId="FootnoteTextChar">
    <w:name w:val="Footnote Text Char"/>
    <w:basedOn w:val="DefaultParagraphFont"/>
    <w:link w:val="FootnoteText"/>
    <w:uiPriority w:val="99"/>
    <w:rsid w:val="00801539"/>
    <w:rPr>
      <w:rFonts w:ascii="Cambria" w:eastAsia="Calibri" w:hAnsi="Cambria" w:cs="Times New Roman"/>
      <w:kern w:val="0"/>
      <w:sz w:val="20"/>
      <w:szCs w:val="20"/>
      <w14:ligatures w14:val="none"/>
    </w:rPr>
  </w:style>
  <w:style w:type="character" w:styleId="FootnoteReference">
    <w:name w:val="footnote reference"/>
    <w:uiPriority w:val="99"/>
    <w:semiHidden/>
    <w:unhideWhenUsed/>
    <w:rsid w:val="00801539"/>
    <w:rPr>
      <w:vertAlign w:val="superscript"/>
    </w:rPr>
  </w:style>
  <w:style w:type="paragraph" w:customStyle="1" w:styleId="NormalNoIndent">
    <w:name w:val="Normal No Indent"/>
    <w:basedOn w:val="Normal"/>
    <w:link w:val="NormalNoIndentChar"/>
    <w:qFormat/>
    <w:rsid w:val="00801539"/>
    <w:pPr>
      <w:ind w:firstLine="0"/>
    </w:pPr>
  </w:style>
  <w:style w:type="character" w:customStyle="1" w:styleId="NormalNoIndentChar">
    <w:name w:val="Normal No Indent Char"/>
    <w:link w:val="NormalNoIndent"/>
    <w:rsid w:val="00801539"/>
    <w:rPr>
      <w:rFonts w:ascii="Cambria" w:eastAsia="Calibri" w:hAnsi="Cambria" w:cs="Times New Roman"/>
      <w:kern w:val="0"/>
      <w:sz w:val="22"/>
      <w:szCs w:val="20"/>
      <w14:ligatures w14:val="none"/>
    </w:rPr>
  </w:style>
  <w:style w:type="paragraph" w:customStyle="1" w:styleId="CommentsandQuestions">
    <w:name w:val="Comments and Questions"/>
    <w:basedOn w:val="Normal"/>
    <w:link w:val="CommentsandQuestionsChar"/>
    <w:qFormat/>
    <w:rsid w:val="00801539"/>
    <w:pPr>
      <w:keepNext/>
      <w:spacing w:before="120" w:after="120"/>
      <w:ind w:firstLine="0"/>
      <w:jc w:val="center"/>
    </w:pPr>
    <w:rPr>
      <w:b/>
    </w:rPr>
  </w:style>
  <w:style w:type="character" w:customStyle="1" w:styleId="CommentsandQuestionsChar">
    <w:name w:val="Comments and Questions Char"/>
    <w:link w:val="CommentsandQuestions"/>
    <w:rsid w:val="00801539"/>
    <w:rPr>
      <w:rFonts w:ascii="Cambria" w:eastAsia="Calibri" w:hAnsi="Cambria" w:cs="Times New Roman"/>
      <w:b/>
      <w:kern w:val="0"/>
      <w:sz w:val="22"/>
      <w:szCs w:val="20"/>
      <w14:ligatures w14:val="none"/>
    </w:rPr>
  </w:style>
  <w:style w:type="paragraph" w:customStyle="1" w:styleId="Centered">
    <w:name w:val="Centered"/>
    <w:basedOn w:val="Normal"/>
    <w:link w:val="CenteredChar"/>
    <w:qFormat/>
    <w:rsid w:val="00801539"/>
    <w:pPr>
      <w:ind w:firstLine="0"/>
      <w:jc w:val="center"/>
    </w:pPr>
    <w:rPr>
      <w:i/>
      <w:iCs/>
    </w:rPr>
  </w:style>
  <w:style w:type="character" w:customStyle="1" w:styleId="CenteredChar">
    <w:name w:val="Centered Char"/>
    <w:link w:val="Centered"/>
    <w:rsid w:val="00801539"/>
    <w:rPr>
      <w:rFonts w:ascii="Cambria" w:eastAsia="Calibri" w:hAnsi="Cambria" w:cs="Times New Roman"/>
      <w:i/>
      <w:iCs/>
      <w:kern w:val="0"/>
      <w:sz w:val="22"/>
      <w:szCs w:val="20"/>
      <w14:ligatures w14:val="none"/>
    </w:rPr>
  </w:style>
  <w:style w:type="paragraph" w:customStyle="1" w:styleId="NormalCentered">
    <w:name w:val="NormalCentered"/>
    <w:basedOn w:val="Normal"/>
    <w:link w:val="NormalCenteredChar"/>
    <w:qFormat/>
    <w:rsid w:val="00801539"/>
    <w:pPr>
      <w:ind w:firstLine="0"/>
      <w:jc w:val="center"/>
    </w:pPr>
  </w:style>
  <w:style w:type="character" w:customStyle="1" w:styleId="NormalCenteredChar">
    <w:name w:val="NormalCentered Char"/>
    <w:link w:val="NormalCentered"/>
    <w:rsid w:val="00801539"/>
    <w:rPr>
      <w:rFonts w:ascii="Cambria" w:eastAsia="Calibri" w:hAnsi="Cambria" w:cs="Times New Roman"/>
      <w:kern w:val="0"/>
      <w:sz w:val="22"/>
      <w:szCs w:val="20"/>
      <w14:ligatures w14:val="none"/>
    </w:rPr>
  </w:style>
  <w:style w:type="paragraph" w:styleId="TOC1">
    <w:name w:val="toc 1"/>
    <w:basedOn w:val="Normal"/>
    <w:next w:val="Normal"/>
    <w:autoRedefine/>
    <w:uiPriority w:val="39"/>
    <w:unhideWhenUsed/>
    <w:rsid w:val="006D6285"/>
    <w:pPr>
      <w:tabs>
        <w:tab w:val="right" w:leader="dot" w:pos="8784"/>
      </w:tabs>
      <w:ind w:left="270" w:hanging="270"/>
      <w:jc w:val="center"/>
    </w:pPr>
  </w:style>
  <w:style w:type="paragraph" w:styleId="Header">
    <w:name w:val="header"/>
    <w:basedOn w:val="Normal"/>
    <w:link w:val="HeaderChar"/>
    <w:uiPriority w:val="99"/>
    <w:unhideWhenUsed/>
    <w:rsid w:val="006D6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285"/>
    <w:rPr>
      <w:rFonts w:ascii="Cambria" w:eastAsia="Calibri" w:hAnsi="Cambria" w:cs="Times New Roman"/>
      <w:kern w:val="0"/>
      <w:sz w:val="22"/>
      <w:szCs w:val="20"/>
      <w14:ligatures w14:val="none"/>
    </w:rPr>
  </w:style>
  <w:style w:type="paragraph" w:styleId="Footer">
    <w:name w:val="footer"/>
    <w:basedOn w:val="Normal"/>
    <w:link w:val="FooterChar"/>
    <w:uiPriority w:val="99"/>
    <w:unhideWhenUsed/>
    <w:rsid w:val="006D6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285"/>
    <w:rPr>
      <w:rFonts w:ascii="Cambria" w:eastAsia="Calibri" w:hAnsi="Cambria" w:cs="Times New Roman"/>
      <w:kern w:val="0"/>
      <w:sz w:val="22"/>
      <w:szCs w:val="20"/>
      <w14:ligatures w14:val="none"/>
    </w:rPr>
  </w:style>
  <w:style w:type="paragraph" w:customStyle="1" w:styleId="Header10">
    <w:name w:val="Header10"/>
    <w:basedOn w:val="Centered"/>
    <w:link w:val="Header10Char"/>
    <w:qFormat/>
    <w:rsid w:val="006D6285"/>
    <w:rPr>
      <w:sz w:val="20"/>
    </w:rPr>
  </w:style>
  <w:style w:type="character" w:customStyle="1" w:styleId="Header10Char">
    <w:name w:val="Header10 Char"/>
    <w:basedOn w:val="CenteredChar"/>
    <w:link w:val="Header10"/>
    <w:rsid w:val="006D6285"/>
    <w:rPr>
      <w:rFonts w:ascii="Cambria" w:eastAsia="Calibri" w:hAnsi="Cambria" w:cs="Times New Roman"/>
      <w:i/>
      <w:iCs/>
      <w:kern w:val="0"/>
      <w:sz w:val="20"/>
      <w:szCs w:val="20"/>
      <w14:ligatures w14:val="none"/>
    </w:rPr>
  </w:style>
  <w:style w:type="paragraph" w:customStyle="1" w:styleId="Pagenumber">
    <w:name w:val="Pagenumber"/>
    <w:basedOn w:val="Normal"/>
    <w:link w:val="PagenumberChar"/>
    <w:qFormat/>
    <w:rsid w:val="006D6285"/>
    <w:pPr>
      <w:ind w:firstLine="0"/>
      <w:jc w:val="center"/>
    </w:pPr>
    <w:rPr>
      <w:sz w:val="20"/>
    </w:rPr>
  </w:style>
  <w:style w:type="character" w:customStyle="1" w:styleId="PagenumberChar">
    <w:name w:val="Pagenumber Char"/>
    <w:basedOn w:val="DefaultParagraphFont"/>
    <w:link w:val="Pagenumber"/>
    <w:rsid w:val="006D6285"/>
    <w:rPr>
      <w:rFonts w:ascii="Cambria" w:eastAsia="Calibri" w:hAnsi="Cambri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2025-07-23T08:45:00Z</dcterms:created>
  <dcterms:modified xsi:type="dcterms:W3CDTF">2025-07-24T14:58:00Z</dcterms:modified>
</cp:coreProperties>
</file>