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836D" w14:textId="77777777" w:rsidR="00095C5B" w:rsidRDefault="00095C5B" w:rsidP="00095C5B">
      <w:pPr>
        <w:pStyle w:val="NormalCentered"/>
        <w:jc w:val="both"/>
        <w:rPr>
          <w:rFonts w:asciiTheme="minorHAnsi" w:hAnsiTheme="minorHAnsi"/>
          <w:sz w:val="40"/>
          <w:szCs w:val="40"/>
        </w:rPr>
      </w:pPr>
    </w:p>
    <w:p w14:paraId="53C2F556" w14:textId="7A238EAD" w:rsidR="00095C5B" w:rsidRPr="00FE3822" w:rsidRDefault="00095C5B" w:rsidP="00095C5B">
      <w:pPr>
        <w:pStyle w:val="NormalCentered"/>
        <w:rPr>
          <w:sz w:val="44"/>
          <w:szCs w:val="44"/>
        </w:rPr>
      </w:pPr>
      <w:r w:rsidRPr="00FE3822">
        <w:rPr>
          <w:sz w:val="44"/>
          <w:szCs w:val="44"/>
        </w:rPr>
        <w:t>An Open-Access Casebook</w:t>
      </w:r>
    </w:p>
    <w:p w14:paraId="794ABFA7" w14:textId="77777777" w:rsidR="00095C5B" w:rsidRDefault="00095C5B" w:rsidP="00095C5B">
      <w:pPr>
        <w:pStyle w:val="NormalCentered"/>
      </w:pPr>
    </w:p>
    <w:p w14:paraId="43A75A96" w14:textId="77777777" w:rsidR="00095C5B" w:rsidRDefault="00095C5B" w:rsidP="00095C5B">
      <w:pPr>
        <w:pStyle w:val="NormalCentered"/>
        <w:rPr>
          <w:sz w:val="32"/>
          <w:szCs w:val="32"/>
        </w:rPr>
      </w:pPr>
    </w:p>
    <w:p w14:paraId="064AFC25" w14:textId="77777777" w:rsidR="00095C5B" w:rsidRPr="00566252" w:rsidRDefault="00095C5B" w:rsidP="00095C5B">
      <w:pPr>
        <w:pStyle w:val="NormalCentered"/>
        <w:rPr>
          <w:caps/>
          <w:sz w:val="32"/>
          <w:szCs w:val="32"/>
        </w:rPr>
      </w:pPr>
    </w:p>
    <w:p w14:paraId="05B7CE25" w14:textId="77777777" w:rsidR="00095C5B" w:rsidRPr="000B428E" w:rsidRDefault="00095C5B" w:rsidP="00095C5B">
      <w:pPr>
        <w:pStyle w:val="NormalCentered"/>
        <w:rPr>
          <w:sz w:val="28"/>
          <w:szCs w:val="28"/>
          <w:lang w:val="de-DE"/>
        </w:rPr>
      </w:pPr>
      <w:r w:rsidRPr="000B428E">
        <w:rPr>
          <w:sz w:val="28"/>
          <w:szCs w:val="28"/>
          <w:lang w:val="de-DE"/>
        </w:rPr>
        <w:t>Version 12 (2025)</w:t>
      </w:r>
    </w:p>
    <w:p w14:paraId="776C057B" w14:textId="77777777" w:rsidR="00095C5B" w:rsidRPr="000B428E" w:rsidRDefault="00095C5B" w:rsidP="00095C5B">
      <w:pPr>
        <w:pStyle w:val="NormalCentered"/>
        <w:rPr>
          <w:sz w:val="28"/>
          <w:szCs w:val="28"/>
          <w:lang w:val="de-DE"/>
        </w:rPr>
      </w:pPr>
      <w:r w:rsidRPr="000B428E">
        <w:rPr>
          <w:sz w:val="28"/>
          <w:szCs w:val="28"/>
          <w:lang w:val="de-DE"/>
        </w:rPr>
        <w:t>Digital Edition</w:t>
      </w:r>
    </w:p>
    <w:p w14:paraId="061B27B0" w14:textId="77777777" w:rsidR="00095C5B" w:rsidRPr="000B428E" w:rsidRDefault="00095C5B" w:rsidP="00095C5B">
      <w:pPr>
        <w:pStyle w:val="NormalCentered"/>
        <w:rPr>
          <w:sz w:val="28"/>
          <w:szCs w:val="28"/>
          <w:lang w:val="de-DE"/>
        </w:rPr>
      </w:pPr>
      <w:r w:rsidRPr="000B428E">
        <w:rPr>
          <w:sz w:val="28"/>
          <w:szCs w:val="28"/>
          <w:lang w:val="de-DE"/>
        </w:rPr>
        <w:t>www.tmcasebook.org</w:t>
      </w:r>
    </w:p>
    <w:p w14:paraId="5ACE42E8" w14:textId="77777777" w:rsidR="00095C5B" w:rsidRDefault="00095C5B" w:rsidP="00095C5B">
      <w:pPr>
        <w:pStyle w:val="NormalCentered"/>
        <w:rPr>
          <w:sz w:val="32"/>
          <w:szCs w:val="32"/>
          <w:lang w:val="de-DE"/>
        </w:rPr>
      </w:pPr>
    </w:p>
    <w:p w14:paraId="35E9B26C" w14:textId="77777777" w:rsidR="00095C5B" w:rsidRDefault="00095C5B" w:rsidP="00095C5B">
      <w:pPr>
        <w:pStyle w:val="NormalCentered"/>
        <w:rPr>
          <w:sz w:val="32"/>
          <w:szCs w:val="32"/>
          <w:lang w:val="de-DE"/>
        </w:rPr>
      </w:pPr>
    </w:p>
    <w:p w14:paraId="616EA18A" w14:textId="77777777" w:rsidR="00095C5B" w:rsidRPr="0065729C" w:rsidRDefault="00095C5B" w:rsidP="00095C5B">
      <w:pPr>
        <w:pStyle w:val="NormalCentered"/>
        <w:rPr>
          <w:sz w:val="32"/>
          <w:szCs w:val="32"/>
          <w:lang w:val="de-DE"/>
        </w:rPr>
      </w:pPr>
    </w:p>
    <w:p w14:paraId="6C380FD6" w14:textId="77777777" w:rsidR="00095C5B" w:rsidRPr="0065729C" w:rsidRDefault="00095C5B" w:rsidP="00095C5B">
      <w:pPr>
        <w:pStyle w:val="NormalCentered"/>
        <w:rPr>
          <w:sz w:val="32"/>
          <w:szCs w:val="32"/>
          <w:lang w:val="de-DE"/>
        </w:rPr>
      </w:pPr>
    </w:p>
    <w:p w14:paraId="3DC46361" w14:textId="77777777" w:rsidR="00095C5B" w:rsidRPr="000B428E" w:rsidRDefault="00095C5B" w:rsidP="00095C5B">
      <w:pPr>
        <w:pStyle w:val="NormalCentered"/>
        <w:rPr>
          <w:sz w:val="28"/>
          <w:szCs w:val="28"/>
        </w:rPr>
      </w:pPr>
      <w:r w:rsidRPr="000B428E">
        <w:rPr>
          <w:sz w:val="28"/>
          <w:szCs w:val="28"/>
        </w:rPr>
        <w:t>Barton Beebe</w:t>
      </w:r>
    </w:p>
    <w:p w14:paraId="3225439A" w14:textId="77777777" w:rsidR="00095C5B" w:rsidRPr="000B428E" w:rsidRDefault="00095C5B" w:rsidP="00095C5B">
      <w:pPr>
        <w:pStyle w:val="NormalCentered"/>
        <w:rPr>
          <w:sz w:val="28"/>
          <w:szCs w:val="28"/>
        </w:rPr>
      </w:pPr>
      <w:r w:rsidRPr="000B428E">
        <w:rPr>
          <w:sz w:val="28"/>
          <w:szCs w:val="28"/>
        </w:rPr>
        <w:t>John M. Desmarais Professor of Intellectual Property Law</w:t>
      </w:r>
    </w:p>
    <w:p w14:paraId="5A9F29BC" w14:textId="77777777" w:rsidR="00095C5B" w:rsidRPr="0065729C" w:rsidRDefault="00095C5B" w:rsidP="00095C5B">
      <w:pPr>
        <w:pStyle w:val="NormalCentered"/>
        <w:rPr>
          <w:sz w:val="32"/>
          <w:szCs w:val="32"/>
        </w:rPr>
      </w:pPr>
      <w:r w:rsidRPr="000B428E">
        <w:rPr>
          <w:sz w:val="28"/>
          <w:szCs w:val="28"/>
        </w:rPr>
        <w:t>New York University School of Law</w:t>
      </w:r>
    </w:p>
    <w:p w14:paraId="2710F361" w14:textId="77777777" w:rsidR="00095C5B" w:rsidRDefault="00095C5B" w:rsidP="00095C5B">
      <w:pPr>
        <w:pStyle w:val="TOC1"/>
      </w:pPr>
    </w:p>
    <w:p w14:paraId="5055A129" w14:textId="77777777" w:rsidR="00095C5B" w:rsidRDefault="00095C5B" w:rsidP="00095C5B"/>
    <w:p w14:paraId="00148255" w14:textId="77777777" w:rsidR="00095C5B" w:rsidRDefault="00095C5B" w:rsidP="00095C5B"/>
    <w:p w14:paraId="2DD8A197" w14:textId="77777777" w:rsidR="00095C5B" w:rsidRPr="00ED0B13" w:rsidRDefault="00095C5B" w:rsidP="00095C5B"/>
    <w:p w14:paraId="6ABBE5DC" w14:textId="77777777" w:rsidR="00095C5B" w:rsidRPr="00ED0B13" w:rsidRDefault="00095C5B" w:rsidP="00095C5B"/>
    <w:p w14:paraId="456E25C1" w14:textId="77777777" w:rsidR="00095C5B" w:rsidRPr="00ED0B13" w:rsidRDefault="00095C5B" w:rsidP="00095C5B">
      <w:pPr>
        <w:pStyle w:val="TOC1"/>
      </w:pPr>
    </w:p>
    <w:p w14:paraId="2DAB281E" w14:textId="77777777" w:rsidR="00095C5B" w:rsidRDefault="00095C5B" w:rsidP="00095C5B">
      <w:pPr>
        <w:pStyle w:val="TOC1"/>
      </w:pPr>
      <w:r w:rsidRPr="00ED0B13">
        <w:t>This work is licensed under a Creative Commons Attribution-</w:t>
      </w:r>
      <w:proofErr w:type="spellStart"/>
      <w:r w:rsidRPr="00ED0B13">
        <w:t>NonCommercial</w:t>
      </w:r>
      <w:proofErr w:type="spellEnd"/>
      <w:r w:rsidRPr="00ED0B13">
        <w:t>-</w:t>
      </w:r>
    </w:p>
    <w:p w14:paraId="1A2ED9EC" w14:textId="77777777" w:rsidR="00095C5B" w:rsidRPr="00ED0B13" w:rsidRDefault="00095C5B" w:rsidP="00095C5B">
      <w:pPr>
        <w:pStyle w:val="TOC1"/>
      </w:pPr>
      <w:proofErr w:type="spellStart"/>
      <w:r w:rsidRPr="00ED0B13">
        <w:t>ShareAlike</w:t>
      </w:r>
      <w:proofErr w:type="spellEnd"/>
      <w:r w:rsidRPr="00ED0B13">
        <w:t xml:space="preserve"> 4.0 International License.</w:t>
      </w:r>
    </w:p>
    <w:p w14:paraId="544FD628" w14:textId="126AF01B" w:rsidR="00095C5B" w:rsidRDefault="00095C5B" w:rsidP="00095C5B">
      <w:pPr>
        <w:spacing w:after="160" w:line="278" w:lineRule="auto"/>
        <w:ind w:firstLine="0"/>
        <w:jc w:val="center"/>
        <w:rPr>
          <w:rFonts w:asciiTheme="minorHAnsi" w:eastAsiaTheme="majorEastAsia" w:hAnsiTheme="minorHAnsi" w:cstheme="majorBidi"/>
          <w:color w:val="0F4761" w:themeColor="accent1" w:themeShade="BF"/>
          <w:sz w:val="40"/>
          <w:szCs w:val="40"/>
        </w:rPr>
      </w:pPr>
      <w:r>
        <w:rPr>
          <w:noProof/>
        </w:rPr>
        <w:drawing>
          <wp:inline distT="0" distB="0" distL="0" distR="0" wp14:anchorId="2B89E638" wp14:editId="6451C4D7">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4D951BA2" w14:textId="77777777" w:rsidR="00095C5B" w:rsidRDefault="00095C5B">
      <w:pPr>
        <w:spacing w:after="160" w:line="278" w:lineRule="auto"/>
        <w:ind w:firstLine="0"/>
        <w:jc w:val="left"/>
        <w:rPr>
          <w:rFonts w:asciiTheme="minorHAnsi" w:eastAsiaTheme="majorEastAsia" w:hAnsiTheme="minorHAnsi" w:cstheme="majorBidi"/>
          <w:color w:val="0F4761" w:themeColor="accent1" w:themeShade="BF"/>
          <w:sz w:val="40"/>
          <w:szCs w:val="40"/>
        </w:rPr>
      </w:pPr>
      <w:r>
        <w:rPr>
          <w:rFonts w:asciiTheme="minorHAnsi" w:hAnsiTheme="minorHAnsi"/>
          <w:sz w:val="40"/>
          <w:szCs w:val="40"/>
        </w:rPr>
        <w:br w:type="page"/>
      </w:r>
    </w:p>
    <w:p w14:paraId="14804DAD" w14:textId="4A4B80B2" w:rsidR="00892A7B" w:rsidRPr="00095C5B" w:rsidRDefault="00892A7B" w:rsidP="00095C5B">
      <w:pPr>
        <w:pStyle w:val="Heading2"/>
        <w:ind w:firstLine="0"/>
        <w:rPr>
          <w:rFonts w:asciiTheme="minorHAnsi" w:hAnsiTheme="minorHAnsi"/>
          <w:sz w:val="40"/>
          <w:szCs w:val="40"/>
        </w:rPr>
      </w:pPr>
      <w:r w:rsidRPr="00095C5B">
        <w:rPr>
          <w:rFonts w:asciiTheme="minorHAnsi" w:hAnsiTheme="minorHAnsi"/>
          <w:sz w:val="40"/>
          <w:szCs w:val="40"/>
        </w:rPr>
        <w:lastRenderedPageBreak/>
        <w:t>Nominative Fair Use</w:t>
      </w:r>
    </w:p>
    <w:p w14:paraId="19309C8C" w14:textId="77777777" w:rsidR="00892A7B" w:rsidRPr="00095C5B" w:rsidRDefault="00892A7B" w:rsidP="00892A7B">
      <w:pPr>
        <w:pStyle w:val="Heading3"/>
        <w:rPr>
          <w:rFonts w:asciiTheme="minorHAnsi" w:hAnsiTheme="minorHAnsi"/>
        </w:rPr>
      </w:pPr>
      <w:bookmarkStart w:id="0" w:name="_Toc519683146"/>
      <w:bookmarkStart w:id="1" w:name="_Toc201424436"/>
      <w:r w:rsidRPr="00095C5B">
        <w:rPr>
          <w:rFonts w:asciiTheme="minorHAnsi" w:hAnsiTheme="minorHAnsi"/>
        </w:rPr>
        <w:t>1.</w:t>
      </w:r>
      <w:r w:rsidRPr="00095C5B">
        <w:rPr>
          <w:rFonts w:asciiTheme="minorHAnsi" w:hAnsiTheme="minorHAnsi"/>
        </w:rPr>
        <w:tab/>
        <w:t>The Three-Step Test for Nominative Fair Use</w:t>
      </w:r>
      <w:bookmarkEnd w:id="0"/>
      <w:bookmarkEnd w:id="1"/>
    </w:p>
    <w:p w14:paraId="78F27143" w14:textId="77777777" w:rsidR="00892A7B" w:rsidRPr="00095C5B" w:rsidRDefault="00892A7B" w:rsidP="00892A7B">
      <w:pPr>
        <w:rPr>
          <w:rFonts w:asciiTheme="minorHAnsi" w:hAnsiTheme="minorHAnsi"/>
        </w:rPr>
      </w:pPr>
    </w:p>
    <w:p w14:paraId="07EFFF58" w14:textId="77777777" w:rsidR="00892A7B" w:rsidRPr="00095C5B" w:rsidRDefault="00892A7B" w:rsidP="00892A7B">
      <w:pPr>
        <w:pStyle w:val="NormalNoIndent"/>
        <w:rPr>
          <w:rFonts w:asciiTheme="minorHAnsi" w:hAnsiTheme="minorHAnsi"/>
        </w:rPr>
      </w:pPr>
      <w:r w:rsidRPr="00095C5B">
        <w:rPr>
          <w:rFonts w:asciiTheme="minorHAnsi" w:hAnsiTheme="minorHAnsi"/>
          <w:noProof/>
        </w:rPr>
        <w:drawing>
          <wp:inline distT="0" distB="0" distL="0" distR="0" wp14:anchorId="3D2B057E" wp14:editId="25DA71DB">
            <wp:extent cx="5003800" cy="1090930"/>
            <wp:effectExtent l="0" t="0" r="0" b="0"/>
            <wp:docPr id="135" name="Picture 52" descr="A black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52" descr="A black and white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0" cy="1090930"/>
                    </a:xfrm>
                    <a:prstGeom prst="rect">
                      <a:avLst/>
                    </a:prstGeom>
                    <a:noFill/>
                    <a:ln>
                      <a:noFill/>
                    </a:ln>
                  </pic:spPr>
                </pic:pic>
              </a:graphicData>
            </a:graphic>
          </wp:inline>
        </w:drawing>
      </w:r>
    </w:p>
    <w:p w14:paraId="1D238AF1" w14:textId="77777777" w:rsidR="00892A7B" w:rsidRPr="00095C5B" w:rsidRDefault="00892A7B" w:rsidP="00892A7B">
      <w:pPr>
        <w:rPr>
          <w:rFonts w:asciiTheme="minorHAnsi" w:hAnsiTheme="minorHAnsi"/>
        </w:rPr>
      </w:pPr>
    </w:p>
    <w:p w14:paraId="77960D53" w14:textId="77777777" w:rsidR="00892A7B" w:rsidRPr="00095C5B" w:rsidRDefault="00892A7B" w:rsidP="00892A7B">
      <w:pPr>
        <w:rPr>
          <w:rFonts w:asciiTheme="minorHAnsi" w:hAnsiTheme="minorHAnsi"/>
          <w:sz w:val="24"/>
          <w:szCs w:val="22"/>
        </w:rPr>
      </w:pPr>
      <w:r w:rsidRPr="00095C5B">
        <w:rPr>
          <w:rFonts w:asciiTheme="minorHAnsi" w:hAnsiTheme="minorHAnsi"/>
          <w:sz w:val="24"/>
          <w:szCs w:val="22"/>
        </w:rPr>
        <w:t xml:space="preserve">In </w:t>
      </w:r>
      <w:r w:rsidRPr="00095C5B">
        <w:rPr>
          <w:rFonts w:asciiTheme="minorHAnsi" w:hAnsiTheme="minorHAnsi"/>
          <w:i/>
          <w:sz w:val="24"/>
          <w:szCs w:val="22"/>
        </w:rPr>
        <w:t>New Kids on the Block v. News Am. Publ’g, Inc</w:t>
      </w:r>
      <w:r w:rsidRPr="00095C5B">
        <w:rPr>
          <w:rFonts w:asciiTheme="minorHAnsi" w:hAnsiTheme="minorHAnsi"/>
          <w:sz w:val="24"/>
          <w:szCs w:val="22"/>
        </w:rPr>
        <w:t xml:space="preserve">., 971 F.2d 302 (9th Cir. 1992), the Ninth Circuit first developed the concept of nominative fair use. The defendants, two newspapers, conducted separate polls asking readers to call a 900 number to vote for their favorite member of the boy band New Kids on the Block. As </w:t>
      </w:r>
      <w:r w:rsidRPr="00095C5B">
        <w:rPr>
          <w:rFonts w:asciiTheme="minorHAnsi" w:hAnsiTheme="minorHAnsi"/>
          <w:i/>
          <w:sz w:val="24"/>
          <w:szCs w:val="22"/>
        </w:rPr>
        <w:t>The Star</w:t>
      </w:r>
      <w:r w:rsidRPr="00095C5B">
        <w:rPr>
          <w:rFonts w:asciiTheme="minorHAnsi" w:hAnsiTheme="minorHAnsi"/>
          <w:sz w:val="24"/>
          <w:szCs w:val="22"/>
        </w:rPr>
        <w:t xml:space="preserve"> politely put it: “Which of the New Kids on the Block would you most like to move next door?”  </w:t>
      </w:r>
      <w:r w:rsidRPr="00095C5B">
        <w:rPr>
          <w:rFonts w:asciiTheme="minorHAnsi" w:hAnsiTheme="minorHAnsi"/>
          <w:i/>
          <w:sz w:val="24"/>
          <w:szCs w:val="22"/>
        </w:rPr>
        <w:t>Id</w:t>
      </w:r>
      <w:r w:rsidRPr="00095C5B">
        <w:rPr>
          <w:rFonts w:asciiTheme="minorHAnsi" w:hAnsiTheme="minorHAnsi"/>
          <w:sz w:val="24"/>
          <w:szCs w:val="22"/>
        </w:rPr>
        <w:t>. at 305. The band sued for, among other things, trademark infringement. Affirming the district court’s grant of summary judgment to the defendants, Judge Kozinski held that a “</w:t>
      </w:r>
      <w:r w:rsidRPr="00095C5B">
        <w:rPr>
          <w:rStyle w:val="Emphasis"/>
          <w:rFonts w:asciiTheme="minorHAnsi" w:hAnsiTheme="minorHAnsi"/>
          <w:sz w:val="24"/>
          <w:szCs w:val="22"/>
        </w:rPr>
        <w:t>nominative use</w:t>
      </w:r>
      <w:r w:rsidRPr="00095C5B">
        <w:rPr>
          <w:rFonts w:asciiTheme="minorHAnsi" w:hAnsiTheme="minorHAnsi"/>
          <w:sz w:val="24"/>
          <w:szCs w:val="22"/>
        </w:rPr>
        <w:t xml:space="preserve"> of a mark—where the only word reasonably available to describe a particular thing is pressed into service—lies outside the strictures of trademark law,” </w:t>
      </w:r>
      <w:r w:rsidRPr="00095C5B">
        <w:rPr>
          <w:rFonts w:asciiTheme="minorHAnsi" w:hAnsiTheme="minorHAnsi"/>
          <w:i/>
          <w:sz w:val="24"/>
          <w:szCs w:val="22"/>
        </w:rPr>
        <w:t>id</w:t>
      </w:r>
      <w:r w:rsidRPr="00095C5B">
        <w:rPr>
          <w:rFonts w:asciiTheme="minorHAnsi" w:hAnsiTheme="minorHAnsi"/>
          <w:sz w:val="24"/>
          <w:szCs w:val="22"/>
        </w:rPr>
        <w:t>. at 308 (emphasis in original), and set out three “requirements” that a defendant’s use must meet to qualify as nominative fair use:</w:t>
      </w:r>
    </w:p>
    <w:p w14:paraId="528A17D2" w14:textId="77777777" w:rsidR="00892A7B" w:rsidRPr="00095C5B" w:rsidRDefault="00892A7B" w:rsidP="00892A7B">
      <w:pPr>
        <w:pStyle w:val="Blockquote"/>
        <w:rPr>
          <w:rFonts w:asciiTheme="minorHAnsi" w:hAnsiTheme="minorHAnsi"/>
          <w:sz w:val="24"/>
          <w:szCs w:val="22"/>
        </w:rPr>
      </w:pPr>
      <w:r w:rsidRPr="00095C5B">
        <w:rPr>
          <w:rFonts w:asciiTheme="minorHAnsi" w:hAnsiTheme="minorHAnsi"/>
          <w:sz w:val="24"/>
          <w:szCs w:val="22"/>
        </w:rPr>
        <w:t>First, the product or service in question must be one not readily identifiable without use of the trademark; second, only so much of the mark or marks may be used as is reasonably necessary to identify the product or service;</w:t>
      </w:r>
      <w:r w:rsidRPr="00095C5B">
        <w:rPr>
          <w:rStyle w:val="FootnoteReference"/>
          <w:rFonts w:asciiTheme="minorHAnsi" w:hAnsiTheme="minorHAnsi"/>
          <w:sz w:val="24"/>
          <w:szCs w:val="22"/>
        </w:rPr>
        <w:footnoteReference w:customMarkFollows="1" w:id="1"/>
        <w:t>7</w:t>
      </w:r>
      <w:r w:rsidRPr="00095C5B">
        <w:rPr>
          <w:rFonts w:asciiTheme="minorHAnsi" w:hAnsiTheme="minorHAnsi"/>
          <w:sz w:val="24"/>
          <w:szCs w:val="22"/>
        </w:rPr>
        <w:t xml:space="preserve"> and third, the user must do nothing that would, in conjunction with the mark, suggest sponsorship or endorsement by the trademark holder.</w:t>
      </w:r>
    </w:p>
    <w:p w14:paraId="16C0B812" w14:textId="77777777" w:rsidR="00892A7B" w:rsidRPr="00095C5B" w:rsidRDefault="00892A7B" w:rsidP="00892A7B">
      <w:pPr>
        <w:pStyle w:val="NormalNoIndent"/>
        <w:rPr>
          <w:rFonts w:asciiTheme="minorHAnsi" w:hAnsiTheme="minorHAnsi"/>
          <w:sz w:val="24"/>
          <w:szCs w:val="22"/>
        </w:rPr>
      </w:pPr>
      <w:r w:rsidRPr="00095C5B">
        <w:rPr>
          <w:rFonts w:asciiTheme="minorHAnsi" w:hAnsiTheme="minorHAnsi"/>
          <w:i/>
          <w:sz w:val="24"/>
          <w:szCs w:val="22"/>
        </w:rPr>
        <w:t>Id</w:t>
      </w:r>
      <w:r w:rsidRPr="00095C5B">
        <w:rPr>
          <w:rFonts w:asciiTheme="minorHAnsi" w:hAnsiTheme="minorHAnsi"/>
          <w:sz w:val="24"/>
          <w:szCs w:val="22"/>
        </w:rPr>
        <w:t>. at 307. The Lanham Act did not at the time explicitly include any basis for nominative fair use and even now it arguably only references nominative fair use in connection with dilution, see § 43(c)(3)(A), 15 U.S.C. § 1125(c)(3)(A). On the issue of confusion, nominative fair use remains essentially judge-made law.</w:t>
      </w:r>
    </w:p>
    <w:p w14:paraId="7A6249C6" w14:textId="77777777" w:rsidR="00892A7B" w:rsidRPr="00095C5B" w:rsidRDefault="00892A7B" w:rsidP="00892A7B">
      <w:pPr>
        <w:rPr>
          <w:rFonts w:asciiTheme="minorHAnsi" w:hAnsiTheme="minorHAnsi"/>
          <w:sz w:val="24"/>
          <w:szCs w:val="22"/>
        </w:rPr>
      </w:pPr>
      <w:r w:rsidRPr="00095C5B">
        <w:rPr>
          <w:rFonts w:asciiTheme="minorHAnsi" w:hAnsiTheme="minorHAnsi"/>
          <w:sz w:val="24"/>
          <w:szCs w:val="22"/>
        </w:rPr>
        <w:t>Note the conceptual distinction between descriptive (or “classic”) fair use and nominative fair use:</w:t>
      </w:r>
    </w:p>
    <w:p w14:paraId="27B53CD3" w14:textId="77777777" w:rsidR="00892A7B" w:rsidRPr="00095C5B" w:rsidRDefault="00892A7B" w:rsidP="00892A7B">
      <w:pPr>
        <w:pStyle w:val="Blockquote"/>
        <w:rPr>
          <w:rFonts w:asciiTheme="minorHAnsi" w:hAnsiTheme="minorHAnsi"/>
          <w:sz w:val="24"/>
          <w:szCs w:val="22"/>
        </w:rPr>
      </w:pPr>
      <w:r w:rsidRPr="00095C5B">
        <w:rPr>
          <w:rFonts w:asciiTheme="minorHAnsi" w:hAnsiTheme="minorHAnsi"/>
          <w:sz w:val="24"/>
          <w:szCs w:val="22"/>
        </w:rPr>
        <w:lastRenderedPageBreak/>
        <w:t>The nominative fair use analysis is appropriate where a defendant has used the plaintiff’s mark to describe the plaintiff’s product, even if the defendant’s ultimate goal is to describe his own product. Conversely, the classic fair use analysis is appropriate where a defendant has used the plaintiff’s mark only to describe his own product, and not at all to describe the plaintiff’s product.</w:t>
      </w:r>
    </w:p>
    <w:p w14:paraId="6EEB22EC" w14:textId="77777777" w:rsidR="00892A7B" w:rsidRPr="00095C5B" w:rsidRDefault="00892A7B" w:rsidP="00892A7B">
      <w:pPr>
        <w:pStyle w:val="NormalNoIndent"/>
        <w:rPr>
          <w:rFonts w:asciiTheme="minorHAnsi" w:hAnsiTheme="minorHAnsi"/>
          <w:sz w:val="24"/>
          <w:szCs w:val="22"/>
        </w:rPr>
      </w:pPr>
      <w:r w:rsidRPr="00095C5B">
        <w:rPr>
          <w:rFonts w:asciiTheme="minorHAnsi" w:hAnsiTheme="minorHAnsi"/>
          <w:i/>
          <w:sz w:val="24"/>
          <w:szCs w:val="22"/>
        </w:rPr>
        <w:t>Cairns v. Franklin Mint Co</w:t>
      </w:r>
      <w:r w:rsidRPr="00095C5B">
        <w:rPr>
          <w:rFonts w:asciiTheme="minorHAnsi" w:hAnsiTheme="minorHAnsi"/>
          <w:sz w:val="24"/>
          <w:szCs w:val="22"/>
        </w:rPr>
        <w:t>., 292 F.3d 1139, 1151 (9th Cir. 2002).</w:t>
      </w:r>
    </w:p>
    <w:p w14:paraId="4DA7A162" w14:textId="77777777" w:rsidR="00892A7B" w:rsidRPr="00095C5B" w:rsidRDefault="00892A7B" w:rsidP="00892A7B">
      <w:pPr>
        <w:rPr>
          <w:rFonts w:asciiTheme="minorHAnsi" w:hAnsiTheme="minorHAnsi"/>
          <w:sz w:val="24"/>
          <w:szCs w:val="22"/>
        </w:rPr>
      </w:pPr>
      <w:r w:rsidRPr="00095C5B">
        <w:rPr>
          <w:rFonts w:asciiTheme="minorHAnsi" w:hAnsiTheme="minorHAnsi"/>
          <w:sz w:val="24"/>
          <w:szCs w:val="22"/>
        </w:rPr>
        <w:t xml:space="preserve">In the opinion below, Judge Kozinski returned to the concept of nominative fair use, this time in connection with domain names—and in light of </w:t>
      </w:r>
      <w:r w:rsidRPr="00095C5B">
        <w:rPr>
          <w:rFonts w:asciiTheme="minorHAnsi" w:hAnsiTheme="minorHAnsi"/>
          <w:i/>
          <w:sz w:val="24"/>
          <w:szCs w:val="22"/>
        </w:rPr>
        <w:t>KP Permanent</w:t>
      </w:r>
      <w:r w:rsidRPr="00095C5B">
        <w:rPr>
          <w:rFonts w:asciiTheme="minorHAnsi" w:hAnsiTheme="minorHAnsi"/>
          <w:sz w:val="24"/>
          <w:szCs w:val="22"/>
        </w:rPr>
        <w:t>. In reading through the opinion, consider the following questions:</w:t>
      </w:r>
    </w:p>
    <w:p w14:paraId="32E70AF0" w14:textId="77777777" w:rsidR="00892A7B" w:rsidRPr="00095C5B" w:rsidRDefault="00892A7B" w:rsidP="00892A7B">
      <w:pPr>
        <w:numPr>
          <w:ilvl w:val="0"/>
          <w:numId w:val="48"/>
        </w:numPr>
        <w:rPr>
          <w:rFonts w:asciiTheme="minorHAnsi" w:hAnsiTheme="minorHAnsi"/>
          <w:sz w:val="24"/>
          <w:szCs w:val="22"/>
        </w:rPr>
      </w:pPr>
      <w:r w:rsidRPr="00095C5B">
        <w:rPr>
          <w:rFonts w:asciiTheme="minorHAnsi" w:hAnsiTheme="minorHAnsi"/>
          <w:sz w:val="24"/>
          <w:szCs w:val="22"/>
        </w:rPr>
        <w:t xml:space="preserve">Why should the </w:t>
      </w:r>
      <w:r w:rsidRPr="00095C5B">
        <w:rPr>
          <w:rFonts w:asciiTheme="minorHAnsi" w:hAnsiTheme="minorHAnsi"/>
          <w:i/>
          <w:sz w:val="24"/>
          <w:szCs w:val="22"/>
        </w:rPr>
        <w:t>New Kids</w:t>
      </w:r>
      <w:r w:rsidRPr="00095C5B">
        <w:rPr>
          <w:rFonts w:asciiTheme="minorHAnsi" w:hAnsiTheme="minorHAnsi"/>
          <w:sz w:val="24"/>
          <w:szCs w:val="22"/>
        </w:rPr>
        <w:t xml:space="preserve"> factors </w:t>
      </w:r>
      <w:r w:rsidRPr="00095C5B">
        <w:rPr>
          <w:rFonts w:asciiTheme="minorHAnsi" w:hAnsiTheme="minorHAnsi"/>
          <w:i/>
          <w:sz w:val="24"/>
          <w:szCs w:val="22"/>
        </w:rPr>
        <w:t>replace</w:t>
      </w:r>
      <w:r w:rsidRPr="00095C5B">
        <w:rPr>
          <w:rFonts w:asciiTheme="minorHAnsi" w:hAnsiTheme="minorHAnsi"/>
          <w:sz w:val="24"/>
          <w:szCs w:val="22"/>
        </w:rPr>
        <w:t xml:space="preserve"> the </w:t>
      </w:r>
      <w:proofErr w:type="spellStart"/>
      <w:r w:rsidRPr="00095C5B">
        <w:rPr>
          <w:rFonts w:asciiTheme="minorHAnsi" w:hAnsiTheme="minorHAnsi"/>
          <w:i/>
          <w:sz w:val="24"/>
          <w:szCs w:val="22"/>
        </w:rPr>
        <w:t>Sleekcraft</w:t>
      </w:r>
      <w:proofErr w:type="spellEnd"/>
      <w:r w:rsidRPr="00095C5B">
        <w:rPr>
          <w:rFonts w:asciiTheme="minorHAnsi" w:hAnsiTheme="minorHAnsi"/>
          <w:sz w:val="24"/>
          <w:szCs w:val="22"/>
        </w:rPr>
        <w:t xml:space="preserve"> multifactor test for the likelihood of consumer confusion?  Why shouldn’t a court first work through the </w:t>
      </w:r>
      <w:proofErr w:type="spellStart"/>
      <w:r w:rsidRPr="00095C5B">
        <w:rPr>
          <w:rFonts w:asciiTheme="minorHAnsi" w:hAnsiTheme="minorHAnsi"/>
          <w:i/>
          <w:sz w:val="24"/>
          <w:szCs w:val="22"/>
        </w:rPr>
        <w:t>Sleekcraft</w:t>
      </w:r>
      <w:proofErr w:type="spellEnd"/>
      <w:r w:rsidRPr="00095C5B">
        <w:rPr>
          <w:rFonts w:asciiTheme="minorHAnsi" w:hAnsiTheme="minorHAnsi"/>
          <w:sz w:val="24"/>
          <w:szCs w:val="22"/>
        </w:rPr>
        <w:t xml:space="preserve"> test to determine if plaintiff has even made out its case and, if it has, then turn to the question of nominative fair use?</w:t>
      </w:r>
    </w:p>
    <w:p w14:paraId="649B66F6" w14:textId="77777777" w:rsidR="00892A7B" w:rsidRPr="00095C5B" w:rsidRDefault="00892A7B" w:rsidP="00892A7B">
      <w:pPr>
        <w:numPr>
          <w:ilvl w:val="0"/>
          <w:numId w:val="48"/>
        </w:numPr>
        <w:rPr>
          <w:rFonts w:asciiTheme="minorHAnsi" w:hAnsiTheme="minorHAnsi"/>
          <w:sz w:val="24"/>
          <w:szCs w:val="22"/>
        </w:rPr>
      </w:pPr>
      <w:r w:rsidRPr="00095C5B">
        <w:rPr>
          <w:rFonts w:asciiTheme="minorHAnsi" w:hAnsiTheme="minorHAnsi"/>
          <w:sz w:val="24"/>
          <w:szCs w:val="22"/>
        </w:rPr>
        <w:t>What sense do you make of the final excerpted paragraphs of Judge Kozinski’s opinion? How exactly should a Ninth Circuit court now proceed to evaluate a nominative fair use “defense”?</w:t>
      </w:r>
    </w:p>
    <w:p w14:paraId="38C9DA09" w14:textId="77777777" w:rsidR="00892A7B" w:rsidRPr="00095C5B" w:rsidRDefault="00892A7B" w:rsidP="00892A7B">
      <w:pPr>
        <w:numPr>
          <w:ilvl w:val="0"/>
          <w:numId w:val="48"/>
        </w:numPr>
        <w:rPr>
          <w:rFonts w:asciiTheme="minorHAnsi" w:hAnsiTheme="minorHAnsi"/>
          <w:sz w:val="24"/>
          <w:szCs w:val="22"/>
        </w:rPr>
      </w:pPr>
      <w:r w:rsidRPr="00095C5B">
        <w:rPr>
          <w:rFonts w:asciiTheme="minorHAnsi" w:hAnsiTheme="minorHAnsi"/>
          <w:sz w:val="24"/>
          <w:szCs w:val="22"/>
        </w:rPr>
        <w:t>Do you find the concurrence’s concerns valid?</w:t>
      </w:r>
    </w:p>
    <w:p w14:paraId="1E738A54" w14:textId="77777777" w:rsidR="00095C5B" w:rsidRDefault="00095C5B" w:rsidP="00892A7B">
      <w:pPr>
        <w:pStyle w:val="Heading7"/>
        <w:rPr>
          <w:rFonts w:asciiTheme="minorHAnsi" w:hAnsiTheme="minorHAnsi"/>
          <w:color w:val="FF0000"/>
          <w:sz w:val="24"/>
          <w:szCs w:val="22"/>
        </w:rPr>
      </w:pPr>
      <w:bookmarkStart w:id="2" w:name="_Toc519683147"/>
      <w:bookmarkStart w:id="3" w:name="_Toc201424437"/>
    </w:p>
    <w:p w14:paraId="32BE6FF9" w14:textId="6C51F010" w:rsidR="00892A7B" w:rsidRPr="00095C5B" w:rsidRDefault="00892A7B" w:rsidP="00892A7B">
      <w:pPr>
        <w:pStyle w:val="Heading7"/>
        <w:rPr>
          <w:rFonts w:asciiTheme="minorHAnsi" w:hAnsiTheme="minorHAnsi"/>
          <w:color w:val="FF0000"/>
          <w:sz w:val="24"/>
          <w:szCs w:val="22"/>
        </w:rPr>
      </w:pPr>
      <w:r w:rsidRPr="00095C5B">
        <w:rPr>
          <w:rFonts w:asciiTheme="minorHAnsi" w:hAnsiTheme="minorHAnsi"/>
          <w:color w:val="FF0000"/>
          <w:sz w:val="24"/>
          <w:szCs w:val="22"/>
        </w:rPr>
        <w:t>[</w:t>
      </w:r>
      <w:r w:rsidR="00095C5B" w:rsidRPr="00095C5B">
        <w:rPr>
          <w:rFonts w:asciiTheme="minorHAnsi" w:hAnsiTheme="minorHAnsi"/>
          <w:color w:val="FF0000"/>
          <w:sz w:val="24"/>
          <w:szCs w:val="22"/>
        </w:rPr>
        <w:t xml:space="preserve">The opinion in </w:t>
      </w:r>
      <w:r w:rsidRPr="00095C5B">
        <w:rPr>
          <w:rFonts w:asciiTheme="minorHAnsi" w:hAnsiTheme="minorHAnsi"/>
          <w:i/>
          <w:iCs/>
          <w:color w:val="FF0000"/>
          <w:sz w:val="24"/>
          <w:szCs w:val="22"/>
        </w:rPr>
        <w:t>Toyota Motor Sales, U.S.A., Inc. v. Tabari</w:t>
      </w:r>
      <w:bookmarkEnd w:id="2"/>
      <w:bookmarkEnd w:id="3"/>
      <w:r w:rsidR="00095C5B" w:rsidRPr="00095C5B">
        <w:rPr>
          <w:rFonts w:asciiTheme="minorHAnsi" w:hAnsiTheme="minorHAnsi"/>
          <w:color w:val="FF0000"/>
          <w:sz w:val="24"/>
          <w:szCs w:val="22"/>
        </w:rPr>
        <w:t xml:space="preserve"> is available separately.</w:t>
      </w:r>
      <w:r w:rsidRPr="00095C5B">
        <w:rPr>
          <w:rFonts w:asciiTheme="minorHAnsi" w:hAnsiTheme="minorHAnsi"/>
          <w:color w:val="FF0000"/>
          <w:sz w:val="24"/>
          <w:szCs w:val="22"/>
        </w:rPr>
        <w:t>]</w:t>
      </w:r>
    </w:p>
    <w:p w14:paraId="2E8D4A44" w14:textId="77777777" w:rsidR="00892A7B" w:rsidRPr="00095C5B" w:rsidRDefault="00892A7B" w:rsidP="00892A7B">
      <w:pPr>
        <w:pStyle w:val="CommentsandQuestions"/>
        <w:rPr>
          <w:rFonts w:asciiTheme="minorHAnsi" w:hAnsiTheme="minorHAnsi"/>
          <w:sz w:val="24"/>
          <w:szCs w:val="22"/>
        </w:rPr>
      </w:pPr>
      <w:r w:rsidRPr="00095C5B">
        <w:rPr>
          <w:rFonts w:asciiTheme="minorHAnsi" w:hAnsiTheme="minorHAnsi"/>
          <w:sz w:val="24"/>
          <w:szCs w:val="22"/>
        </w:rPr>
        <w:t>Questions and Comments</w:t>
      </w:r>
    </w:p>
    <w:p w14:paraId="7D66E39F" w14:textId="77777777" w:rsidR="00892A7B" w:rsidRPr="00095C5B" w:rsidRDefault="00892A7B" w:rsidP="00892A7B">
      <w:pPr>
        <w:rPr>
          <w:rFonts w:asciiTheme="minorHAnsi" w:hAnsiTheme="minorHAnsi"/>
          <w:sz w:val="24"/>
          <w:szCs w:val="22"/>
        </w:rPr>
      </w:pPr>
      <w:r w:rsidRPr="00095C5B">
        <w:rPr>
          <w:rFonts w:asciiTheme="minorHAnsi" w:hAnsiTheme="minorHAnsi"/>
          <w:sz w:val="24"/>
          <w:szCs w:val="22"/>
        </w:rPr>
        <w:t>1.</w:t>
      </w:r>
      <w:r w:rsidRPr="00095C5B">
        <w:rPr>
          <w:rFonts w:asciiTheme="minorHAnsi" w:hAnsiTheme="minorHAnsi"/>
          <w:sz w:val="24"/>
          <w:szCs w:val="22"/>
        </w:rPr>
        <w:tab/>
      </w:r>
      <w:r w:rsidRPr="00095C5B">
        <w:rPr>
          <w:rFonts w:asciiTheme="minorHAnsi" w:hAnsiTheme="minorHAnsi"/>
          <w:i/>
          <w:sz w:val="24"/>
          <w:szCs w:val="22"/>
        </w:rPr>
        <w:t>The Third Circuit’s hybrid approach in</w:t>
      </w:r>
      <w:r w:rsidRPr="00095C5B">
        <w:rPr>
          <w:rFonts w:asciiTheme="minorHAnsi" w:hAnsiTheme="minorHAnsi"/>
          <w:sz w:val="24"/>
          <w:szCs w:val="22"/>
        </w:rPr>
        <w:t xml:space="preserve"> Century 21. In </w:t>
      </w:r>
      <w:r w:rsidRPr="00095C5B">
        <w:rPr>
          <w:rFonts w:asciiTheme="minorHAnsi" w:hAnsiTheme="minorHAnsi"/>
          <w:i/>
          <w:sz w:val="24"/>
          <w:szCs w:val="22"/>
        </w:rPr>
        <w:t xml:space="preserve">Century 21 Real Estate Corp. v. </w:t>
      </w:r>
      <w:proofErr w:type="spellStart"/>
      <w:r w:rsidRPr="00095C5B">
        <w:rPr>
          <w:rFonts w:asciiTheme="minorHAnsi" w:hAnsiTheme="minorHAnsi"/>
          <w:i/>
          <w:sz w:val="24"/>
          <w:szCs w:val="22"/>
        </w:rPr>
        <w:t>Lendingtree</w:t>
      </w:r>
      <w:proofErr w:type="spellEnd"/>
      <w:r w:rsidRPr="00095C5B">
        <w:rPr>
          <w:rFonts w:asciiTheme="minorHAnsi" w:hAnsiTheme="minorHAnsi"/>
          <w:i/>
          <w:sz w:val="24"/>
          <w:szCs w:val="22"/>
        </w:rPr>
        <w:t>, Inc</w:t>
      </w:r>
      <w:r w:rsidRPr="00095C5B">
        <w:rPr>
          <w:rFonts w:asciiTheme="minorHAnsi" w:hAnsiTheme="minorHAnsi"/>
          <w:sz w:val="24"/>
          <w:szCs w:val="22"/>
        </w:rPr>
        <w:t xml:space="preserve">., 425 F.3d 211 (3d Cir. 2005), the Third Circuit rejected the Ninth Circuit’s approach in which the </w:t>
      </w:r>
      <w:r w:rsidRPr="00095C5B">
        <w:rPr>
          <w:rFonts w:asciiTheme="minorHAnsi" w:hAnsiTheme="minorHAnsi"/>
          <w:i/>
          <w:sz w:val="24"/>
          <w:szCs w:val="22"/>
        </w:rPr>
        <w:t>New Kids</w:t>
      </w:r>
      <w:r w:rsidRPr="00095C5B">
        <w:rPr>
          <w:rFonts w:asciiTheme="minorHAnsi" w:hAnsiTheme="minorHAnsi"/>
          <w:sz w:val="24"/>
          <w:szCs w:val="22"/>
        </w:rPr>
        <w:t xml:space="preserve"> factors replace the multifactor test for the likelihood of consumer confusion. Instead, seeking properly to cast the nominative fair use “defense” as a true affirmative defense, the </w:t>
      </w:r>
      <w:r w:rsidRPr="00095C5B">
        <w:rPr>
          <w:rFonts w:asciiTheme="minorHAnsi" w:hAnsiTheme="minorHAnsi"/>
          <w:i/>
          <w:sz w:val="24"/>
          <w:szCs w:val="22"/>
        </w:rPr>
        <w:t>Century 21</w:t>
      </w:r>
      <w:r w:rsidRPr="00095C5B">
        <w:rPr>
          <w:rFonts w:asciiTheme="minorHAnsi" w:hAnsiTheme="minorHAnsi"/>
          <w:sz w:val="24"/>
          <w:szCs w:val="22"/>
        </w:rPr>
        <w:t xml:space="preserve"> court set forth four factors Third Circuit courts should consider in the nominative fair use context to determine if there was a likelihood of confusion: “(1) the price of the goods and other factors indicative of the care and attention expected of consumers when making a purchase; (2) the length of time the defendant has used the mark without evidence of actual confusion; (3) the intent of the defendant in adopting the mark; and (4) the evidence of actual confusion.”  </w:t>
      </w:r>
      <w:r w:rsidRPr="00095C5B">
        <w:rPr>
          <w:rFonts w:asciiTheme="minorHAnsi" w:hAnsiTheme="minorHAnsi"/>
          <w:i/>
          <w:sz w:val="24"/>
          <w:szCs w:val="22"/>
        </w:rPr>
        <w:t>Id</w:t>
      </w:r>
      <w:r w:rsidRPr="00095C5B">
        <w:rPr>
          <w:rFonts w:asciiTheme="minorHAnsi" w:hAnsiTheme="minorHAnsi"/>
          <w:sz w:val="24"/>
          <w:szCs w:val="22"/>
        </w:rPr>
        <w:t xml:space="preserve">. at 225-26. If the plaintiff meets its burden of proving a likelihood of confusion under these factors, then the defendant bears the burden of winning each of the following factors to make out the defense of nominative fair use: “1. Is the use of plaintiff’s mark necessary to describe (1) plaintiff’s product or service and (2) defendant’s product or service?  2. Is only so much of the plaintiff’s mark used as is necessary to describe plaintiff’s products or services? 3. Does the defendant’s conduct or language reflect the true and accurate relationship between plaintiff and defendant’s products or services?” </w:t>
      </w:r>
      <w:r w:rsidRPr="00095C5B">
        <w:rPr>
          <w:rFonts w:asciiTheme="minorHAnsi" w:hAnsiTheme="minorHAnsi"/>
          <w:i/>
          <w:sz w:val="24"/>
          <w:szCs w:val="22"/>
        </w:rPr>
        <w:t>Id</w:t>
      </w:r>
      <w:r w:rsidRPr="00095C5B">
        <w:rPr>
          <w:rFonts w:asciiTheme="minorHAnsi" w:hAnsiTheme="minorHAnsi"/>
          <w:sz w:val="24"/>
          <w:szCs w:val="22"/>
        </w:rPr>
        <w:t xml:space="preserve">. at 228. In his dissent, Judge Fisher was highly critical of this new approach. </w:t>
      </w:r>
      <w:r w:rsidRPr="00095C5B">
        <w:rPr>
          <w:rFonts w:asciiTheme="minorHAnsi" w:hAnsiTheme="minorHAnsi"/>
          <w:i/>
          <w:sz w:val="24"/>
          <w:szCs w:val="22"/>
        </w:rPr>
        <w:t>See id</w:t>
      </w:r>
      <w:r w:rsidRPr="00095C5B">
        <w:rPr>
          <w:rFonts w:asciiTheme="minorHAnsi" w:hAnsiTheme="minorHAnsi"/>
          <w:sz w:val="24"/>
          <w:szCs w:val="22"/>
        </w:rPr>
        <w:t>. at 232 (Fisher, J., dissenting).</w:t>
      </w:r>
    </w:p>
    <w:p w14:paraId="6F37518E" w14:textId="77777777" w:rsidR="00892A7B" w:rsidRPr="00095C5B" w:rsidRDefault="00892A7B" w:rsidP="00892A7B">
      <w:pPr>
        <w:pStyle w:val="Dashbreak"/>
        <w:rPr>
          <w:rFonts w:asciiTheme="minorHAnsi" w:hAnsiTheme="minorHAnsi"/>
          <w:sz w:val="24"/>
          <w:szCs w:val="22"/>
        </w:rPr>
      </w:pPr>
      <w:r w:rsidRPr="00095C5B">
        <w:rPr>
          <w:rFonts w:asciiTheme="minorHAnsi" w:hAnsiTheme="minorHAnsi"/>
          <w:sz w:val="24"/>
          <w:szCs w:val="22"/>
        </w:rPr>
        <w:lastRenderedPageBreak/>
        <w:t>______________________________________________________________________________</w:t>
      </w:r>
    </w:p>
    <w:p w14:paraId="3840AC19" w14:textId="77777777" w:rsidR="00892A7B" w:rsidRPr="00095C5B" w:rsidRDefault="00892A7B" w:rsidP="00892A7B">
      <w:pPr>
        <w:rPr>
          <w:rFonts w:asciiTheme="minorHAnsi" w:hAnsiTheme="minorHAnsi"/>
          <w:sz w:val="24"/>
          <w:szCs w:val="22"/>
        </w:rPr>
      </w:pPr>
      <w:r w:rsidRPr="00095C5B">
        <w:rPr>
          <w:rFonts w:asciiTheme="minorHAnsi" w:hAnsiTheme="minorHAnsi"/>
          <w:sz w:val="24"/>
          <w:szCs w:val="22"/>
        </w:rPr>
        <w:t>We had long awaited some statement from the Second Circuit as to whether the circuit recognizes nominative fair use, and if it does, how courts should analyze the issue. That statement finally came in the following opinion. Does Judge Pooler’s approach in the Second Circuit strike you as more sensible than Judge Kozinski’s in the Ninth?</w:t>
      </w:r>
    </w:p>
    <w:p w14:paraId="24170A22" w14:textId="50F88E0D" w:rsidR="00892A7B" w:rsidRPr="00095C5B" w:rsidRDefault="00892A7B" w:rsidP="00892A7B">
      <w:pPr>
        <w:pStyle w:val="Heading7"/>
        <w:rPr>
          <w:rFonts w:asciiTheme="minorHAnsi" w:hAnsiTheme="minorHAnsi"/>
          <w:color w:val="FF0000"/>
          <w:sz w:val="24"/>
          <w:szCs w:val="22"/>
        </w:rPr>
      </w:pPr>
      <w:bookmarkStart w:id="4" w:name="_Toc519683148"/>
      <w:bookmarkStart w:id="5" w:name="_Toc201424438"/>
      <w:r w:rsidRPr="00095C5B">
        <w:rPr>
          <w:rFonts w:asciiTheme="minorHAnsi" w:hAnsiTheme="minorHAnsi"/>
          <w:color w:val="FF0000"/>
          <w:sz w:val="24"/>
          <w:szCs w:val="22"/>
        </w:rPr>
        <w:t>[</w:t>
      </w:r>
      <w:r w:rsidR="00095C5B" w:rsidRPr="00095C5B">
        <w:rPr>
          <w:rFonts w:asciiTheme="minorHAnsi" w:hAnsiTheme="minorHAnsi"/>
          <w:color w:val="FF0000"/>
          <w:sz w:val="24"/>
          <w:szCs w:val="22"/>
        </w:rPr>
        <w:t xml:space="preserve">The opinion in </w:t>
      </w:r>
      <w:r w:rsidRPr="00095C5B">
        <w:rPr>
          <w:rFonts w:asciiTheme="minorHAnsi" w:hAnsiTheme="minorHAnsi"/>
          <w:i/>
          <w:iCs/>
          <w:color w:val="FF0000"/>
          <w:sz w:val="24"/>
          <w:szCs w:val="22"/>
        </w:rPr>
        <w:t>Int’l Info. Sys. Sec. Certification Consortium, Inc. v. Sec. Univ., LLC</w:t>
      </w:r>
      <w:bookmarkEnd w:id="4"/>
      <w:bookmarkEnd w:id="5"/>
      <w:r w:rsidR="00095C5B" w:rsidRPr="00095C5B">
        <w:rPr>
          <w:rFonts w:asciiTheme="minorHAnsi" w:hAnsiTheme="minorHAnsi"/>
          <w:color w:val="FF0000"/>
          <w:sz w:val="24"/>
          <w:szCs w:val="22"/>
        </w:rPr>
        <w:t xml:space="preserve"> is available separately.</w:t>
      </w:r>
      <w:r w:rsidRPr="00095C5B">
        <w:rPr>
          <w:rFonts w:asciiTheme="minorHAnsi" w:hAnsiTheme="minorHAnsi"/>
          <w:color w:val="FF0000"/>
          <w:sz w:val="24"/>
          <w:szCs w:val="22"/>
        </w:rPr>
        <w:t>]</w:t>
      </w:r>
    </w:p>
    <w:p w14:paraId="791144FA" w14:textId="77777777" w:rsidR="00892A7B" w:rsidRPr="00095C5B" w:rsidRDefault="00892A7B" w:rsidP="00892A7B">
      <w:pPr>
        <w:pStyle w:val="OpinionCitation"/>
        <w:rPr>
          <w:rFonts w:asciiTheme="minorHAnsi" w:hAnsiTheme="minorHAnsi"/>
        </w:rPr>
      </w:pPr>
    </w:p>
    <w:p w14:paraId="544CF2C8" w14:textId="77777777" w:rsidR="00892A7B" w:rsidRPr="00095C5B" w:rsidRDefault="00892A7B" w:rsidP="00892A7B">
      <w:pPr>
        <w:pStyle w:val="Heading3"/>
        <w:rPr>
          <w:rFonts w:asciiTheme="minorHAnsi" w:hAnsiTheme="minorHAnsi"/>
        </w:rPr>
      </w:pPr>
      <w:bookmarkStart w:id="6" w:name="_Toc519683149"/>
      <w:bookmarkStart w:id="7" w:name="_Toc201424439"/>
      <w:r w:rsidRPr="00095C5B">
        <w:rPr>
          <w:rFonts w:asciiTheme="minorHAnsi" w:hAnsiTheme="minorHAnsi"/>
        </w:rPr>
        <w:t>2.</w:t>
      </w:r>
      <w:r w:rsidRPr="00095C5B">
        <w:rPr>
          <w:rFonts w:asciiTheme="minorHAnsi" w:hAnsiTheme="minorHAnsi"/>
        </w:rPr>
        <w:tab/>
        <w:t>Further Examples of Nominative Fair Use Analyses</w:t>
      </w:r>
      <w:bookmarkEnd w:id="6"/>
      <w:bookmarkEnd w:id="7"/>
    </w:p>
    <w:p w14:paraId="270AC33E" w14:textId="695C2B18" w:rsidR="00892A7B" w:rsidRPr="00095C5B" w:rsidRDefault="00892A7B" w:rsidP="00892A7B">
      <w:pPr>
        <w:pStyle w:val="Centered"/>
        <w:rPr>
          <w:rFonts w:asciiTheme="minorHAnsi" w:hAnsiTheme="minorHAnsi"/>
          <w:sz w:val="24"/>
          <w:szCs w:val="24"/>
        </w:rPr>
      </w:pPr>
    </w:p>
    <w:p w14:paraId="62F0DA2B" w14:textId="5A921532" w:rsidR="00892A7B" w:rsidRPr="00095C5B" w:rsidRDefault="00892A7B" w:rsidP="00892A7B">
      <w:pPr>
        <w:pStyle w:val="Heading7"/>
        <w:rPr>
          <w:rFonts w:asciiTheme="minorHAnsi" w:hAnsiTheme="minorHAnsi"/>
          <w:color w:val="FF0000"/>
          <w:sz w:val="24"/>
          <w:szCs w:val="24"/>
        </w:rPr>
      </w:pPr>
      <w:bookmarkStart w:id="8" w:name="_Toc519683150"/>
      <w:bookmarkStart w:id="9" w:name="_Toc201424440"/>
      <w:r w:rsidRPr="00095C5B">
        <w:rPr>
          <w:rFonts w:asciiTheme="minorHAnsi" w:hAnsiTheme="minorHAnsi"/>
          <w:color w:val="FF0000"/>
          <w:sz w:val="24"/>
          <w:szCs w:val="24"/>
        </w:rPr>
        <w:t>[</w:t>
      </w:r>
      <w:r w:rsidR="00095C5B" w:rsidRPr="00095C5B">
        <w:rPr>
          <w:rFonts w:asciiTheme="minorHAnsi" w:hAnsiTheme="minorHAnsi"/>
          <w:color w:val="FF0000"/>
          <w:sz w:val="24"/>
          <w:szCs w:val="24"/>
        </w:rPr>
        <w:t xml:space="preserve">The opinion </w:t>
      </w:r>
      <w:proofErr w:type="gramStart"/>
      <w:r w:rsidR="00095C5B" w:rsidRPr="00095C5B">
        <w:rPr>
          <w:rFonts w:asciiTheme="minorHAnsi" w:hAnsiTheme="minorHAnsi"/>
          <w:color w:val="FF0000"/>
          <w:sz w:val="24"/>
          <w:szCs w:val="24"/>
        </w:rPr>
        <w:t>in</w:t>
      </w:r>
      <w:proofErr w:type="gramEnd"/>
      <w:r w:rsidR="00095C5B" w:rsidRPr="00095C5B">
        <w:rPr>
          <w:rFonts w:asciiTheme="minorHAnsi" w:hAnsiTheme="minorHAnsi"/>
          <w:color w:val="FF0000"/>
          <w:sz w:val="24"/>
          <w:szCs w:val="24"/>
        </w:rPr>
        <w:t xml:space="preserve"> </w:t>
      </w:r>
      <w:r w:rsidRPr="00095C5B">
        <w:rPr>
          <w:rFonts w:asciiTheme="minorHAnsi" w:hAnsiTheme="minorHAnsi"/>
          <w:i/>
          <w:iCs/>
          <w:color w:val="FF0000"/>
          <w:sz w:val="24"/>
          <w:szCs w:val="24"/>
        </w:rPr>
        <w:t xml:space="preserve">Liquid Glass Enterprises, Inc. v. Dr. Ing. </w:t>
      </w:r>
      <w:proofErr w:type="spellStart"/>
      <w:r w:rsidRPr="00095C5B">
        <w:rPr>
          <w:rFonts w:asciiTheme="minorHAnsi" w:hAnsiTheme="minorHAnsi"/>
          <w:i/>
          <w:iCs/>
          <w:color w:val="FF0000"/>
          <w:sz w:val="24"/>
          <w:szCs w:val="24"/>
        </w:rPr>
        <w:t>h.c.F</w:t>
      </w:r>
      <w:proofErr w:type="spellEnd"/>
      <w:r w:rsidRPr="00095C5B">
        <w:rPr>
          <w:rFonts w:asciiTheme="minorHAnsi" w:hAnsiTheme="minorHAnsi"/>
          <w:i/>
          <w:iCs/>
          <w:color w:val="FF0000"/>
          <w:sz w:val="24"/>
          <w:szCs w:val="24"/>
        </w:rPr>
        <w:t>. Porsche AG</w:t>
      </w:r>
      <w:bookmarkEnd w:id="8"/>
      <w:bookmarkEnd w:id="9"/>
      <w:r w:rsidR="00095C5B" w:rsidRPr="00095C5B">
        <w:rPr>
          <w:rFonts w:asciiTheme="minorHAnsi" w:hAnsiTheme="minorHAnsi"/>
          <w:color w:val="FF0000"/>
          <w:sz w:val="24"/>
          <w:szCs w:val="24"/>
        </w:rPr>
        <w:t xml:space="preserve"> </w:t>
      </w:r>
      <w:r w:rsidR="00095C5B" w:rsidRPr="00095C5B">
        <w:rPr>
          <w:rFonts w:asciiTheme="minorHAnsi" w:hAnsiTheme="minorHAnsi"/>
          <w:color w:val="FF0000"/>
          <w:sz w:val="24"/>
          <w:szCs w:val="24"/>
        </w:rPr>
        <w:t>is available separately.</w:t>
      </w:r>
      <w:r w:rsidRPr="00095C5B">
        <w:rPr>
          <w:rFonts w:asciiTheme="minorHAnsi" w:hAnsiTheme="minorHAnsi"/>
          <w:color w:val="FF0000"/>
          <w:sz w:val="24"/>
          <w:szCs w:val="24"/>
        </w:rPr>
        <w:t>]</w:t>
      </w:r>
    </w:p>
    <w:p w14:paraId="6391BF13" w14:textId="77777777" w:rsidR="00892A7B" w:rsidRPr="00095C5B" w:rsidRDefault="00892A7B" w:rsidP="00892A7B">
      <w:pPr>
        <w:rPr>
          <w:rFonts w:asciiTheme="minorHAnsi" w:hAnsiTheme="minorHAnsi"/>
          <w:color w:val="FF0000"/>
          <w:sz w:val="24"/>
          <w:szCs w:val="24"/>
        </w:rPr>
      </w:pPr>
    </w:p>
    <w:p w14:paraId="07F2924E" w14:textId="1BA55FA5" w:rsidR="00892A7B" w:rsidRPr="00095C5B" w:rsidRDefault="00892A7B" w:rsidP="00892A7B">
      <w:pPr>
        <w:pStyle w:val="Heading7"/>
        <w:rPr>
          <w:rFonts w:asciiTheme="minorHAnsi" w:hAnsiTheme="minorHAnsi"/>
          <w:color w:val="FF0000"/>
          <w:sz w:val="24"/>
          <w:szCs w:val="24"/>
        </w:rPr>
      </w:pPr>
      <w:bookmarkStart w:id="10" w:name="_Toc519683151"/>
      <w:bookmarkStart w:id="11" w:name="_Toc201424441"/>
      <w:r w:rsidRPr="00095C5B">
        <w:rPr>
          <w:rFonts w:asciiTheme="minorHAnsi" w:hAnsiTheme="minorHAnsi"/>
          <w:color w:val="FF0000"/>
          <w:sz w:val="24"/>
          <w:szCs w:val="24"/>
        </w:rPr>
        <w:t>[</w:t>
      </w:r>
      <w:r w:rsidR="00095C5B" w:rsidRPr="00095C5B">
        <w:rPr>
          <w:rFonts w:asciiTheme="minorHAnsi" w:hAnsiTheme="minorHAnsi"/>
          <w:color w:val="FF0000"/>
          <w:sz w:val="24"/>
          <w:szCs w:val="24"/>
        </w:rPr>
        <w:t xml:space="preserve">The opinion </w:t>
      </w:r>
      <w:proofErr w:type="gramStart"/>
      <w:r w:rsidR="00095C5B" w:rsidRPr="00095C5B">
        <w:rPr>
          <w:rFonts w:asciiTheme="minorHAnsi" w:hAnsiTheme="minorHAnsi"/>
          <w:color w:val="FF0000"/>
          <w:sz w:val="24"/>
          <w:szCs w:val="24"/>
        </w:rPr>
        <w:t>in</w:t>
      </w:r>
      <w:proofErr w:type="gramEnd"/>
      <w:r w:rsidR="00095C5B" w:rsidRPr="00095C5B">
        <w:rPr>
          <w:rFonts w:asciiTheme="minorHAnsi" w:hAnsiTheme="minorHAnsi"/>
          <w:color w:val="FF0000"/>
          <w:sz w:val="24"/>
          <w:szCs w:val="24"/>
        </w:rPr>
        <w:t xml:space="preserve"> </w:t>
      </w:r>
      <w:r w:rsidRPr="00095C5B">
        <w:rPr>
          <w:rFonts w:asciiTheme="minorHAnsi" w:hAnsiTheme="minorHAnsi"/>
          <w:i/>
          <w:iCs/>
          <w:color w:val="FF0000"/>
          <w:sz w:val="24"/>
          <w:szCs w:val="24"/>
        </w:rPr>
        <w:t>Toho Co., Ltd. v. William Morrow &amp; Co., Inc.</w:t>
      </w:r>
      <w:bookmarkEnd w:id="10"/>
      <w:bookmarkEnd w:id="11"/>
      <w:r w:rsidR="00095C5B" w:rsidRPr="00095C5B">
        <w:rPr>
          <w:rFonts w:asciiTheme="minorHAnsi" w:hAnsiTheme="minorHAnsi"/>
          <w:color w:val="FF0000"/>
          <w:sz w:val="24"/>
          <w:szCs w:val="24"/>
        </w:rPr>
        <w:t xml:space="preserve"> </w:t>
      </w:r>
      <w:r w:rsidR="00095C5B" w:rsidRPr="00095C5B">
        <w:rPr>
          <w:rFonts w:asciiTheme="minorHAnsi" w:hAnsiTheme="minorHAnsi"/>
          <w:color w:val="FF0000"/>
          <w:sz w:val="24"/>
          <w:szCs w:val="24"/>
        </w:rPr>
        <w:t>is available separately.</w:t>
      </w:r>
      <w:r w:rsidRPr="00095C5B">
        <w:rPr>
          <w:rFonts w:asciiTheme="minorHAnsi" w:hAnsiTheme="minorHAnsi"/>
          <w:color w:val="FF0000"/>
          <w:sz w:val="24"/>
          <w:szCs w:val="24"/>
        </w:rPr>
        <w:t>]</w:t>
      </w:r>
    </w:p>
    <w:p w14:paraId="73FCFA3A" w14:textId="20F10398" w:rsidR="00892A7B" w:rsidRPr="00095C5B" w:rsidRDefault="00892A7B" w:rsidP="00892A7B">
      <w:pPr>
        <w:pStyle w:val="Normal-centered0"/>
        <w:jc w:val="both"/>
        <w:rPr>
          <w:rFonts w:asciiTheme="minorHAnsi" w:hAnsiTheme="minorHAnsi"/>
          <w:color w:val="FF0000"/>
          <w:sz w:val="24"/>
          <w:szCs w:val="24"/>
        </w:rPr>
      </w:pPr>
    </w:p>
    <w:p w14:paraId="5BDC583E" w14:textId="347ED7CB" w:rsidR="00892A7B" w:rsidRPr="00095C5B" w:rsidRDefault="00892A7B" w:rsidP="00892A7B">
      <w:pPr>
        <w:pStyle w:val="Heading7"/>
        <w:rPr>
          <w:rFonts w:asciiTheme="minorHAnsi" w:hAnsiTheme="minorHAnsi"/>
          <w:color w:val="FF0000"/>
          <w:sz w:val="24"/>
          <w:szCs w:val="24"/>
        </w:rPr>
      </w:pPr>
      <w:bookmarkStart w:id="12" w:name="_Toc519683152"/>
      <w:bookmarkStart w:id="13" w:name="_Toc201424442"/>
      <w:r w:rsidRPr="00095C5B">
        <w:rPr>
          <w:rFonts w:asciiTheme="minorHAnsi" w:hAnsiTheme="minorHAnsi"/>
          <w:color w:val="FF0000"/>
          <w:sz w:val="24"/>
          <w:szCs w:val="24"/>
        </w:rPr>
        <w:t>[</w:t>
      </w:r>
      <w:r w:rsidR="00095C5B" w:rsidRPr="00095C5B">
        <w:rPr>
          <w:rFonts w:asciiTheme="minorHAnsi" w:hAnsiTheme="minorHAnsi"/>
          <w:color w:val="FF0000"/>
          <w:sz w:val="24"/>
          <w:szCs w:val="24"/>
        </w:rPr>
        <w:t xml:space="preserve">The opinion in </w:t>
      </w:r>
      <w:r w:rsidRPr="00095C5B">
        <w:rPr>
          <w:rFonts w:asciiTheme="minorHAnsi" w:hAnsiTheme="minorHAnsi"/>
          <w:i/>
          <w:iCs/>
          <w:color w:val="FF0000"/>
          <w:sz w:val="24"/>
          <w:szCs w:val="24"/>
        </w:rPr>
        <w:t>Mattel, Inc. v. Walking Mountain Productions</w:t>
      </w:r>
      <w:bookmarkEnd w:id="12"/>
      <w:bookmarkEnd w:id="13"/>
      <w:r w:rsidR="00095C5B" w:rsidRPr="00095C5B">
        <w:rPr>
          <w:rFonts w:asciiTheme="minorHAnsi" w:hAnsiTheme="minorHAnsi"/>
          <w:color w:val="FF0000"/>
          <w:sz w:val="24"/>
          <w:szCs w:val="24"/>
        </w:rPr>
        <w:t xml:space="preserve"> </w:t>
      </w:r>
      <w:r w:rsidR="00095C5B" w:rsidRPr="00095C5B">
        <w:rPr>
          <w:rFonts w:asciiTheme="minorHAnsi" w:hAnsiTheme="minorHAnsi"/>
          <w:color w:val="FF0000"/>
          <w:sz w:val="24"/>
          <w:szCs w:val="24"/>
        </w:rPr>
        <w:t>is available separately.</w:t>
      </w:r>
      <w:r w:rsidRPr="00095C5B">
        <w:rPr>
          <w:rFonts w:asciiTheme="minorHAnsi" w:hAnsiTheme="minorHAnsi"/>
          <w:color w:val="FF0000"/>
          <w:sz w:val="24"/>
          <w:szCs w:val="24"/>
        </w:rPr>
        <w:t>]</w:t>
      </w:r>
    </w:p>
    <w:p w14:paraId="487BBE97" w14:textId="77777777" w:rsidR="00892A7B" w:rsidRPr="00095C5B" w:rsidRDefault="00892A7B" w:rsidP="00892A7B">
      <w:pPr>
        <w:pStyle w:val="OpinionCitation"/>
        <w:rPr>
          <w:rFonts w:asciiTheme="minorHAnsi" w:hAnsiTheme="minorHAnsi"/>
          <w:color w:val="FF0000"/>
          <w:sz w:val="24"/>
          <w:szCs w:val="24"/>
        </w:rPr>
      </w:pPr>
    </w:p>
    <w:p w14:paraId="412DC6A1" w14:textId="2809F318" w:rsidR="00EB3DF5" w:rsidRPr="00095C5B" w:rsidRDefault="00892A7B" w:rsidP="00892A7B">
      <w:pPr>
        <w:pStyle w:val="Heading7"/>
        <w:rPr>
          <w:rFonts w:asciiTheme="minorHAnsi" w:hAnsiTheme="minorHAnsi"/>
          <w:color w:val="FF0000"/>
          <w:sz w:val="24"/>
          <w:szCs w:val="24"/>
        </w:rPr>
      </w:pPr>
      <w:bookmarkStart w:id="14" w:name="_Toc201424443"/>
      <w:r w:rsidRPr="00095C5B">
        <w:rPr>
          <w:rFonts w:asciiTheme="minorHAnsi" w:hAnsiTheme="minorHAnsi"/>
          <w:color w:val="FF0000"/>
          <w:sz w:val="24"/>
          <w:szCs w:val="24"/>
        </w:rPr>
        <w:t>[</w:t>
      </w:r>
      <w:r w:rsidR="00095C5B" w:rsidRPr="00095C5B">
        <w:rPr>
          <w:rFonts w:asciiTheme="minorHAnsi" w:hAnsiTheme="minorHAnsi"/>
          <w:color w:val="FF0000"/>
          <w:sz w:val="24"/>
          <w:szCs w:val="24"/>
        </w:rPr>
        <w:t xml:space="preserve">The opinion </w:t>
      </w:r>
      <w:proofErr w:type="gramStart"/>
      <w:r w:rsidR="00095C5B" w:rsidRPr="00095C5B">
        <w:rPr>
          <w:rFonts w:asciiTheme="minorHAnsi" w:hAnsiTheme="minorHAnsi"/>
          <w:color w:val="FF0000"/>
          <w:sz w:val="24"/>
          <w:szCs w:val="24"/>
        </w:rPr>
        <w:t>in</w:t>
      </w:r>
      <w:proofErr w:type="gramEnd"/>
      <w:r w:rsidR="00095C5B" w:rsidRPr="00095C5B">
        <w:rPr>
          <w:rFonts w:asciiTheme="minorHAnsi" w:hAnsiTheme="minorHAnsi"/>
          <w:color w:val="FF0000"/>
          <w:sz w:val="24"/>
          <w:szCs w:val="24"/>
        </w:rPr>
        <w:t xml:space="preserve"> </w:t>
      </w:r>
      <w:r w:rsidRPr="00095C5B">
        <w:rPr>
          <w:rFonts w:asciiTheme="minorHAnsi" w:hAnsiTheme="minorHAnsi"/>
          <w:i/>
          <w:iCs/>
          <w:color w:val="FF0000"/>
          <w:sz w:val="24"/>
          <w:szCs w:val="24"/>
        </w:rPr>
        <w:t>Board of Supervisors for Louisiana State University Agricultural &amp; Mechanical College v. Smack Apparel Co</w:t>
      </w:r>
      <w:r w:rsidRPr="00095C5B">
        <w:rPr>
          <w:rFonts w:asciiTheme="minorHAnsi" w:hAnsiTheme="minorHAnsi"/>
          <w:color w:val="FF0000"/>
          <w:sz w:val="24"/>
          <w:szCs w:val="24"/>
        </w:rPr>
        <w:t>.</w:t>
      </w:r>
      <w:bookmarkEnd w:id="14"/>
      <w:r w:rsidR="00095C5B" w:rsidRPr="00095C5B">
        <w:rPr>
          <w:rFonts w:asciiTheme="minorHAnsi" w:hAnsiTheme="minorHAnsi"/>
          <w:color w:val="FF0000"/>
          <w:sz w:val="24"/>
          <w:szCs w:val="24"/>
        </w:rPr>
        <w:t xml:space="preserve"> </w:t>
      </w:r>
      <w:r w:rsidR="00095C5B" w:rsidRPr="00095C5B">
        <w:rPr>
          <w:rFonts w:asciiTheme="minorHAnsi" w:hAnsiTheme="minorHAnsi"/>
          <w:color w:val="FF0000"/>
          <w:sz w:val="24"/>
          <w:szCs w:val="24"/>
        </w:rPr>
        <w:t>is available separately.</w:t>
      </w:r>
      <w:r w:rsidRPr="00095C5B">
        <w:rPr>
          <w:rFonts w:asciiTheme="minorHAnsi" w:hAnsiTheme="minorHAnsi"/>
          <w:color w:val="FF0000"/>
          <w:sz w:val="24"/>
          <w:szCs w:val="24"/>
        </w:rPr>
        <w:t>]</w:t>
      </w:r>
    </w:p>
    <w:sectPr w:rsidR="00EB3DF5" w:rsidRPr="00095C5B" w:rsidSect="00095C5B">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5BE53" w14:textId="77777777" w:rsidR="00A75096" w:rsidRDefault="00A75096" w:rsidP="00892A7B">
      <w:pPr>
        <w:spacing w:after="0" w:line="240" w:lineRule="auto"/>
      </w:pPr>
      <w:r>
        <w:separator/>
      </w:r>
    </w:p>
  </w:endnote>
  <w:endnote w:type="continuationSeparator" w:id="0">
    <w:p w14:paraId="28766B65" w14:textId="77777777" w:rsidR="00A75096" w:rsidRDefault="00A75096" w:rsidP="0089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B3A8" w14:textId="77777777" w:rsidR="00095C5B" w:rsidRPr="00A04E11" w:rsidRDefault="00095C5B" w:rsidP="00095C5B">
    <w:pPr>
      <w:pStyle w:val="Pagenumber"/>
      <w:rPr>
        <w:rFonts w:asciiTheme="minorHAnsi" w:hAnsiTheme="minorHAnsi"/>
        <w:noProof/>
      </w:rP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Pr>
        <w:rFonts w:asciiTheme="minorHAnsi" w:hAnsiTheme="minorHAnsi"/>
      </w:rPr>
      <w:t>3</w:t>
    </w:r>
    <w:r w:rsidRPr="00A04E11">
      <w:rPr>
        <w:rFonts w:asciiTheme="minorHAnsi" w:hAnsiTheme="minorHAnsi"/>
        <w:noProof/>
      </w:rPr>
      <w:fldChar w:fldCharType="end"/>
    </w:r>
  </w:p>
  <w:p w14:paraId="6A1AE7BC" w14:textId="77777777" w:rsidR="00095C5B" w:rsidRDefault="00095C5B" w:rsidP="00095C5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7633" w14:textId="77777777" w:rsidR="00A75096" w:rsidRDefault="00A75096" w:rsidP="00892A7B">
      <w:pPr>
        <w:spacing w:after="0" w:line="240" w:lineRule="auto"/>
      </w:pPr>
      <w:r>
        <w:separator/>
      </w:r>
    </w:p>
  </w:footnote>
  <w:footnote w:type="continuationSeparator" w:id="0">
    <w:p w14:paraId="7C43667F" w14:textId="77777777" w:rsidR="00A75096" w:rsidRDefault="00A75096" w:rsidP="00892A7B">
      <w:pPr>
        <w:spacing w:after="0" w:line="240" w:lineRule="auto"/>
      </w:pPr>
      <w:r>
        <w:continuationSeparator/>
      </w:r>
    </w:p>
  </w:footnote>
  <w:footnote w:id="1">
    <w:p w14:paraId="49F25618" w14:textId="77777777" w:rsidR="00892A7B" w:rsidRPr="00095C5B" w:rsidRDefault="00892A7B" w:rsidP="00892A7B">
      <w:pPr>
        <w:pStyle w:val="FootnoteText"/>
        <w:rPr>
          <w:rFonts w:asciiTheme="minorHAnsi" w:hAnsiTheme="minorHAnsi"/>
        </w:rPr>
      </w:pPr>
      <w:r w:rsidRPr="00095C5B">
        <w:rPr>
          <w:rStyle w:val="FootnoteReference"/>
          <w:rFonts w:asciiTheme="minorHAnsi" w:hAnsiTheme="minorHAnsi"/>
        </w:rPr>
        <w:t>7</w:t>
      </w:r>
      <w:r w:rsidRPr="00095C5B">
        <w:rPr>
          <w:rFonts w:asciiTheme="minorHAnsi" w:hAnsiTheme="minorHAnsi"/>
        </w:rPr>
        <w:t xml:space="preserve"> Thus, a soft drink competitor would be entitled to compare its product to Coca–Cola or Coke, but would not be entitled to use Coca–Cola’s distinctive lettering. </w:t>
      </w:r>
      <w:r w:rsidRPr="00095C5B">
        <w:rPr>
          <w:rFonts w:asciiTheme="minorHAnsi" w:hAnsiTheme="minorHAnsi"/>
          <w:i/>
        </w:rPr>
        <w:t xml:space="preserve">See </w:t>
      </w:r>
      <w:proofErr w:type="spellStart"/>
      <w:r w:rsidRPr="00095C5B">
        <w:rPr>
          <w:rFonts w:asciiTheme="minorHAnsi" w:hAnsiTheme="minorHAnsi"/>
          <w:i/>
        </w:rPr>
        <w:t>Volkswagenwerk</w:t>
      </w:r>
      <w:proofErr w:type="spellEnd"/>
      <w:r w:rsidRPr="00095C5B">
        <w:rPr>
          <w:rFonts w:asciiTheme="minorHAnsi" w:hAnsiTheme="minorHAnsi"/>
          <w:i/>
        </w:rPr>
        <w:t xml:space="preserve"> </w:t>
      </w:r>
      <w:proofErr w:type="spellStart"/>
      <w:r w:rsidRPr="00095C5B">
        <w:rPr>
          <w:rFonts w:asciiTheme="minorHAnsi" w:hAnsiTheme="minorHAnsi"/>
          <w:i/>
        </w:rPr>
        <w:t>Aktiengesellschaft</w:t>
      </w:r>
      <w:proofErr w:type="spellEnd"/>
      <w:r w:rsidRPr="00095C5B">
        <w:rPr>
          <w:rFonts w:asciiTheme="minorHAnsi" w:hAnsiTheme="minorHAnsi"/>
          <w:i/>
        </w:rPr>
        <w:t xml:space="preserve"> v. Church</w:t>
      </w:r>
      <w:r w:rsidRPr="00095C5B">
        <w:rPr>
          <w:rFonts w:asciiTheme="minorHAnsi" w:hAnsiTheme="minorHAnsi"/>
        </w:rPr>
        <w:t>, 411 F.2d 350, 352 (9th Cir. 1969) (“{In advertising that he specialized in Volkswagen repair,} Church did not use Volkswagen’s distinctive lettering style or color scheme, nor did he display the encircled ‘VW’ emblem” {and was therefore not infringing}). .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19E1" w14:textId="77777777" w:rsidR="00095C5B" w:rsidRPr="00546A59" w:rsidRDefault="00095C5B" w:rsidP="00095C5B">
    <w:pPr>
      <w:pStyle w:val="Header10"/>
      <w:rPr>
        <w:rFonts w:asciiTheme="minorHAnsi" w:hAnsiTheme="minorHAnsi"/>
      </w:rPr>
    </w:pPr>
    <w:r w:rsidRPr="00546A59">
      <w:rPr>
        <w:rFonts w:asciiTheme="minorHAnsi" w:hAnsiTheme="minorHAnsi"/>
      </w:rPr>
      <w:t>Beebe - Trademark Law: An Open-Access Casebook</w:t>
    </w:r>
  </w:p>
  <w:p w14:paraId="2107E2AC" w14:textId="77777777" w:rsidR="00095C5B" w:rsidRDefault="00095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7B"/>
    <w:rsid w:val="00095C5B"/>
    <w:rsid w:val="000A4AD4"/>
    <w:rsid w:val="000C53B3"/>
    <w:rsid w:val="001405E0"/>
    <w:rsid w:val="00250BF5"/>
    <w:rsid w:val="00340F6A"/>
    <w:rsid w:val="00892A7B"/>
    <w:rsid w:val="00A75096"/>
    <w:rsid w:val="00C712A7"/>
    <w:rsid w:val="00DC1D13"/>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E6C0"/>
  <w15:chartTrackingRefBased/>
  <w15:docId w15:val="{8DD47B37-F3C3-4614-AE6C-2AE432FA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7B"/>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892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2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2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92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92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92A7B"/>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892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2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2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92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92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92A7B"/>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892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A7B"/>
    <w:rPr>
      <w:rFonts w:eastAsiaTheme="majorEastAsia" w:cstheme="majorBidi"/>
      <w:color w:val="272727" w:themeColor="text1" w:themeTint="D8"/>
    </w:rPr>
  </w:style>
  <w:style w:type="paragraph" w:styleId="Title">
    <w:name w:val="Title"/>
    <w:basedOn w:val="Normal"/>
    <w:next w:val="Normal"/>
    <w:link w:val="TitleChar"/>
    <w:uiPriority w:val="10"/>
    <w:qFormat/>
    <w:rsid w:val="00892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A7B"/>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A7B"/>
    <w:pPr>
      <w:spacing w:before="160"/>
      <w:jc w:val="center"/>
    </w:pPr>
    <w:rPr>
      <w:i/>
      <w:iCs/>
      <w:color w:val="404040" w:themeColor="text1" w:themeTint="BF"/>
    </w:rPr>
  </w:style>
  <w:style w:type="character" w:customStyle="1" w:styleId="QuoteChar">
    <w:name w:val="Quote Char"/>
    <w:basedOn w:val="DefaultParagraphFont"/>
    <w:link w:val="Quote"/>
    <w:uiPriority w:val="29"/>
    <w:rsid w:val="00892A7B"/>
    <w:rPr>
      <w:i/>
      <w:iCs/>
      <w:color w:val="404040" w:themeColor="text1" w:themeTint="BF"/>
    </w:rPr>
  </w:style>
  <w:style w:type="paragraph" w:styleId="ListParagraph">
    <w:name w:val="List Paragraph"/>
    <w:basedOn w:val="Normal"/>
    <w:uiPriority w:val="34"/>
    <w:qFormat/>
    <w:rsid w:val="00892A7B"/>
    <w:pPr>
      <w:ind w:left="720"/>
      <w:contextualSpacing/>
    </w:pPr>
  </w:style>
  <w:style w:type="character" w:styleId="IntenseEmphasis">
    <w:name w:val="Intense Emphasis"/>
    <w:basedOn w:val="DefaultParagraphFont"/>
    <w:uiPriority w:val="21"/>
    <w:qFormat/>
    <w:rsid w:val="00892A7B"/>
    <w:rPr>
      <w:i/>
      <w:iCs/>
      <w:color w:val="0F4761" w:themeColor="accent1" w:themeShade="BF"/>
    </w:rPr>
  </w:style>
  <w:style w:type="paragraph" w:styleId="IntenseQuote">
    <w:name w:val="Intense Quote"/>
    <w:basedOn w:val="Normal"/>
    <w:next w:val="Normal"/>
    <w:link w:val="IntenseQuoteChar"/>
    <w:uiPriority w:val="30"/>
    <w:qFormat/>
    <w:rsid w:val="00892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A7B"/>
    <w:rPr>
      <w:i/>
      <w:iCs/>
      <w:color w:val="0F4761" w:themeColor="accent1" w:themeShade="BF"/>
    </w:rPr>
  </w:style>
  <w:style w:type="character" w:styleId="IntenseReference">
    <w:name w:val="Intense Reference"/>
    <w:basedOn w:val="DefaultParagraphFont"/>
    <w:uiPriority w:val="32"/>
    <w:qFormat/>
    <w:rsid w:val="00892A7B"/>
    <w:rPr>
      <w:b/>
      <w:bCs/>
      <w:smallCaps/>
      <w:color w:val="0F4761" w:themeColor="accent1" w:themeShade="BF"/>
      <w:spacing w:val="5"/>
    </w:rPr>
  </w:style>
  <w:style w:type="paragraph" w:customStyle="1" w:styleId="OpinionCitation">
    <w:name w:val="Opinion Citation"/>
    <w:basedOn w:val="Normal"/>
    <w:link w:val="OpinionCitationChar"/>
    <w:qFormat/>
    <w:rsid w:val="00892A7B"/>
    <w:pPr>
      <w:keepNext/>
      <w:spacing w:after="120"/>
      <w:ind w:firstLine="0"/>
    </w:pPr>
    <w:rPr>
      <w:b/>
    </w:rPr>
  </w:style>
  <w:style w:type="character" w:customStyle="1" w:styleId="OpinionCitationChar">
    <w:name w:val="Opinion Citation Char"/>
    <w:link w:val="OpinionCitation"/>
    <w:rsid w:val="00892A7B"/>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892A7B"/>
    <w:pPr>
      <w:ind w:left="576" w:right="576" w:firstLine="0"/>
    </w:pPr>
  </w:style>
  <w:style w:type="character" w:customStyle="1" w:styleId="BlockquoteChar">
    <w:name w:val="Blockquote Char"/>
    <w:link w:val="Blockquote"/>
    <w:rsid w:val="00892A7B"/>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892A7B"/>
    <w:rPr>
      <w:sz w:val="20"/>
    </w:rPr>
  </w:style>
  <w:style w:type="character" w:customStyle="1" w:styleId="FootnoteTextChar">
    <w:name w:val="Footnote Text Char"/>
    <w:basedOn w:val="DefaultParagraphFont"/>
    <w:link w:val="FootnoteText"/>
    <w:uiPriority w:val="99"/>
    <w:rsid w:val="00892A7B"/>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892A7B"/>
    <w:rPr>
      <w:vertAlign w:val="superscript"/>
    </w:rPr>
  </w:style>
  <w:style w:type="paragraph" w:styleId="BalloonText">
    <w:name w:val="Balloon Text"/>
    <w:basedOn w:val="Normal"/>
    <w:link w:val="BalloonTextChar"/>
    <w:uiPriority w:val="99"/>
    <w:semiHidden/>
    <w:unhideWhenUsed/>
    <w:rsid w:val="00892A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A7B"/>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892A7B"/>
    <w:pPr>
      <w:ind w:firstLine="0"/>
    </w:pPr>
  </w:style>
  <w:style w:type="character" w:customStyle="1" w:styleId="NormalNoIndentChar">
    <w:name w:val="Normal No Indent Char"/>
    <w:link w:val="NormalNoIndent"/>
    <w:rsid w:val="00892A7B"/>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892A7B"/>
    <w:pPr>
      <w:tabs>
        <w:tab w:val="center" w:pos="4680"/>
        <w:tab w:val="right" w:pos="9360"/>
      </w:tabs>
    </w:pPr>
  </w:style>
  <w:style w:type="character" w:customStyle="1" w:styleId="HeaderChar">
    <w:name w:val="Header Char"/>
    <w:basedOn w:val="DefaultParagraphFont"/>
    <w:link w:val="Header"/>
    <w:uiPriority w:val="99"/>
    <w:rsid w:val="00892A7B"/>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892A7B"/>
    <w:pPr>
      <w:tabs>
        <w:tab w:val="center" w:pos="4680"/>
        <w:tab w:val="right" w:pos="9360"/>
      </w:tabs>
    </w:pPr>
  </w:style>
  <w:style w:type="character" w:customStyle="1" w:styleId="FooterChar">
    <w:name w:val="Footer Char"/>
    <w:basedOn w:val="DefaultParagraphFont"/>
    <w:link w:val="Footer"/>
    <w:uiPriority w:val="99"/>
    <w:rsid w:val="00892A7B"/>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892A7B"/>
    <w:pPr>
      <w:keepNext/>
      <w:spacing w:before="120" w:after="120"/>
      <w:ind w:firstLine="0"/>
      <w:jc w:val="center"/>
    </w:pPr>
    <w:rPr>
      <w:b/>
    </w:rPr>
  </w:style>
  <w:style w:type="character" w:customStyle="1" w:styleId="CommentsandQuestionsChar">
    <w:name w:val="Comments and Questions Char"/>
    <w:link w:val="CommentsandQuestions"/>
    <w:rsid w:val="00892A7B"/>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892A7B"/>
    <w:pPr>
      <w:numPr>
        <w:numId w:val="3"/>
      </w:numPr>
      <w:contextualSpacing/>
    </w:pPr>
  </w:style>
  <w:style w:type="paragraph" w:customStyle="1" w:styleId="Dashbreak">
    <w:name w:val="Dash break"/>
    <w:basedOn w:val="NormalNoIndent"/>
    <w:link w:val="DashbreakChar"/>
    <w:qFormat/>
    <w:rsid w:val="00892A7B"/>
    <w:pPr>
      <w:spacing w:before="240" w:after="240"/>
      <w:jc w:val="center"/>
    </w:pPr>
  </w:style>
  <w:style w:type="character" w:customStyle="1" w:styleId="DashbreakChar">
    <w:name w:val="Dash break Char"/>
    <w:basedOn w:val="NormalNoIndentChar"/>
    <w:link w:val="Dashbreak"/>
    <w:rsid w:val="00892A7B"/>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892A7B"/>
    <w:pPr>
      <w:spacing w:after="120"/>
    </w:pPr>
  </w:style>
  <w:style w:type="character" w:customStyle="1" w:styleId="BodyTextChar">
    <w:name w:val="Body Text Char"/>
    <w:basedOn w:val="DefaultParagraphFont"/>
    <w:link w:val="BodyText"/>
    <w:uiPriority w:val="99"/>
    <w:semiHidden/>
    <w:rsid w:val="00892A7B"/>
    <w:rPr>
      <w:rFonts w:ascii="Cambria" w:eastAsia="Calibri" w:hAnsi="Cambria" w:cs="Times New Roman"/>
      <w:kern w:val="0"/>
      <w:sz w:val="22"/>
      <w:szCs w:val="20"/>
      <w14:ligatures w14:val="none"/>
    </w:rPr>
  </w:style>
  <w:style w:type="paragraph" w:customStyle="1" w:styleId="ReferenceLine">
    <w:name w:val="Reference Line"/>
    <w:basedOn w:val="BodyText"/>
    <w:rsid w:val="00892A7B"/>
  </w:style>
  <w:style w:type="character" w:styleId="Hyperlink">
    <w:name w:val="Hyperlink"/>
    <w:uiPriority w:val="99"/>
    <w:unhideWhenUsed/>
    <w:rsid w:val="00892A7B"/>
    <w:rPr>
      <w:color w:val="0000FF"/>
      <w:u w:val="single"/>
    </w:rPr>
  </w:style>
  <w:style w:type="paragraph" w:styleId="EndnoteText">
    <w:name w:val="endnote text"/>
    <w:basedOn w:val="Normal"/>
    <w:link w:val="EndnoteTextChar"/>
    <w:uiPriority w:val="99"/>
    <w:semiHidden/>
    <w:unhideWhenUsed/>
    <w:rsid w:val="00892A7B"/>
  </w:style>
  <w:style w:type="character" w:customStyle="1" w:styleId="EndnoteTextChar">
    <w:name w:val="Endnote Text Char"/>
    <w:basedOn w:val="DefaultParagraphFont"/>
    <w:link w:val="EndnoteText"/>
    <w:uiPriority w:val="99"/>
    <w:semiHidden/>
    <w:rsid w:val="00892A7B"/>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892A7B"/>
    <w:rPr>
      <w:vertAlign w:val="superscript"/>
    </w:rPr>
  </w:style>
  <w:style w:type="paragraph" w:styleId="TOCHeading">
    <w:name w:val="TOC Heading"/>
    <w:basedOn w:val="Heading1"/>
    <w:next w:val="Normal"/>
    <w:uiPriority w:val="39"/>
    <w:semiHidden/>
    <w:unhideWhenUsed/>
    <w:qFormat/>
    <w:rsid w:val="00892A7B"/>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892A7B"/>
    <w:pPr>
      <w:tabs>
        <w:tab w:val="right" w:leader="dot" w:pos="8784"/>
      </w:tabs>
      <w:ind w:left="270" w:hanging="270"/>
      <w:jc w:val="center"/>
    </w:pPr>
  </w:style>
  <w:style w:type="paragraph" w:styleId="TOC2">
    <w:name w:val="toc 2"/>
    <w:basedOn w:val="Normal"/>
    <w:next w:val="Normal"/>
    <w:autoRedefine/>
    <w:uiPriority w:val="39"/>
    <w:unhideWhenUsed/>
    <w:rsid w:val="00892A7B"/>
    <w:pPr>
      <w:tabs>
        <w:tab w:val="right" w:leader="dot" w:pos="8784"/>
      </w:tabs>
      <w:ind w:left="540" w:hanging="270"/>
    </w:pPr>
  </w:style>
  <w:style w:type="paragraph" w:styleId="TOC3">
    <w:name w:val="toc 3"/>
    <w:basedOn w:val="Normal"/>
    <w:next w:val="Normal"/>
    <w:autoRedefine/>
    <w:uiPriority w:val="39"/>
    <w:unhideWhenUsed/>
    <w:rsid w:val="00892A7B"/>
    <w:pPr>
      <w:tabs>
        <w:tab w:val="right" w:leader="dot" w:pos="8784"/>
      </w:tabs>
      <w:ind w:left="810" w:hanging="270"/>
    </w:pPr>
  </w:style>
  <w:style w:type="paragraph" w:styleId="TOC4">
    <w:name w:val="toc 4"/>
    <w:basedOn w:val="Normal"/>
    <w:next w:val="Normal"/>
    <w:autoRedefine/>
    <w:uiPriority w:val="39"/>
    <w:unhideWhenUsed/>
    <w:rsid w:val="00892A7B"/>
    <w:pPr>
      <w:tabs>
        <w:tab w:val="right" w:leader="dot" w:pos="8784"/>
      </w:tabs>
      <w:ind w:left="1080" w:hanging="270"/>
    </w:pPr>
  </w:style>
  <w:style w:type="paragraph" w:styleId="TOC5">
    <w:name w:val="toc 5"/>
    <w:basedOn w:val="Normal"/>
    <w:next w:val="Normal"/>
    <w:autoRedefine/>
    <w:uiPriority w:val="39"/>
    <w:unhideWhenUsed/>
    <w:rsid w:val="00892A7B"/>
    <w:pPr>
      <w:tabs>
        <w:tab w:val="right" w:leader="dot" w:pos="8784"/>
      </w:tabs>
      <w:ind w:left="1350" w:hanging="270"/>
    </w:pPr>
  </w:style>
  <w:style w:type="paragraph" w:styleId="TOC6">
    <w:name w:val="toc 6"/>
    <w:basedOn w:val="Normal"/>
    <w:next w:val="Normal"/>
    <w:autoRedefine/>
    <w:uiPriority w:val="39"/>
    <w:unhideWhenUsed/>
    <w:rsid w:val="00892A7B"/>
    <w:pPr>
      <w:tabs>
        <w:tab w:val="left" w:pos="1710"/>
        <w:tab w:val="right" w:leader="dot" w:pos="8784"/>
      </w:tabs>
      <w:ind w:left="1710" w:hanging="360"/>
    </w:pPr>
  </w:style>
  <w:style w:type="character" w:styleId="LineNumber">
    <w:name w:val="line number"/>
    <w:uiPriority w:val="99"/>
    <w:semiHidden/>
    <w:unhideWhenUsed/>
    <w:rsid w:val="00892A7B"/>
  </w:style>
  <w:style w:type="paragraph" w:customStyle="1" w:styleId="FootNote">
    <w:name w:val="_FootNote"/>
    <w:basedOn w:val="Normal"/>
    <w:link w:val="FootNoteChar"/>
    <w:rsid w:val="00892A7B"/>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892A7B"/>
    <w:rPr>
      <w:rFonts w:ascii="NewCenturySchlbk" w:eastAsia="Times New Roman" w:hAnsi="NewCenturySchlbk" w:cs="Times New Roman"/>
      <w:kern w:val="0"/>
      <w:sz w:val="16"/>
      <w14:ligatures w14:val="none"/>
    </w:rPr>
  </w:style>
  <w:style w:type="character" w:customStyle="1" w:styleId="NoterefInNote">
    <w:name w:val="_NoterefInNote"/>
    <w:rsid w:val="00892A7B"/>
    <w:rPr>
      <w:rFonts w:ascii="NewCenturySchlbk" w:hAnsi="NewCenturySchlbk" w:hint="default"/>
      <w:sz w:val="16"/>
      <w:vertAlign w:val="baseline"/>
    </w:rPr>
  </w:style>
  <w:style w:type="paragraph" w:customStyle="1" w:styleId="Centered">
    <w:name w:val="Centered"/>
    <w:basedOn w:val="Normal"/>
    <w:link w:val="CenteredChar"/>
    <w:qFormat/>
    <w:rsid w:val="00892A7B"/>
    <w:pPr>
      <w:ind w:firstLine="0"/>
      <w:jc w:val="center"/>
    </w:pPr>
    <w:rPr>
      <w:i/>
      <w:iCs/>
    </w:rPr>
  </w:style>
  <w:style w:type="character" w:customStyle="1" w:styleId="CenteredChar">
    <w:name w:val="Centered Char"/>
    <w:link w:val="Centered"/>
    <w:rsid w:val="00892A7B"/>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892A7B"/>
    <w:rPr>
      <w:i/>
    </w:rPr>
  </w:style>
  <w:style w:type="character" w:customStyle="1" w:styleId="OpinionheadingChar">
    <w:name w:val="Opinion heading Char"/>
    <w:link w:val="Opinionheading"/>
    <w:rsid w:val="00892A7B"/>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892A7B"/>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892A7B"/>
    <w:pPr>
      <w:tabs>
        <w:tab w:val="right" w:leader="dot" w:pos="8784"/>
      </w:tabs>
      <w:ind w:left="1710" w:firstLine="0"/>
    </w:pPr>
    <w:rPr>
      <w:i/>
    </w:rPr>
  </w:style>
  <w:style w:type="paragraph" w:styleId="TOC9">
    <w:name w:val="toc 9"/>
    <w:basedOn w:val="Normal"/>
    <w:next w:val="Normal"/>
    <w:autoRedefine/>
    <w:uiPriority w:val="39"/>
    <w:unhideWhenUsed/>
    <w:rsid w:val="00892A7B"/>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892A7B"/>
    <w:pPr>
      <w:ind w:firstLine="432"/>
    </w:pPr>
  </w:style>
  <w:style w:type="character" w:customStyle="1" w:styleId="BlockquoteindentChar">
    <w:name w:val="Blockquote indent Char"/>
    <w:basedOn w:val="BlockquoteChar"/>
    <w:link w:val="Blockquoteindent"/>
    <w:rsid w:val="00892A7B"/>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892A7B"/>
    <w:pPr>
      <w:jc w:val="center"/>
    </w:pPr>
  </w:style>
  <w:style w:type="character" w:customStyle="1" w:styleId="Normal-CenteredChar">
    <w:name w:val="*Normal-Centered Char"/>
    <w:basedOn w:val="NormalNoIndentChar"/>
    <w:link w:val="Normal-Centered"/>
    <w:rsid w:val="00892A7B"/>
    <w:rPr>
      <w:rFonts w:ascii="Cambria" w:eastAsia="Calibri" w:hAnsi="Cambria" w:cs="Times New Roman"/>
      <w:kern w:val="0"/>
      <w:sz w:val="22"/>
      <w:szCs w:val="20"/>
      <w14:ligatures w14:val="none"/>
    </w:rPr>
  </w:style>
  <w:style w:type="character" w:styleId="Emphasis">
    <w:name w:val="Emphasis"/>
    <w:uiPriority w:val="20"/>
    <w:qFormat/>
    <w:rsid w:val="00892A7B"/>
    <w:rPr>
      <w:i/>
      <w:iCs/>
    </w:rPr>
  </w:style>
  <w:style w:type="character" w:customStyle="1" w:styleId="cosearchterm">
    <w:name w:val="co_searchterm"/>
    <w:rsid w:val="00892A7B"/>
  </w:style>
  <w:style w:type="paragraph" w:customStyle="1" w:styleId="CommentsandQuestions0">
    <w:name w:val="CommentsandQuestions"/>
    <w:basedOn w:val="Normal-Centered"/>
    <w:rsid w:val="00892A7B"/>
    <w:rPr>
      <w:b/>
    </w:rPr>
  </w:style>
  <w:style w:type="character" w:styleId="FollowedHyperlink">
    <w:name w:val="FollowedHyperlink"/>
    <w:uiPriority w:val="99"/>
    <w:semiHidden/>
    <w:unhideWhenUsed/>
    <w:rsid w:val="00892A7B"/>
    <w:rPr>
      <w:color w:val="954F72"/>
      <w:u w:val="single"/>
    </w:rPr>
  </w:style>
  <w:style w:type="paragraph" w:customStyle="1" w:styleId="Dashedline">
    <w:name w:val="Dashed line"/>
    <w:basedOn w:val="CommentsandQuestions"/>
    <w:qFormat/>
    <w:rsid w:val="00892A7B"/>
    <w:pPr>
      <w:spacing w:after="240"/>
    </w:pPr>
  </w:style>
  <w:style w:type="character" w:styleId="CommentReference">
    <w:name w:val="annotation reference"/>
    <w:semiHidden/>
    <w:rsid w:val="00892A7B"/>
    <w:rPr>
      <w:sz w:val="16"/>
      <w:szCs w:val="16"/>
    </w:rPr>
  </w:style>
  <w:style w:type="paragraph" w:styleId="CommentText">
    <w:name w:val="annotation text"/>
    <w:basedOn w:val="Normal"/>
    <w:link w:val="CommentTextChar"/>
    <w:semiHidden/>
    <w:rsid w:val="00892A7B"/>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892A7B"/>
    <w:rPr>
      <w:rFonts w:ascii="Times New Roman" w:eastAsia="Times New Roman" w:hAnsi="Times New Roman" w:cs="Times New Roman"/>
      <w:kern w:val="0"/>
      <w:sz w:val="22"/>
      <w:szCs w:val="20"/>
      <w14:ligatures w14:val="none"/>
    </w:rPr>
  </w:style>
  <w:style w:type="character" w:customStyle="1" w:styleId="ptext-">
    <w:name w:val="ptext-"/>
    <w:rsid w:val="00892A7B"/>
  </w:style>
  <w:style w:type="paragraph" w:customStyle="1" w:styleId="NormalCentered">
    <w:name w:val="NormalCentered"/>
    <w:basedOn w:val="Normal"/>
    <w:link w:val="NormalCenteredChar"/>
    <w:qFormat/>
    <w:rsid w:val="00892A7B"/>
    <w:pPr>
      <w:ind w:firstLine="0"/>
      <w:jc w:val="center"/>
    </w:pPr>
  </w:style>
  <w:style w:type="character" w:customStyle="1" w:styleId="NormalCenteredChar">
    <w:name w:val="NormalCentered Char"/>
    <w:link w:val="NormalCentered"/>
    <w:rsid w:val="00892A7B"/>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892A7B"/>
    <w:pPr>
      <w:ind w:hanging="36"/>
    </w:pPr>
  </w:style>
  <w:style w:type="paragraph" w:customStyle="1" w:styleId="NormCntrItal">
    <w:name w:val="NormCntrItal"/>
    <w:basedOn w:val="NormalCentered"/>
    <w:qFormat/>
    <w:rsid w:val="00892A7B"/>
    <w:pPr>
      <w:keepNext/>
      <w:keepLines/>
    </w:pPr>
    <w:rPr>
      <w:i/>
      <w:szCs w:val="22"/>
    </w:rPr>
  </w:style>
  <w:style w:type="character" w:customStyle="1" w:styleId="ssrfcpassagedeactivated">
    <w:name w:val="ss_rfcpassage_deactivated"/>
    <w:rsid w:val="00892A7B"/>
  </w:style>
  <w:style w:type="character" w:customStyle="1" w:styleId="costarpage">
    <w:name w:val="co_starpage"/>
    <w:rsid w:val="00892A7B"/>
  </w:style>
  <w:style w:type="paragraph" w:customStyle="1" w:styleId="CenteredBold">
    <w:name w:val="Centered Bold"/>
    <w:basedOn w:val="Centered"/>
    <w:link w:val="CenteredBoldChar"/>
    <w:qFormat/>
    <w:rsid w:val="00892A7B"/>
    <w:rPr>
      <w:b/>
      <w:i w:val="0"/>
    </w:rPr>
  </w:style>
  <w:style w:type="character" w:customStyle="1" w:styleId="CenteredBoldChar">
    <w:name w:val="Centered Bold Char"/>
    <w:link w:val="CenteredBold"/>
    <w:rsid w:val="00892A7B"/>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892A7B"/>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892A7B"/>
    <w:rPr>
      <w:rFonts w:ascii="Cambria" w:eastAsia="Calibri" w:hAnsi="Cambria" w:cs="Times New Roman"/>
      <w:b/>
      <w:bCs/>
      <w:kern w:val="0"/>
      <w:sz w:val="22"/>
      <w:szCs w:val="20"/>
      <w14:ligatures w14:val="none"/>
    </w:rPr>
  </w:style>
  <w:style w:type="paragraph" w:styleId="Revision">
    <w:name w:val="Revision"/>
    <w:hidden/>
    <w:uiPriority w:val="99"/>
    <w:semiHidden/>
    <w:rsid w:val="00892A7B"/>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892A7B"/>
    <w:pPr>
      <w:ind w:firstLine="0"/>
      <w:jc w:val="center"/>
    </w:pPr>
    <w:rPr>
      <w:noProof/>
    </w:rPr>
  </w:style>
  <w:style w:type="character" w:customStyle="1" w:styleId="cosearchdetaillevel1">
    <w:name w:val="co_search_detaillevel_1"/>
    <w:rsid w:val="00892A7B"/>
  </w:style>
  <w:style w:type="table" w:styleId="TableGrid">
    <w:name w:val="Table Grid"/>
    <w:basedOn w:val="TableNormal"/>
    <w:uiPriority w:val="59"/>
    <w:rsid w:val="00892A7B"/>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892A7B"/>
    <w:pPr>
      <w:ind w:firstLine="432"/>
    </w:pPr>
  </w:style>
  <w:style w:type="paragraph" w:customStyle="1" w:styleId="doubleblockquote">
    <w:name w:val="doubleblockquote"/>
    <w:basedOn w:val="Blockquoteindent"/>
    <w:qFormat/>
    <w:rsid w:val="00892A7B"/>
    <w:pPr>
      <w:ind w:left="1008" w:right="1008"/>
    </w:pPr>
  </w:style>
  <w:style w:type="paragraph" w:customStyle="1" w:styleId="CntrdNoItal">
    <w:name w:val="CntrdNoItal"/>
    <w:basedOn w:val="Centered"/>
    <w:qFormat/>
    <w:rsid w:val="00892A7B"/>
    <w:rPr>
      <w:i w:val="0"/>
    </w:rPr>
  </w:style>
  <w:style w:type="paragraph" w:customStyle="1" w:styleId="NoIndentItalics">
    <w:name w:val="NoIndentItalics"/>
    <w:basedOn w:val="NormalNoIndent"/>
    <w:qFormat/>
    <w:rsid w:val="00892A7B"/>
    <w:rPr>
      <w:i/>
      <w:iCs/>
    </w:rPr>
  </w:style>
  <w:style w:type="paragraph" w:customStyle="1" w:styleId="HalfBlock">
    <w:name w:val="HalfBlock"/>
    <w:basedOn w:val="NormalNoIndent"/>
    <w:qFormat/>
    <w:rsid w:val="00892A7B"/>
    <w:pPr>
      <w:ind w:left="432"/>
    </w:pPr>
  </w:style>
  <w:style w:type="character" w:customStyle="1" w:styleId="ssleftalign">
    <w:name w:val="ss_leftalign"/>
    <w:rsid w:val="00892A7B"/>
  </w:style>
  <w:style w:type="character" w:customStyle="1" w:styleId="UnresolvedMention1">
    <w:name w:val="Unresolved Mention1"/>
    <w:uiPriority w:val="99"/>
    <w:semiHidden/>
    <w:unhideWhenUsed/>
    <w:rsid w:val="00892A7B"/>
    <w:rPr>
      <w:color w:val="605E5C"/>
      <w:shd w:val="clear" w:color="auto" w:fill="E1DFDD"/>
    </w:rPr>
  </w:style>
  <w:style w:type="paragraph" w:customStyle="1" w:styleId="Footer-V-Date">
    <w:name w:val="Footer-V-Date"/>
    <w:basedOn w:val="NormalNoIndent"/>
    <w:link w:val="Footer-V-DateChar"/>
    <w:qFormat/>
    <w:rsid w:val="00892A7B"/>
    <w:rPr>
      <w:sz w:val="16"/>
      <w:szCs w:val="16"/>
    </w:rPr>
  </w:style>
  <w:style w:type="paragraph" w:customStyle="1" w:styleId="DoubleBlockQuote0">
    <w:name w:val="DoubleBlockQuote"/>
    <w:basedOn w:val="Blockquoteindent"/>
    <w:link w:val="DoubleBlockQuoteChar"/>
    <w:qFormat/>
    <w:rsid w:val="00892A7B"/>
    <w:pPr>
      <w:ind w:left="1152" w:right="1152" w:firstLine="0"/>
    </w:pPr>
  </w:style>
  <w:style w:type="character" w:customStyle="1" w:styleId="Footer-V-DateChar">
    <w:name w:val="Footer-V-Date Char"/>
    <w:link w:val="Footer-V-Date"/>
    <w:rsid w:val="00892A7B"/>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892A7B"/>
    <w:pPr>
      <w:ind w:left="1008" w:firstLine="0"/>
    </w:pPr>
  </w:style>
  <w:style w:type="character" w:customStyle="1" w:styleId="DoubleBlockQuoteChar">
    <w:name w:val="DoubleBlockQuote Char"/>
    <w:basedOn w:val="BlockquoteindentChar"/>
    <w:link w:val="DoubleBlockQuote0"/>
    <w:rsid w:val="00892A7B"/>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892A7B"/>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892A7B"/>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892A7B"/>
    <w:pPr>
      <w:ind w:left="1350" w:hanging="774"/>
    </w:pPr>
  </w:style>
  <w:style w:type="character" w:customStyle="1" w:styleId="TimeProgressionChar">
    <w:name w:val="TimeProgression Char"/>
    <w:basedOn w:val="BlockquoteChar"/>
    <w:link w:val="TimeProgression"/>
    <w:rsid w:val="00892A7B"/>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892A7B"/>
    <w:rPr>
      <w:sz w:val="20"/>
    </w:rPr>
  </w:style>
  <w:style w:type="character" w:customStyle="1" w:styleId="PagenumberChar">
    <w:name w:val="Pagenumber Char"/>
    <w:basedOn w:val="Normal-CenteredChar"/>
    <w:link w:val="Pagenumber"/>
    <w:rsid w:val="00892A7B"/>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892A7B"/>
    <w:rPr>
      <w:sz w:val="20"/>
    </w:rPr>
  </w:style>
  <w:style w:type="character" w:customStyle="1" w:styleId="Header10Char">
    <w:name w:val="Header10 Char"/>
    <w:basedOn w:val="CenteredChar"/>
    <w:link w:val="Header10"/>
    <w:rsid w:val="00892A7B"/>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892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2025-07-23T08:41:00Z</dcterms:created>
  <dcterms:modified xsi:type="dcterms:W3CDTF">2025-07-24T14:51:00Z</dcterms:modified>
</cp:coreProperties>
</file>