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6598" w14:textId="77777777" w:rsidR="00A84718" w:rsidRDefault="00A84718" w:rsidP="00F31323">
      <w:pPr>
        <w:spacing w:after="160" w:line="278" w:lineRule="auto"/>
        <w:ind w:firstLine="0"/>
        <w:jc w:val="center"/>
        <w:rPr>
          <w:sz w:val="44"/>
          <w:szCs w:val="44"/>
        </w:rPr>
      </w:pPr>
    </w:p>
    <w:p w14:paraId="1E952C4D" w14:textId="6E9D7C67" w:rsidR="00F31323" w:rsidRPr="00F31323" w:rsidRDefault="00F31323" w:rsidP="00F31323">
      <w:pPr>
        <w:spacing w:after="160" w:line="278" w:lineRule="auto"/>
        <w:ind w:firstLine="0"/>
        <w:jc w:val="center"/>
        <w:rPr>
          <w:rFonts w:asciiTheme="majorHAnsi" w:eastAsiaTheme="majorEastAsia" w:hAnsiTheme="majorHAnsi" w:cstheme="majorBidi"/>
          <w:color w:val="0F4761" w:themeColor="accent1" w:themeShade="BF"/>
          <w:sz w:val="40"/>
          <w:szCs w:val="40"/>
        </w:rPr>
      </w:pPr>
      <w:r w:rsidRPr="00FE3822">
        <w:rPr>
          <w:sz w:val="44"/>
          <w:szCs w:val="44"/>
        </w:rPr>
        <w:t>An Open-Access Casebook</w:t>
      </w:r>
    </w:p>
    <w:p w14:paraId="5BD15565" w14:textId="77777777" w:rsidR="00F31323" w:rsidRDefault="00F31323" w:rsidP="00F31323">
      <w:pPr>
        <w:pStyle w:val="NormalCentered"/>
      </w:pPr>
    </w:p>
    <w:p w14:paraId="08C5F237" w14:textId="77777777" w:rsidR="00F31323" w:rsidRDefault="00F31323" w:rsidP="00F31323">
      <w:pPr>
        <w:pStyle w:val="NormalCentered"/>
        <w:rPr>
          <w:sz w:val="32"/>
          <w:szCs w:val="32"/>
        </w:rPr>
      </w:pPr>
    </w:p>
    <w:p w14:paraId="2CE9D863" w14:textId="77777777" w:rsidR="00F31323" w:rsidRPr="00566252" w:rsidRDefault="00F31323" w:rsidP="00F31323">
      <w:pPr>
        <w:pStyle w:val="NormalCentered"/>
        <w:rPr>
          <w:caps/>
          <w:sz w:val="32"/>
          <w:szCs w:val="32"/>
        </w:rPr>
      </w:pPr>
    </w:p>
    <w:p w14:paraId="221F0E7B" w14:textId="77777777" w:rsidR="00F31323" w:rsidRPr="000B428E" w:rsidRDefault="00F31323" w:rsidP="00F31323">
      <w:pPr>
        <w:pStyle w:val="NormalCentered"/>
        <w:rPr>
          <w:sz w:val="28"/>
          <w:szCs w:val="28"/>
          <w:lang w:val="de-DE"/>
        </w:rPr>
      </w:pPr>
      <w:r w:rsidRPr="000B428E">
        <w:rPr>
          <w:sz w:val="28"/>
          <w:szCs w:val="28"/>
          <w:lang w:val="de-DE"/>
        </w:rPr>
        <w:t>Version 12 (2025)</w:t>
      </w:r>
    </w:p>
    <w:p w14:paraId="1C7B4739" w14:textId="77777777" w:rsidR="00F31323" w:rsidRPr="000B428E" w:rsidRDefault="00F31323" w:rsidP="00F31323">
      <w:pPr>
        <w:pStyle w:val="NormalCentered"/>
        <w:rPr>
          <w:sz w:val="28"/>
          <w:szCs w:val="28"/>
          <w:lang w:val="de-DE"/>
        </w:rPr>
      </w:pPr>
      <w:r w:rsidRPr="000B428E">
        <w:rPr>
          <w:sz w:val="28"/>
          <w:szCs w:val="28"/>
          <w:lang w:val="de-DE"/>
        </w:rPr>
        <w:t>Digital Edition</w:t>
      </w:r>
    </w:p>
    <w:p w14:paraId="40681492" w14:textId="77777777" w:rsidR="00F31323" w:rsidRPr="000B428E" w:rsidRDefault="00F31323" w:rsidP="00F31323">
      <w:pPr>
        <w:pStyle w:val="NormalCentered"/>
        <w:rPr>
          <w:sz w:val="28"/>
          <w:szCs w:val="28"/>
          <w:lang w:val="de-DE"/>
        </w:rPr>
      </w:pPr>
      <w:r w:rsidRPr="000B428E">
        <w:rPr>
          <w:sz w:val="28"/>
          <w:szCs w:val="28"/>
          <w:lang w:val="de-DE"/>
        </w:rPr>
        <w:t>www.tmcasebook.org</w:t>
      </w:r>
    </w:p>
    <w:p w14:paraId="73EA0E16" w14:textId="77777777" w:rsidR="00F31323" w:rsidRDefault="00F31323" w:rsidP="00F31323">
      <w:pPr>
        <w:pStyle w:val="NormalCentered"/>
        <w:rPr>
          <w:sz w:val="32"/>
          <w:szCs w:val="32"/>
          <w:lang w:val="de-DE"/>
        </w:rPr>
      </w:pPr>
    </w:p>
    <w:p w14:paraId="752B5527" w14:textId="77777777" w:rsidR="00F31323" w:rsidRDefault="00F31323" w:rsidP="00F31323">
      <w:pPr>
        <w:pStyle w:val="NormalCentered"/>
        <w:rPr>
          <w:sz w:val="32"/>
          <w:szCs w:val="32"/>
          <w:lang w:val="de-DE"/>
        </w:rPr>
      </w:pPr>
    </w:p>
    <w:p w14:paraId="1A6EC06B" w14:textId="77777777" w:rsidR="00F31323" w:rsidRPr="0065729C" w:rsidRDefault="00F31323" w:rsidP="00F31323">
      <w:pPr>
        <w:pStyle w:val="NormalCentered"/>
        <w:rPr>
          <w:sz w:val="32"/>
          <w:szCs w:val="32"/>
          <w:lang w:val="de-DE"/>
        </w:rPr>
      </w:pPr>
    </w:p>
    <w:p w14:paraId="25D8771B" w14:textId="77777777" w:rsidR="00F31323" w:rsidRPr="0065729C" w:rsidRDefault="00F31323" w:rsidP="00F31323">
      <w:pPr>
        <w:pStyle w:val="NormalCentered"/>
        <w:rPr>
          <w:sz w:val="32"/>
          <w:szCs w:val="32"/>
          <w:lang w:val="de-DE"/>
        </w:rPr>
      </w:pPr>
    </w:p>
    <w:p w14:paraId="7C5DFD0E" w14:textId="77777777" w:rsidR="00F31323" w:rsidRPr="000B428E" w:rsidRDefault="00F31323" w:rsidP="00F31323">
      <w:pPr>
        <w:pStyle w:val="NormalCentered"/>
        <w:rPr>
          <w:sz w:val="28"/>
          <w:szCs w:val="28"/>
        </w:rPr>
      </w:pPr>
      <w:r w:rsidRPr="000B428E">
        <w:rPr>
          <w:sz w:val="28"/>
          <w:szCs w:val="28"/>
        </w:rPr>
        <w:t>Barton Beebe</w:t>
      </w:r>
    </w:p>
    <w:p w14:paraId="3CC1EF68" w14:textId="77777777" w:rsidR="00F31323" w:rsidRPr="000B428E" w:rsidRDefault="00F31323" w:rsidP="00F31323">
      <w:pPr>
        <w:pStyle w:val="NormalCentered"/>
        <w:rPr>
          <w:sz w:val="28"/>
          <w:szCs w:val="28"/>
        </w:rPr>
      </w:pPr>
      <w:r w:rsidRPr="000B428E">
        <w:rPr>
          <w:sz w:val="28"/>
          <w:szCs w:val="28"/>
        </w:rPr>
        <w:t>John M. Desmarais Professor of Intellectual Property Law</w:t>
      </w:r>
    </w:p>
    <w:p w14:paraId="770A4337" w14:textId="77777777" w:rsidR="00F31323" w:rsidRPr="0065729C" w:rsidRDefault="00F31323" w:rsidP="00F31323">
      <w:pPr>
        <w:pStyle w:val="NormalCentered"/>
        <w:rPr>
          <w:sz w:val="32"/>
          <w:szCs w:val="32"/>
        </w:rPr>
      </w:pPr>
      <w:r w:rsidRPr="000B428E">
        <w:rPr>
          <w:sz w:val="28"/>
          <w:szCs w:val="28"/>
        </w:rPr>
        <w:t>New York University School of Law</w:t>
      </w:r>
    </w:p>
    <w:p w14:paraId="5FC19E66" w14:textId="77777777" w:rsidR="00F31323" w:rsidRDefault="00F31323" w:rsidP="00F31323">
      <w:pPr>
        <w:pStyle w:val="TOC1"/>
      </w:pPr>
    </w:p>
    <w:p w14:paraId="21E68DFE" w14:textId="77777777" w:rsidR="00F31323" w:rsidRDefault="00F31323" w:rsidP="00F31323"/>
    <w:p w14:paraId="24E20212" w14:textId="77777777" w:rsidR="00F31323" w:rsidRDefault="00F31323" w:rsidP="00F31323"/>
    <w:p w14:paraId="0D763A3E" w14:textId="77777777" w:rsidR="00F31323" w:rsidRPr="00ED0B13" w:rsidRDefault="00F31323" w:rsidP="00F31323"/>
    <w:p w14:paraId="0BA51DDD" w14:textId="77777777" w:rsidR="00F31323" w:rsidRPr="00ED0B13" w:rsidRDefault="00F31323" w:rsidP="00F31323"/>
    <w:p w14:paraId="587769BF" w14:textId="77777777" w:rsidR="00F31323" w:rsidRPr="00ED0B13" w:rsidRDefault="00F31323" w:rsidP="00F31323">
      <w:pPr>
        <w:pStyle w:val="TOC1"/>
      </w:pPr>
    </w:p>
    <w:p w14:paraId="7820A2A5" w14:textId="77777777" w:rsidR="00F31323" w:rsidRDefault="00F31323" w:rsidP="00F31323">
      <w:pPr>
        <w:pStyle w:val="TOC1"/>
      </w:pPr>
      <w:r w:rsidRPr="00ED0B13">
        <w:t>This work is licensed under a Creative Commons Attribution-</w:t>
      </w:r>
      <w:proofErr w:type="spellStart"/>
      <w:r w:rsidRPr="00ED0B13">
        <w:t>NonCommercial</w:t>
      </w:r>
      <w:proofErr w:type="spellEnd"/>
      <w:r w:rsidRPr="00ED0B13">
        <w:t>-</w:t>
      </w:r>
    </w:p>
    <w:p w14:paraId="170C811D" w14:textId="77777777" w:rsidR="00F31323" w:rsidRPr="00ED0B13" w:rsidRDefault="00F31323" w:rsidP="00F31323">
      <w:pPr>
        <w:pStyle w:val="TOC1"/>
      </w:pPr>
      <w:proofErr w:type="spellStart"/>
      <w:r w:rsidRPr="00ED0B13">
        <w:t>ShareAlike</w:t>
      </w:r>
      <w:proofErr w:type="spellEnd"/>
      <w:r w:rsidRPr="00ED0B13">
        <w:t xml:space="preserve"> 4.0 International License.</w:t>
      </w:r>
    </w:p>
    <w:p w14:paraId="265BCFB0" w14:textId="77777777" w:rsidR="00F31323" w:rsidRDefault="00F31323" w:rsidP="00F31323">
      <w:pPr>
        <w:pStyle w:val="Heading4"/>
        <w:ind w:firstLine="0"/>
        <w:jc w:val="center"/>
        <w:rPr>
          <w:rFonts w:asciiTheme="majorHAnsi" w:hAnsiTheme="majorHAnsi"/>
          <w:i w:val="0"/>
          <w:iCs w:val="0"/>
          <w:sz w:val="40"/>
          <w:szCs w:val="40"/>
        </w:rPr>
      </w:pPr>
      <w:r>
        <w:rPr>
          <w:noProof/>
        </w:rPr>
        <w:drawing>
          <wp:inline distT="0" distB="0" distL="0" distR="0" wp14:anchorId="0ED4FE92" wp14:editId="1C36DEB7">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1FDA7636" w14:textId="77777777" w:rsidR="00F31323" w:rsidRDefault="00F31323">
      <w:pPr>
        <w:spacing w:after="160" w:line="278" w:lineRule="auto"/>
        <w:ind w:firstLine="0"/>
        <w:jc w:val="left"/>
        <w:rPr>
          <w:rFonts w:asciiTheme="majorHAnsi" w:eastAsiaTheme="majorEastAsia" w:hAnsiTheme="majorHAnsi" w:cstheme="majorBidi"/>
          <w:color w:val="0F4761" w:themeColor="accent1" w:themeShade="BF"/>
          <w:sz w:val="40"/>
          <w:szCs w:val="40"/>
        </w:rPr>
      </w:pPr>
      <w:r>
        <w:rPr>
          <w:rFonts w:asciiTheme="majorHAnsi" w:hAnsiTheme="majorHAnsi"/>
          <w:i/>
          <w:iCs/>
          <w:sz w:val="40"/>
          <w:szCs w:val="40"/>
        </w:rPr>
        <w:br w:type="page"/>
      </w:r>
    </w:p>
    <w:p w14:paraId="1A49E0E7" w14:textId="2B3B5FE4" w:rsidR="00F31323" w:rsidRPr="00A84718" w:rsidRDefault="00F31323" w:rsidP="00F31323">
      <w:pPr>
        <w:pStyle w:val="Heading4"/>
        <w:ind w:firstLine="0"/>
        <w:rPr>
          <w:rFonts w:asciiTheme="minorHAnsi" w:hAnsiTheme="minorHAnsi"/>
          <w:i w:val="0"/>
          <w:iCs w:val="0"/>
          <w:sz w:val="40"/>
          <w:szCs w:val="40"/>
        </w:rPr>
      </w:pPr>
      <w:r w:rsidRPr="00A84718">
        <w:rPr>
          <w:rFonts w:asciiTheme="minorHAnsi" w:hAnsiTheme="minorHAnsi"/>
          <w:i w:val="0"/>
          <w:iCs w:val="0"/>
          <w:sz w:val="40"/>
          <w:szCs w:val="40"/>
        </w:rPr>
        <w:lastRenderedPageBreak/>
        <w:t>Acquired Distinctiveness of Source</w:t>
      </w:r>
    </w:p>
    <w:p w14:paraId="1F45ADF3"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A descriptive, and thus non-inherently distinctive, mark may qualify for protection if it is shown to have developed “acquired distinctiveness” or “secondary meaning” (the two terms mean the same thing) as a designation of source. For example, though the term “American Airlines” is highly descriptive of an airline service based in the U.S., the term has developed enormous secondary meaning as a designation of source through use and advertising. As the Supreme Court commented in </w:t>
      </w:r>
      <w:r w:rsidRPr="00A84718">
        <w:rPr>
          <w:rFonts w:asciiTheme="minorHAnsi" w:hAnsiTheme="minorHAnsi"/>
          <w:i/>
          <w:sz w:val="24"/>
          <w:szCs w:val="22"/>
        </w:rPr>
        <w:t>Wal-Mart Stores, Inc. v. Samara Bros., Inc</w:t>
      </w:r>
      <w:r w:rsidRPr="00A84718">
        <w:rPr>
          <w:rFonts w:asciiTheme="minorHAnsi" w:hAnsiTheme="minorHAnsi"/>
          <w:sz w:val="24"/>
          <w:szCs w:val="22"/>
        </w:rPr>
        <w:t>., 529 U.S. 205 (2000), the term “secondary meaning” is not as clear as it could be:</w:t>
      </w:r>
    </w:p>
    <w:p w14:paraId="4F2F0750"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The phrase “secondary meaning” originally arose in the context of word marks, where it served to distinguish the source-identifying meaning from the ordinary, or “primary,” meaning of the word. “Secondary meaning” has since come to refer to the acquired, source-identifying meaning of a nonword mark as well. It is often a misnomer in that context, since nonword marks ordinarily have no “primary” meaning. Clarity might well be served by using the term “acquired meaning” in both the word-mark and the nonword-mark contexts—but in this opinion we follow what has become the conventional terminology.</w:t>
      </w:r>
    </w:p>
    <w:p w14:paraId="5A385F34"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sz w:val="24"/>
          <w:szCs w:val="22"/>
        </w:rPr>
        <w:t xml:space="preserve"> </w:t>
      </w:r>
      <w:r w:rsidRPr="00A84718">
        <w:rPr>
          <w:rFonts w:asciiTheme="minorHAnsi" w:hAnsiTheme="minorHAnsi"/>
          <w:i/>
          <w:sz w:val="24"/>
          <w:szCs w:val="22"/>
        </w:rPr>
        <w:t>Id</w:t>
      </w:r>
      <w:r w:rsidRPr="00A84718">
        <w:rPr>
          <w:rFonts w:asciiTheme="minorHAnsi" w:hAnsiTheme="minorHAnsi"/>
          <w:sz w:val="24"/>
          <w:szCs w:val="22"/>
        </w:rPr>
        <w:t>. at 211 fn. Indeed, most trademark practitioners still continue as a matter of tradition to use the term “secondary meaning” rather than “acquired distinctiveness.”</w:t>
      </w:r>
    </w:p>
    <w:p w14:paraId="3FA9313F"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Each circuit typically uses its own multifactor test to determine if a mark has developed secondary meaning. They are generally quite similar. Here are some examples of these tests:</w:t>
      </w:r>
    </w:p>
    <w:p w14:paraId="58D3122E" w14:textId="77777777" w:rsidR="00F31323" w:rsidRPr="00A84718" w:rsidRDefault="00F31323" w:rsidP="00F31323">
      <w:pPr>
        <w:numPr>
          <w:ilvl w:val="0"/>
          <w:numId w:val="7"/>
        </w:numPr>
        <w:rPr>
          <w:rFonts w:asciiTheme="minorHAnsi" w:hAnsiTheme="minorHAnsi"/>
          <w:sz w:val="24"/>
          <w:szCs w:val="22"/>
        </w:rPr>
      </w:pPr>
      <w:r w:rsidRPr="00A84718">
        <w:rPr>
          <w:rFonts w:asciiTheme="minorHAnsi" w:hAnsiTheme="minorHAnsi"/>
          <w:sz w:val="24"/>
          <w:szCs w:val="22"/>
        </w:rPr>
        <w:t xml:space="preserve">Second Circuit: “(1) advertising expenditures, (2) consumer studies linking the mark to a source, (3) unsolicited media coverage of the product, (4) sales success, (5) attempts to plagiarize the mark, and (6) length and exclusivity of the mark’s use.” </w:t>
      </w:r>
      <w:r w:rsidRPr="00A84718">
        <w:rPr>
          <w:rFonts w:asciiTheme="minorHAnsi" w:hAnsiTheme="minorHAnsi"/>
          <w:i/>
          <w:sz w:val="24"/>
          <w:szCs w:val="22"/>
        </w:rPr>
        <w:t>Genesee Brewing Co. v. Stroh Brewing Co</w:t>
      </w:r>
      <w:r w:rsidRPr="00A84718">
        <w:rPr>
          <w:rFonts w:asciiTheme="minorHAnsi" w:hAnsiTheme="minorHAnsi"/>
          <w:sz w:val="24"/>
          <w:szCs w:val="22"/>
        </w:rPr>
        <w:t>., 124 F.3d 137, 143 n.4 (2d Cir. 1997).</w:t>
      </w:r>
    </w:p>
    <w:p w14:paraId="346D55D0" w14:textId="77777777" w:rsidR="00F31323" w:rsidRPr="00A84718" w:rsidRDefault="00F31323" w:rsidP="00F31323">
      <w:pPr>
        <w:numPr>
          <w:ilvl w:val="0"/>
          <w:numId w:val="7"/>
        </w:numPr>
        <w:rPr>
          <w:rFonts w:asciiTheme="minorHAnsi" w:hAnsiTheme="minorHAnsi"/>
          <w:sz w:val="24"/>
          <w:szCs w:val="22"/>
        </w:rPr>
      </w:pPr>
      <w:r w:rsidRPr="00A84718">
        <w:rPr>
          <w:rFonts w:asciiTheme="minorHAnsi" w:hAnsiTheme="minorHAnsi"/>
          <w:sz w:val="24"/>
          <w:szCs w:val="22"/>
        </w:rPr>
        <w:t xml:space="preserve">Third Circuit: “We have identified an eleven-item, non-exhaustive list of factors relevant to the factual determination whether a term has acquired secondary meaning: (1) the extent of sales and advertising leading to buyer association; (2) length of use; (3) exclusivity of use; (4) the fact of copying; (5) customer surveys; (6) customer testimony; (7) the use of the mark in trade journals; (8) the size of the company; (9) the number of sales; (10) the number of customers; and, (11) actual confusion.” </w:t>
      </w:r>
      <w:r w:rsidRPr="00A84718">
        <w:rPr>
          <w:rFonts w:asciiTheme="minorHAnsi" w:hAnsiTheme="minorHAnsi"/>
          <w:i/>
          <w:sz w:val="24"/>
          <w:szCs w:val="22"/>
        </w:rPr>
        <w:t xml:space="preserve">E.T. Browne Drug Co. v. </w:t>
      </w:r>
      <w:proofErr w:type="spellStart"/>
      <w:r w:rsidRPr="00A84718">
        <w:rPr>
          <w:rFonts w:asciiTheme="minorHAnsi" w:hAnsiTheme="minorHAnsi"/>
          <w:i/>
          <w:sz w:val="24"/>
          <w:szCs w:val="22"/>
        </w:rPr>
        <w:t>Cococare</w:t>
      </w:r>
      <w:proofErr w:type="spellEnd"/>
      <w:r w:rsidRPr="00A84718">
        <w:rPr>
          <w:rFonts w:asciiTheme="minorHAnsi" w:hAnsiTheme="minorHAnsi"/>
          <w:i/>
          <w:sz w:val="24"/>
          <w:szCs w:val="22"/>
        </w:rPr>
        <w:t xml:space="preserve"> Products, Inc</w:t>
      </w:r>
      <w:r w:rsidRPr="00A84718">
        <w:rPr>
          <w:rFonts w:asciiTheme="minorHAnsi" w:hAnsiTheme="minorHAnsi"/>
          <w:sz w:val="24"/>
          <w:szCs w:val="22"/>
        </w:rPr>
        <w:t>., 538 F.3d 185, 199 (3d  Cir. 2008).</w:t>
      </w:r>
    </w:p>
    <w:p w14:paraId="6181E401" w14:textId="77777777" w:rsidR="00F31323" w:rsidRPr="00A84718" w:rsidRDefault="00F31323" w:rsidP="00F31323">
      <w:pPr>
        <w:numPr>
          <w:ilvl w:val="0"/>
          <w:numId w:val="7"/>
        </w:numPr>
        <w:rPr>
          <w:rFonts w:asciiTheme="minorHAnsi" w:hAnsiTheme="minorHAnsi"/>
          <w:sz w:val="24"/>
          <w:szCs w:val="22"/>
        </w:rPr>
      </w:pPr>
      <w:r w:rsidRPr="00A84718">
        <w:rPr>
          <w:rFonts w:asciiTheme="minorHAnsi" w:hAnsiTheme="minorHAnsi"/>
          <w:sz w:val="24"/>
          <w:szCs w:val="22"/>
        </w:rPr>
        <w:t xml:space="preserve">Ninth Circuit: “Secondary meaning can be established in many ways, including (but not limited to) direct consumer testimony; survey evidence; exclusivity, manner, and length of use of a mark; amount and manner of advertising; </w:t>
      </w:r>
      <w:proofErr w:type="gramStart"/>
      <w:r w:rsidRPr="00A84718">
        <w:rPr>
          <w:rFonts w:asciiTheme="minorHAnsi" w:hAnsiTheme="minorHAnsi"/>
          <w:sz w:val="24"/>
          <w:szCs w:val="22"/>
        </w:rPr>
        <w:t>amount</w:t>
      </w:r>
      <w:proofErr w:type="gramEnd"/>
      <w:r w:rsidRPr="00A84718">
        <w:rPr>
          <w:rFonts w:asciiTheme="minorHAnsi" w:hAnsiTheme="minorHAnsi"/>
          <w:sz w:val="24"/>
          <w:szCs w:val="22"/>
        </w:rPr>
        <w:t xml:space="preserve"> of sales and number of customers; established place in the market; and proof of intentional copying by the defendant.” </w:t>
      </w:r>
      <w:r w:rsidRPr="00A84718">
        <w:rPr>
          <w:rFonts w:asciiTheme="minorHAnsi" w:hAnsiTheme="minorHAnsi"/>
          <w:i/>
          <w:sz w:val="24"/>
          <w:szCs w:val="22"/>
        </w:rPr>
        <w:t>Art Attacks Ink, LLC v. MGA Enter., Inc</w:t>
      </w:r>
      <w:r w:rsidRPr="00A84718">
        <w:rPr>
          <w:rFonts w:asciiTheme="minorHAnsi" w:hAnsiTheme="minorHAnsi"/>
          <w:sz w:val="24"/>
          <w:szCs w:val="22"/>
        </w:rPr>
        <w:t>., 581 F.3d 1138, 1145 (9th Cir. 2009). S</w:t>
      </w:r>
      <w:r w:rsidRPr="00A84718">
        <w:rPr>
          <w:rFonts w:asciiTheme="minorHAnsi" w:hAnsiTheme="minorHAnsi"/>
          <w:i/>
          <w:sz w:val="24"/>
          <w:szCs w:val="22"/>
        </w:rPr>
        <w:t>ee also Japan Telecom, Inc. v. Japan Telecom Am., Inc</w:t>
      </w:r>
      <w:r w:rsidRPr="00A84718">
        <w:rPr>
          <w:rFonts w:asciiTheme="minorHAnsi" w:hAnsiTheme="minorHAnsi"/>
          <w:sz w:val="24"/>
          <w:szCs w:val="22"/>
        </w:rPr>
        <w:t xml:space="preserve">., 287 F.3d 866, 62 U.S.P.Q.2d </w:t>
      </w:r>
      <w:r w:rsidRPr="00A84718">
        <w:rPr>
          <w:rFonts w:asciiTheme="minorHAnsi" w:hAnsiTheme="minorHAnsi"/>
          <w:sz w:val="24"/>
          <w:szCs w:val="22"/>
        </w:rPr>
        <w:lastRenderedPageBreak/>
        <w:t>1593 (9th Cir. 2002) (listing secondary meaning factors as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w:t>
      </w:r>
    </w:p>
    <w:p w14:paraId="4F14D33A"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The three opinion excerpts that follow offer examples of courts’ analyses of whether a non-inherently distinctive mark has developed sufficient secondary meaning to qualify for protection. In reading these excerpts, consider the following questions:</w:t>
      </w:r>
    </w:p>
    <w:p w14:paraId="6CF8423E" w14:textId="77777777" w:rsidR="00F31323" w:rsidRPr="00A84718" w:rsidRDefault="00F31323" w:rsidP="00F31323">
      <w:pPr>
        <w:numPr>
          <w:ilvl w:val="0"/>
          <w:numId w:val="8"/>
        </w:numPr>
        <w:rPr>
          <w:rFonts w:asciiTheme="minorHAnsi" w:hAnsiTheme="minorHAnsi"/>
          <w:sz w:val="24"/>
          <w:szCs w:val="22"/>
        </w:rPr>
      </w:pPr>
      <w:r w:rsidRPr="00A84718">
        <w:rPr>
          <w:rFonts w:asciiTheme="minorHAnsi" w:hAnsiTheme="minorHAnsi"/>
          <w:sz w:val="24"/>
          <w:szCs w:val="22"/>
        </w:rPr>
        <w:t xml:space="preserve">What proportion of consumers in the relevant population should courts require </w:t>
      </w:r>
      <w:proofErr w:type="gramStart"/>
      <w:r w:rsidRPr="00A84718">
        <w:rPr>
          <w:rFonts w:asciiTheme="minorHAnsi" w:hAnsiTheme="minorHAnsi"/>
          <w:sz w:val="24"/>
          <w:szCs w:val="22"/>
        </w:rPr>
        <w:t>to perceive</w:t>
      </w:r>
      <w:proofErr w:type="gramEnd"/>
      <w:r w:rsidRPr="00A84718">
        <w:rPr>
          <w:rFonts w:asciiTheme="minorHAnsi" w:hAnsiTheme="minorHAnsi"/>
          <w:sz w:val="24"/>
          <w:szCs w:val="22"/>
        </w:rPr>
        <w:t xml:space="preserve"> the mark as possessing secondary meaning for the mark to qualify for protection? 25%? 50? 75%?  Relatedly, how should courts determine what constitutes the relevant population of consumers?</w:t>
      </w:r>
    </w:p>
    <w:p w14:paraId="0B122D20" w14:textId="77777777" w:rsidR="00F31323" w:rsidRPr="00A84718" w:rsidRDefault="00F31323" w:rsidP="00F31323">
      <w:pPr>
        <w:numPr>
          <w:ilvl w:val="0"/>
          <w:numId w:val="8"/>
        </w:numPr>
        <w:rPr>
          <w:rFonts w:asciiTheme="minorHAnsi" w:hAnsiTheme="minorHAnsi"/>
          <w:sz w:val="24"/>
          <w:szCs w:val="22"/>
        </w:rPr>
      </w:pPr>
      <w:r w:rsidRPr="00A84718">
        <w:rPr>
          <w:rFonts w:asciiTheme="minorHAnsi" w:hAnsiTheme="minorHAnsi"/>
          <w:sz w:val="24"/>
          <w:szCs w:val="22"/>
        </w:rPr>
        <w:t>How would you devise a survey to test for secondary meaning?</w:t>
      </w:r>
    </w:p>
    <w:p w14:paraId="5359EDFB" w14:textId="77777777" w:rsidR="00F31323" w:rsidRPr="00A84718" w:rsidRDefault="00F31323" w:rsidP="00F31323">
      <w:pPr>
        <w:numPr>
          <w:ilvl w:val="0"/>
          <w:numId w:val="8"/>
        </w:numPr>
        <w:rPr>
          <w:rFonts w:asciiTheme="minorHAnsi" w:hAnsiTheme="minorHAnsi"/>
          <w:sz w:val="24"/>
          <w:szCs w:val="22"/>
        </w:rPr>
      </w:pPr>
      <w:r w:rsidRPr="00A84718">
        <w:rPr>
          <w:rFonts w:asciiTheme="minorHAnsi" w:hAnsiTheme="minorHAnsi"/>
          <w:sz w:val="24"/>
          <w:szCs w:val="22"/>
        </w:rPr>
        <w:t>Why should “length and exclusivity of use” matter for purposes of establishing secondary meaning?</w:t>
      </w:r>
    </w:p>
    <w:p w14:paraId="3C0B895B" w14:textId="77777777" w:rsidR="00F31323" w:rsidRPr="00A84718" w:rsidRDefault="00F31323" w:rsidP="00F31323">
      <w:pPr>
        <w:numPr>
          <w:ilvl w:val="0"/>
          <w:numId w:val="8"/>
        </w:numPr>
        <w:rPr>
          <w:rFonts w:asciiTheme="minorHAnsi" w:hAnsiTheme="minorHAnsi"/>
          <w:sz w:val="24"/>
          <w:szCs w:val="22"/>
        </w:rPr>
      </w:pPr>
      <w:r w:rsidRPr="00A84718">
        <w:rPr>
          <w:rFonts w:asciiTheme="minorHAnsi" w:hAnsiTheme="minorHAnsi"/>
          <w:sz w:val="24"/>
          <w:szCs w:val="22"/>
        </w:rPr>
        <w:t>Imagine a situation in which Company David, after a great deal of market research, adopts an especially good descriptive mark and initiates a small-scale launch of the descriptive mark in the marketplace. Company Goliath then becomes aware of Company David’s mark, adopts the mark as its own, and immediately spends enormous resources building up secondary meaning in the mark, so that when consumers see the mark, they think of Company Goliath. Which company should be granted rights in the mark?  And is this in your view an equitable or efficient outcome?</w:t>
      </w:r>
    </w:p>
    <w:p w14:paraId="21A1335D" w14:textId="77777777" w:rsidR="00F31323" w:rsidRPr="00A84718" w:rsidRDefault="00F31323" w:rsidP="00F31323">
      <w:pPr>
        <w:pStyle w:val="Dashbreak"/>
        <w:rPr>
          <w:rFonts w:asciiTheme="minorHAnsi" w:hAnsiTheme="minorHAnsi"/>
        </w:rPr>
      </w:pPr>
      <w:r w:rsidRPr="00A84718">
        <w:rPr>
          <w:rFonts w:asciiTheme="minorHAnsi" w:hAnsiTheme="minorHAnsi"/>
        </w:rPr>
        <w:t>______________________________________________________________________________</w:t>
      </w:r>
    </w:p>
    <w:p w14:paraId="403C3F51" w14:textId="77777777" w:rsidR="00F31323" w:rsidRPr="00A84718" w:rsidRDefault="00F31323" w:rsidP="00F31323">
      <w:pPr>
        <w:rPr>
          <w:rFonts w:asciiTheme="minorHAnsi" w:hAnsiTheme="minorHAnsi"/>
          <w:sz w:val="24"/>
          <w:szCs w:val="22"/>
        </w:rPr>
      </w:pPr>
      <w:bookmarkStart w:id="0" w:name="_Hlk201416833"/>
      <w:r w:rsidRPr="00A84718">
        <w:rPr>
          <w:rFonts w:asciiTheme="minorHAnsi" w:hAnsiTheme="minorHAnsi"/>
          <w:sz w:val="24"/>
          <w:szCs w:val="22"/>
        </w:rPr>
        <w:t>The following case involved two main questions. The first was whether a combination of design elements incorporated into the design of boots had acquired distinctiveness. The case is included here because of the court’s rich analysis of this issue. But the case also involved the question of whether the combination of design elements was functional. Because we will address the issue of functionality in more detail in section I.B.1, the court’s discussion of that issue has been largely edited out of the opinion excerpt below. In any event, as you will see, the court ultimately determined that it did not need to decide the issue of functionality because of how it ruled on the issue of acquired distinctiveness.</w:t>
      </w:r>
    </w:p>
    <w:p w14:paraId="6B0D9CBA" w14:textId="77777777" w:rsidR="00A84718" w:rsidRPr="00A84718" w:rsidRDefault="00A84718" w:rsidP="00F31323">
      <w:pPr>
        <w:ind w:firstLine="0"/>
        <w:rPr>
          <w:rFonts w:asciiTheme="minorHAnsi" w:hAnsiTheme="minorHAnsi"/>
          <w:b/>
          <w:bCs/>
          <w:sz w:val="24"/>
          <w:szCs w:val="22"/>
        </w:rPr>
      </w:pPr>
    </w:p>
    <w:p w14:paraId="6255D9AB" w14:textId="53291B6A" w:rsidR="00F31323" w:rsidRPr="00A84718" w:rsidRDefault="00F31323" w:rsidP="00A84718">
      <w:pPr>
        <w:rPr>
          <w:rFonts w:asciiTheme="minorHAnsi" w:hAnsiTheme="minorHAnsi"/>
          <w:color w:val="FF0000"/>
          <w:sz w:val="24"/>
          <w:szCs w:val="22"/>
        </w:rPr>
      </w:pPr>
      <w:r w:rsidRPr="00A84718">
        <w:rPr>
          <w:rFonts w:asciiTheme="minorHAnsi" w:hAnsiTheme="minorHAnsi"/>
          <w:color w:val="FF0000"/>
          <w:sz w:val="24"/>
          <w:szCs w:val="22"/>
        </w:rPr>
        <w:t>[</w:t>
      </w:r>
      <w:bookmarkStart w:id="1" w:name="_Toc201424258"/>
      <w:bookmarkEnd w:id="0"/>
      <w:r w:rsidR="00A84718" w:rsidRPr="00A84718">
        <w:rPr>
          <w:rFonts w:asciiTheme="minorHAnsi" w:hAnsiTheme="minorHAnsi"/>
          <w:color w:val="FF0000"/>
          <w:sz w:val="24"/>
          <w:szCs w:val="22"/>
        </w:rPr>
        <w:t xml:space="preserve">The opinion in </w:t>
      </w:r>
      <w:r w:rsidRPr="00A84718">
        <w:rPr>
          <w:rFonts w:asciiTheme="minorHAnsi" w:hAnsiTheme="minorHAnsi"/>
          <w:i/>
          <w:iCs/>
          <w:color w:val="FF0000"/>
          <w:sz w:val="24"/>
          <w:szCs w:val="22"/>
        </w:rPr>
        <w:t>TBL Licensing, LLC v. Vidal</w:t>
      </w:r>
      <w:bookmarkEnd w:id="1"/>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42162C1A" w14:textId="77777777" w:rsidR="00F31323" w:rsidRPr="00A84718" w:rsidRDefault="00F31323" w:rsidP="00F31323">
      <w:pPr>
        <w:pStyle w:val="Heading7"/>
        <w:ind w:firstLine="0"/>
        <w:rPr>
          <w:rFonts w:asciiTheme="minorHAnsi" w:hAnsiTheme="minorHAnsi"/>
          <w:color w:val="FF0000"/>
          <w:sz w:val="24"/>
          <w:szCs w:val="22"/>
        </w:rPr>
      </w:pPr>
      <w:bookmarkStart w:id="2" w:name="_Toc201424259"/>
    </w:p>
    <w:p w14:paraId="082D1322" w14:textId="3391625D" w:rsidR="00F31323" w:rsidRPr="00A84718" w:rsidRDefault="00F31323" w:rsidP="00A84718">
      <w:pPr>
        <w:pStyle w:val="Heading7"/>
        <w:rPr>
          <w:rFonts w:asciiTheme="minorHAnsi" w:hAnsiTheme="minorHAnsi"/>
          <w:color w:val="FF0000"/>
          <w:sz w:val="24"/>
          <w:szCs w:val="22"/>
        </w:rPr>
      </w:pPr>
      <w:r w:rsidRPr="00A84718">
        <w:rPr>
          <w:rFonts w:asciiTheme="minorHAnsi" w:hAnsiTheme="minorHAnsi"/>
          <w:color w:val="FF0000"/>
          <w:sz w:val="24"/>
          <w:szCs w:val="22"/>
        </w:rPr>
        <w:t>[</w:t>
      </w:r>
      <w:r w:rsidR="00A84718" w:rsidRPr="00A84718">
        <w:rPr>
          <w:rFonts w:asciiTheme="minorHAnsi" w:hAnsiTheme="minorHAnsi"/>
          <w:color w:val="FF0000"/>
          <w:sz w:val="24"/>
          <w:szCs w:val="22"/>
        </w:rPr>
        <w:t xml:space="preserve">The opinion in </w:t>
      </w:r>
      <w:r w:rsidRPr="00A84718">
        <w:rPr>
          <w:rFonts w:asciiTheme="minorHAnsi" w:hAnsiTheme="minorHAnsi"/>
          <w:i/>
          <w:iCs/>
          <w:color w:val="FF0000"/>
          <w:sz w:val="24"/>
          <w:szCs w:val="22"/>
        </w:rPr>
        <w:t>Cartier, Inc. v. Four Star Jewelry Creations, Inc.</w:t>
      </w:r>
      <w:bookmarkEnd w:id="2"/>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5AC90A3D" w14:textId="77777777" w:rsidR="00A84718" w:rsidRPr="00A84718" w:rsidRDefault="00A84718" w:rsidP="00F31323">
      <w:pPr>
        <w:rPr>
          <w:rFonts w:asciiTheme="minorHAnsi" w:hAnsiTheme="minorHAnsi"/>
          <w:sz w:val="24"/>
          <w:szCs w:val="22"/>
        </w:rPr>
      </w:pPr>
    </w:p>
    <w:p w14:paraId="1220E9F7" w14:textId="6B774CC5" w:rsidR="00F31323" w:rsidRPr="00A84718" w:rsidRDefault="00F31323" w:rsidP="00F31323">
      <w:pPr>
        <w:rPr>
          <w:rFonts w:asciiTheme="minorHAnsi" w:hAnsiTheme="minorHAnsi"/>
          <w:sz w:val="24"/>
          <w:szCs w:val="22"/>
        </w:rPr>
      </w:pPr>
      <w:r w:rsidRPr="00A84718">
        <w:rPr>
          <w:rFonts w:asciiTheme="minorHAnsi" w:hAnsiTheme="minorHAnsi"/>
          <w:sz w:val="24"/>
          <w:szCs w:val="22"/>
        </w:rPr>
        <w:lastRenderedPageBreak/>
        <w:t xml:space="preserve">In the following case, </w:t>
      </w:r>
      <w:r w:rsidRPr="00A84718">
        <w:rPr>
          <w:rFonts w:asciiTheme="minorHAnsi" w:hAnsiTheme="minorHAnsi"/>
          <w:i/>
          <w:sz w:val="24"/>
          <w:szCs w:val="22"/>
        </w:rPr>
        <w:t>Board of Supervisors for Louisiana State University Agricultural &amp; Mechanical College v. Smack Apparel Co</w:t>
      </w:r>
      <w:r w:rsidRPr="00A84718">
        <w:rPr>
          <w:rFonts w:asciiTheme="minorHAnsi" w:hAnsiTheme="minorHAnsi"/>
          <w:sz w:val="24"/>
          <w:szCs w:val="22"/>
        </w:rPr>
        <w:t xml:space="preserve">., 550 F.3d 465 (5th Cir. 2008), the plaintiffs Louisiana State University, the University of Oklahoma, Ohio State University, the University of Southern California, and Collegiate Licensing Company (the official licensing agent for the universities) brought suit against defendant Smack Apparel for its unauthorized sale of apparel bearing the universities’ colors and various printed messages associated with the universities (but not bearing the universities’ names or mascots). The Eastern District of Louisiana granted the plaintiffs’ motion for summary judgment on the issue of trademark infringement. Excerpted below is the Fifth Circuit’s discussion of whether the universities’ colors carry secondary meaning as designations of source. </w:t>
      </w:r>
    </w:p>
    <w:p w14:paraId="13BC741D" w14:textId="001F6E43"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Note that we will soon return to the protectability of colors as trademarks when we consider </w:t>
      </w:r>
      <w:proofErr w:type="spellStart"/>
      <w:r w:rsidRPr="00A84718">
        <w:rPr>
          <w:rFonts w:asciiTheme="minorHAnsi" w:hAnsiTheme="minorHAnsi"/>
          <w:i/>
          <w:sz w:val="24"/>
          <w:szCs w:val="22"/>
        </w:rPr>
        <w:t>Qualitex</w:t>
      </w:r>
      <w:proofErr w:type="spellEnd"/>
      <w:r w:rsidRPr="00A84718">
        <w:rPr>
          <w:rFonts w:asciiTheme="minorHAnsi" w:hAnsiTheme="minorHAnsi"/>
          <w:i/>
          <w:sz w:val="24"/>
          <w:szCs w:val="22"/>
        </w:rPr>
        <w:t xml:space="preserve"> Co. v. Jacobson Products Co., Inc</w:t>
      </w:r>
      <w:r w:rsidRPr="00A84718">
        <w:rPr>
          <w:rFonts w:asciiTheme="minorHAnsi" w:hAnsiTheme="minorHAnsi"/>
          <w:sz w:val="24"/>
          <w:szCs w:val="22"/>
        </w:rPr>
        <w:t>., 514 U.S. 159 (1995).</w:t>
      </w:r>
    </w:p>
    <w:p w14:paraId="2315069C" w14:textId="4A724927" w:rsidR="00F31323" w:rsidRPr="00A84718" w:rsidRDefault="00F31323" w:rsidP="00F31323">
      <w:pPr>
        <w:pStyle w:val="NormalCentered"/>
        <w:jc w:val="both"/>
        <w:rPr>
          <w:rFonts w:asciiTheme="minorHAnsi" w:hAnsiTheme="minorHAnsi"/>
          <w:sz w:val="24"/>
          <w:szCs w:val="22"/>
        </w:rPr>
      </w:pPr>
    </w:p>
    <w:p w14:paraId="78AB6151" w14:textId="027CB826" w:rsidR="00F31323" w:rsidRPr="00A84718" w:rsidRDefault="00F31323" w:rsidP="00A84718">
      <w:pPr>
        <w:pStyle w:val="Heading7"/>
        <w:rPr>
          <w:rFonts w:asciiTheme="minorHAnsi" w:hAnsiTheme="minorHAnsi"/>
          <w:color w:val="FF0000"/>
          <w:sz w:val="24"/>
          <w:szCs w:val="22"/>
        </w:rPr>
      </w:pPr>
      <w:bookmarkStart w:id="3" w:name="_Toc201424260"/>
      <w:r w:rsidRPr="00A84718">
        <w:rPr>
          <w:rFonts w:asciiTheme="minorHAnsi" w:hAnsiTheme="minorHAnsi"/>
          <w:color w:val="FF0000"/>
          <w:sz w:val="24"/>
          <w:szCs w:val="22"/>
        </w:rPr>
        <w:t>[</w:t>
      </w:r>
      <w:r w:rsidR="00A84718" w:rsidRPr="00A84718">
        <w:rPr>
          <w:rFonts w:asciiTheme="minorHAnsi" w:hAnsiTheme="minorHAnsi"/>
          <w:color w:val="FF0000"/>
          <w:sz w:val="24"/>
          <w:szCs w:val="22"/>
        </w:rPr>
        <w:t xml:space="preserve">The opinion </w:t>
      </w:r>
      <w:proofErr w:type="gramStart"/>
      <w:r w:rsidR="00A84718" w:rsidRPr="00A84718">
        <w:rPr>
          <w:rFonts w:asciiTheme="minorHAnsi" w:hAnsiTheme="minorHAnsi"/>
          <w:color w:val="FF0000"/>
          <w:sz w:val="24"/>
          <w:szCs w:val="22"/>
        </w:rPr>
        <w:t>in</w:t>
      </w:r>
      <w:proofErr w:type="gramEnd"/>
      <w:r w:rsidR="00A84718" w:rsidRPr="00A84718">
        <w:rPr>
          <w:rFonts w:asciiTheme="minorHAnsi" w:hAnsiTheme="minorHAnsi"/>
          <w:color w:val="FF0000"/>
          <w:sz w:val="24"/>
          <w:szCs w:val="22"/>
        </w:rPr>
        <w:t xml:space="preserve"> </w:t>
      </w:r>
      <w:r w:rsidRPr="00A84718">
        <w:rPr>
          <w:rFonts w:asciiTheme="minorHAnsi" w:hAnsiTheme="minorHAnsi"/>
          <w:i/>
          <w:iCs/>
          <w:color w:val="FF0000"/>
          <w:sz w:val="24"/>
          <w:szCs w:val="22"/>
        </w:rPr>
        <w:t>Board of Supervisors for Louisiana State University Agricultural &amp; Mechanical College v. Smack Apparel Co.</w:t>
      </w:r>
      <w:bookmarkEnd w:id="3"/>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631FC205" w14:textId="77777777" w:rsidR="00F31323" w:rsidRPr="00A84718" w:rsidRDefault="00F31323" w:rsidP="00F31323">
      <w:pPr>
        <w:pStyle w:val="OpinionCitation"/>
        <w:rPr>
          <w:rFonts w:asciiTheme="minorHAnsi" w:hAnsiTheme="minorHAnsi"/>
          <w:b w:val="0"/>
          <w:color w:val="FF0000"/>
          <w:sz w:val="24"/>
          <w:szCs w:val="22"/>
        </w:rPr>
      </w:pPr>
    </w:p>
    <w:p w14:paraId="0A68D29A" w14:textId="331693AE" w:rsidR="00F31323" w:rsidRPr="00A84718" w:rsidRDefault="00F31323" w:rsidP="00A84718">
      <w:pPr>
        <w:pStyle w:val="Heading7"/>
        <w:rPr>
          <w:rFonts w:asciiTheme="minorHAnsi" w:hAnsiTheme="minorHAnsi"/>
          <w:color w:val="FF0000"/>
          <w:sz w:val="24"/>
          <w:szCs w:val="22"/>
        </w:rPr>
      </w:pPr>
      <w:bookmarkStart w:id="4" w:name="_Toc201424262"/>
      <w:r w:rsidRPr="00A84718">
        <w:rPr>
          <w:rFonts w:asciiTheme="minorHAnsi" w:hAnsiTheme="minorHAnsi"/>
          <w:color w:val="FF0000"/>
          <w:sz w:val="24"/>
          <w:szCs w:val="22"/>
        </w:rPr>
        <w:t>[</w:t>
      </w:r>
      <w:r w:rsidR="00A84718" w:rsidRPr="00A84718">
        <w:rPr>
          <w:rFonts w:asciiTheme="minorHAnsi" w:hAnsiTheme="minorHAnsi"/>
          <w:color w:val="FF0000"/>
          <w:sz w:val="24"/>
          <w:szCs w:val="22"/>
        </w:rPr>
        <w:t xml:space="preserve">The opinion in </w:t>
      </w:r>
      <w:r w:rsidRPr="00A84718">
        <w:rPr>
          <w:rFonts w:asciiTheme="minorHAnsi" w:hAnsiTheme="minorHAnsi"/>
          <w:i/>
          <w:iCs/>
          <w:color w:val="FF0000"/>
          <w:sz w:val="24"/>
          <w:szCs w:val="22"/>
        </w:rPr>
        <w:t>United States Patent and Trademark Office v. Booking.com B.V.</w:t>
      </w:r>
      <w:bookmarkEnd w:id="4"/>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5690A7B9" w14:textId="06AB06A5" w:rsidR="00F31323" w:rsidRPr="00A84718" w:rsidRDefault="00F31323" w:rsidP="00F31323">
      <w:pPr>
        <w:pStyle w:val="Centered"/>
        <w:rPr>
          <w:rFonts w:asciiTheme="minorHAnsi" w:hAnsiTheme="minorHAnsi"/>
          <w:color w:val="FF0000"/>
          <w:sz w:val="24"/>
          <w:szCs w:val="22"/>
        </w:rPr>
      </w:pPr>
    </w:p>
    <w:p w14:paraId="067F4518" w14:textId="593307D3" w:rsidR="00F31323" w:rsidRPr="00A84718" w:rsidRDefault="00F31323" w:rsidP="00A84718">
      <w:pPr>
        <w:pStyle w:val="Heading7"/>
        <w:rPr>
          <w:rFonts w:asciiTheme="minorHAnsi" w:hAnsiTheme="minorHAnsi"/>
          <w:color w:val="FF0000"/>
          <w:sz w:val="24"/>
          <w:szCs w:val="22"/>
        </w:rPr>
      </w:pPr>
      <w:bookmarkStart w:id="5" w:name="_Toc201424263"/>
      <w:r w:rsidRPr="00A84718">
        <w:rPr>
          <w:rFonts w:asciiTheme="minorHAnsi" w:hAnsiTheme="minorHAnsi"/>
          <w:color w:val="FF0000"/>
          <w:sz w:val="24"/>
          <w:szCs w:val="22"/>
        </w:rPr>
        <w:t>[</w:t>
      </w:r>
      <w:r w:rsidR="00A84718" w:rsidRPr="00A84718">
        <w:rPr>
          <w:rFonts w:asciiTheme="minorHAnsi" w:hAnsiTheme="minorHAnsi"/>
          <w:color w:val="FF0000"/>
          <w:sz w:val="24"/>
          <w:szCs w:val="22"/>
        </w:rPr>
        <w:t xml:space="preserve">The opinion in </w:t>
      </w:r>
      <w:r w:rsidRPr="00A84718">
        <w:rPr>
          <w:rFonts w:asciiTheme="minorHAnsi" w:hAnsiTheme="minorHAnsi"/>
          <w:i/>
          <w:iCs/>
          <w:color w:val="FF0000"/>
          <w:sz w:val="24"/>
          <w:szCs w:val="22"/>
        </w:rPr>
        <w:t>Snyder’s Lance, Inc. v. Frito-Lay North America, Inc.</w:t>
      </w:r>
      <w:bookmarkEnd w:id="5"/>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23F3597C" w14:textId="77777777" w:rsidR="00F31323" w:rsidRPr="00A84718" w:rsidRDefault="00F31323" w:rsidP="00F31323">
      <w:pPr>
        <w:pStyle w:val="OpinionCitation"/>
        <w:rPr>
          <w:rFonts w:asciiTheme="minorHAnsi" w:hAnsiTheme="minorHAnsi"/>
          <w:b w:val="0"/>
          <w:color w:val="FF0000"/>
          <w:sz w:val="24"/>
          <w:szCs w:val="22"/>
        </w:rPr>
      </w:pPr>
    </w:p>
    <w:p w14:paraId="7E4662F9" w14:textId="51A38F4E" w:rsidR="00F31323" w:rsidRPr="00A84718" w:rsidRDefault="00F31323" w:rsidP="00A84718">
      <w:pPr>
        <w:pStyle w:val="Heading7"/>
        <w:rPr>
          <w:rFonts w:asciiTheme="minorHAnsi" w:hAnsiTheme="minorHAnsi"/>
          <w:color w:val="FF0000"/>
          <w:sz w:val="24"/>
          <w:szCs w:val="22"/>
        </w:rPr>
      </w:pPr>
      <w:bookmarkStart w:id="6" w:name="_Toc201424264"/>
      <w:r w:rsidRPr="00A84718">
        <w:rPr>
          <w:rFonts w:asciiTheme="minorHAnsi" w:hAnsiTheme="minorHAnsi"/>
          <w:color w:val="FF0000"/>
          <w:sz w:val="24"/>
          <w:szCs w:val="22"/>
        </w:rPr>
        <w:t>[</w:t>
      </w:r>
      <w:r w:rsidR="00A84718" w:rsidRPr="00A84718">
        <w:rPr>
          <w:rFonts w:asciiTheme="minorHAnsi" w:hAnsiTheme="minorHAnsi"/>
          <w:color w:val="FF0000"/>
          <w:sz w:val="24"/>
          <w:szCs w:val="22"/>
        </w:rPr>
        <w:t xml:space="preserve">The opinion in </w:t>
      </w:r>
      <w:r w:rsidRPr="00A84718">
        <w:rPr>
          <w:rFonts w:asciiTheme="minorHAnsi" w:hAnsiTheme="minorHAnsi"/>
          <w:i/>
          <w:iCs/>
          <w:color w:val="FF0000"/>
          <w:sz w:val="24"/>
          <w:szCs w:val="22"/>
        </w:rPr>
        <w:t>Elliott v. Google, Inc.</w:t>
      </w:r>
      <w:bookmarkEnd w:id="6"/>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2932CC4A" w14:textId="77777777" w:rsidR="00F31323" w:rsidRPr="00A84718" w:rsidRDefault="00F31323" w:rsidP="00F31323">
      <w:pPr>
        <w:rPr>
          <w:rFonts w:asciiTheme="minorHAnsi" w:hAnsiTheme="minorHAnsi"/>
        </w:rPr>
      </w:pPr>
    </w:p>
    <w:p w14:paraId="7D83DD96" w14:textId="77777777" w:rsidR="00F31323" w:rsidRPr="00A84718" w:rsidRDefault="00F31323" w:rsidP="00F31323">
      <w:pPr>
        <w:pStyle w:val="CommentsandQuestions"/>
        <w:rPr>
          <w:rFonts w:asciiTheme="minorHAnsi" w:hAnsiTheme="minorHAnsi"/>
          <w:sz w:val="24"/>
          <w:szCs w:val="22"/>
        </w:rPr>
      </w:pPr>
      <w:r w:rsidRPr="00A84718">
        <w:rPr>
          <w:rFonts w:asciiTheme="minorHAnsi" w:hAnsiTheme="minorHAnsi"/>
          <w:sz w:val="24"/>
          <w:szCs w:val="22"/>
        </w:rPr>
        <w:t>Comments and Questions</w:t>
      </w:r>
    </w:p>
    <w:p w14:paraId="46D8CFFC"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1. </w:t>
      </w:r>
      <w:r w:rsidRPr="00A84718">
        <w:rPr>
          <w:rFonts w:asciiTheme="minorHAnsi" w:hAnsiTheme="minorHAnsi"/>
          <w:i/>
          <w:sz w:val="24"/>
          <w:szCs w:val="22"/>
        </w:rPr>
        <w:t xml:space="preserve">What is the appropriate level of abstraction? </w:t>
      </w:r>
      <w:r w:rsidRPr="00A84718">
        <w:rPr>
          <w:rFonts w:asciiTheme="minorHAnsi" w:hAnsiTheme="minorHAnsi"/>
          <w:sz w:val="24"/>
          <w:szCs w:val="22"/>
        </w:rPr>
        <w:t xml:space="preserve">With respect to the genus/species distinction, how does one establish the appropriate level of abstraction at which one defines the genus, the species, and even the subspecies (or, for that matter, the family above the genus)?  What prevents a plaintiff from claiming that the genus is, for example, beer, and the plaintiff merely wants rights in the name of a species of beer, which is “light beer”?  </w:t>
      </w:r>
      <w:r w:rsidRPr="00A84718">
        <w:rPr>
          <w:rFonts w:asciiTheme="minorHAnsi" w:hAnsiTheme="minorHAnsi"/>
          <w:i/>
          <w:sz w:val="24"/>
          <w:szCs w:val="22"/>
        </w:rPr>
        <w:t>See  Miller Brewing Co. v. G. Heileman Brewing Co</w:t>
      </w:r>
      <w:r w:rsidRPr="00A84718">
        <w:rPr>
          <w:rFonts w:asciiTheme="minorHAnsi" w:hAnsiTheme="minorHAnsi"/>
          <w:sz w:val="24"/>
          <w:szCs w:val="22"/>
        </w:rPr>
        <w:t xml:space="preserve">., 561 F.2d 75 (7th Cir. 1977) (finding </w:t>
      </w:r>
      <w:r w:rsidRPr="00A84718">
        <w:rPr>
          <w:rFonts w:asciiTheme="minorHAnsi" w:hAnsiTheme="minorHAnsi"/>
          <w:smallCaps/>
          <w:sz w:val="24"/>
          <w:szCs w:val="22"/>
        </w:rPr>
        <w:t>light</w:t>
      </w:r>
      <w:r w:rsidRPr="00A84718">
        <w:rPr>
          <w:rFonts w:asciiTheme="minorHAnsi" w:hAnsiTheme="minorHAnsi"/>
          <w:sz w:val="24"/>
          <w:szCs w:val="22"/>
        </w:rPr>
        <w:t xml:space="preserve"> and </w:t>
      </w:r>
      <w:r w:rsidRPr="00A84718">
        <w:rPr>
          <w:rFonts w:asciiTheme="minorHAnsi" w:hAnsiTheme="minorHAnsi"/>
          <w:smallCaps/>
          <w:sz w:val="24"/>
          <w:szCs w:val="22"/>
        </w:rPr>
        <w:t>lite</w:t>
      </w:r>
      <w:r w:rsidRPr="00A84718">
        <w:rPr>
          <w:rFonts w:asciiTheme="minorHAnsi" w:hAnsiTheme="minorHAnsi"/>
          <w:sz w:val="24"/>
          <w:szCs w:val="22"/>
        </w:rPr>
        <w:t xml:space="preserve"> for beer to be generic).</w:t>
      </w:r>
    </w:p>
    <w:p w14:paraId="06AFC035" w14:textId="77777777" w:rsidR="00F31323" w:rsidRPr="00A84718" w:rsidRDefault="00F31323" w:rsidP="00F31323">
      <w:pPr>
        <w:rPr>
          <w:rFonts w:asciiTheme="minorHAnsi" w:hAnsiTheme="minorHAnsi"/>
          <w:i/>
          <w:sz w:val="24"/>
          <w:szCs w:val="22"/>
        </w:rPr>
      </w:pPr>
      <w:r w:rsidRPr="00A84718">
        <w:rPr>
          <w:rFonts w:asciiTheme="minorHAnsi" w:hAnsiTheme="minorHAnsi"/>
          <w:i/>
          <w:sz w:val="24"/>
          <w:szCs w:val="22"/>
        </w:rPr>
        <w:t>2. Surveying for Genericism: The “</w:t>
      </w:r>
      <w:r w:rsidRPr="00A84718">
        <w:rPr>
          <w:rFonts w:asciiTheme="minorHAnsi" w:hAnsiTheme="minorHAnsi"/>
          <w:sz w:val="24"/>
          <w:szCs w:val="22"/>
        </w:rPr>
        <w:t>Thermos</w:t>
      </w:r>
      <w:r w:rsidRPr="00A84718">
        <w:rPr>
          <w:rFonts w:asciiTheme="minorHAnsi" w:hAnsiTheme="minorHAnsi"/>
          <w:i/>
          <w:sz w:val="24"/>
          <w:szCs w:val="22"/>
        </w:rPr>
        <w:t>” Survey Method</w:t>
      </w:r>
      <w:r w:rsidRPr="00A84718">
        <w:rPr>
          <w:rFonts w:asciiTheme="minorHAnsi" w:hAnsiTheme="minorHAnsi"/>
          <w:sz w:val="24"/>
          <w:szCs w:val="22"/>
        </w:rPr>
        <w:t xml:space="preserve">. In </w:t>
      </w:r>
      <w:r w:rsidRPr="00A84718">
        <w:rPr>
          <w:rFonts w:asciiTheme="minorHAnsi" w:hAnsiTheme="minorHAnsi"/>
          <w:i/>
          <w:sz w:val="24"/>
          <w:szCs w:val="22"/>
        </w:rPr>
        <w:t>American Thermos Products Co. v. Aladdin Industries, Inc.</w:t>
      </w:r>
      <w:r w:rsidRPr="00A84718">
        <w:rPr>
          <w:rFonts w:asciiTheme="minorHAnsi" w:hAnsiTheme="minorHAnsi"/>
          <w:sz w:val="24"/>
          <w:szCs w:val="22"/>
        </w:rPr>
        <w:t xml:space="preserve">, 207 F. Supp. 9 (D. Conn. 1962), aff’d, 321 F.2d 577 (2d Cir. 1963), the defendant argued that the term “thermos” had lost its significance as a designation of source and become a generic term for vacuum-insulated containers. To support this argument, the defendant submitted a survey whose method has been copied </w:t>
      </w:r>
      <w:r w:rsidRPr="00A84718">
        <w:rPr>
          <w:rFonts w:asciiTheme="minorHAnsi" w:hAnsiTheme="minorHAnsi"/>
          <w:sz w:val="24"/>
          <w:szCs w:val="22"/>
        </w:rPr>
        <w:lastRenderedPageBreak/>
        <w:t xml:space="preserve">in many subsequent genericism cases. </w:t>
      </w:r>
      <w:r w:rsidRPr="00A84718">
        <w:rPr>
          <w:rFonts w:asciiTheme="minorHAnsi" w:hAnsiTheme="minorHAnsi"/>
          <w:i/>
          <w:sz w:val="24"/>
          <w:szCs w:val="22"/>
        </w:rPr>
        <w:t>See, e.g</w:t>
      </w:r>
      <w:r w:rsidRPr="00A84718">
        <w:rPr>
          <w:rFonts w:asciiTheme="minorHAnsi" w:hAnsiTheme="minorHAnsi"/>
          <w:sz w:val="24"/>
          <w:szCs w:val="22"/>
        </w:rPr>
        <w:t xml:space="preserve">., </w:t>
      </w:r>
      <w:r w:rsidRPr="00A84718">
        <w:rPr>
          <w:rFonts w:asciiTheme="minorHAnsi" w:hAnsiTheme="minorHAnsi"/>
          <w:i/>
          <w:sz w:val="24"/>
          <w:szCs w:val="22"/>
        </w:rPr>
        <w:t xml:space="preserve">E.T. Browne Drug Co. v. </w:t>
      </w:r>
      <w:proofErr w:type="spellStart"/>
      <w:r w:rsidRPr="00A84718">
        <w:rPr>
          <w:rFonts w:asciiTheme="minorHAnsi" w:hAnsiTheme="minorHAnsi"/>
          <w:i/>
          <w:sz w:val="24"/>
          <w:szCs w:val="22"/>
        </w:rPr>
        <w:t>Cococare</w:t>
      </w:r>
      <w:proofErr w:type="spellEnd"/>
      <w:r w:rsidRPr="00A84718">
        <w:rPr>
          <w:rFonts w:asciiTheme="minorHAnsi" w:hAnsiTheme="minorHAnsi"/>
          <w:i/>
          <w:sz w:val="24"/>
          <w:szCs w:val="22"/>
        </w:rPr>
        <w:t xml:space="preserve"> Products, Inc.</w:t>
      </w:r>
      <w:r w:rsidRPr="00A84718">
        <w:rPr>
          <w:rFonts w:asciiTheme="minorHAnsi" w:hAnsiTheme="minorHAnsi"/>
          <w:sz w:val="24"/>
          <w:szCs w:val="22"/>
        </w:rPr>
        <w:t xml:space="preserve">, 538 F.3d 185, 87 U.S.P.Q.2d 1655 (3d Cir. 2008) (evaluating </w:t>
      </w:r>
      <w:r w:rsidRPr="00A84718">
        <w:rPr>
          <w:rFonts w:asciiTheme="minorHAnsi" w:hAnsiTheme="minorHAnsi"/>
          <w:i/>
          <w:sz w:val="24"/>
          <w:szCs w:val="22"/>
        </w:rPr>
        <w:t>Thermos</w:t>
      </w:r>
      <w:r w:rsidRPr="00A84718">
        <w:rPr>
          <w:rFonts w:asciiTheme="minorHAnsi" w:hAnsiTheme="minorHAnsi"/>
          <w:sz w:val="24"/>
          <w:szCs w:val="22"/>
        </w:rPr>
        <w:t xml:space="preserve">-type survey). </w:t>
      </w:r>
      <w:r w:rsidRPr="00A84718">
        <w:rPr>
          <w:rFonts w:asciiTheme="minorHAnsi" w:hAnsiTheme="minorHAnsi"/>
          <w:i/>
          <w:sz w:val="24"/>
          <w:szCs w:val="22"/>
        </w:rPr>
        <w:t>See also</w:t>
      </w:r>
      <w:r w:rsidRPr="00A84718">
        <w:rPr>
          <w:rFonts w:asciiTheme="minorHAnsi" w:hAnsiTheme="minorHAnsi"/>
          <w:sz w:val="24"/>
          <w:szCs w:val="22"/>
        </w:rPr>
        <w:t xml:space="preserve"> </w:t>
      </w:r>
      <w:r w:rsidRPr="00A84718">
        <w:rPr>
          <w:rFonts w:asciiTheme="minorHAnsi" w:hAnsiTheme="minorHAnsi"/>
          <w:smallCaps/>
          <w:sz w:val="24"/>
          <w:szCs w:val="22"/>
        </w:rPr>
        <w:t>McCarthy</w:t>
      </w:r>
      <w:r w:rsidRPr="00A84718">
        <w:rPr>
          <w:rFonts w:asciiTheme="minorHAnsi" w:hAnsiTheme="minorHAnsi"/>
          <w:sz w:val="24"/>
          <w:szCs w:val="22"/>
        </w:rPr>
        <w:t xml:space="preserve"> § 12:15.  In essence, a </w:t>
      </w:r>
      <w:r w:rsidRPr="00A84718">
        <w:rPr>
          <w:rFonts w:asciiTheme="minorHAnsi" w:hAnsiTheme="minorHAnsi"/>
          <w:i/>
          <w:sz w:val="24"/>
          <w:szCs w:val="22"/>
        </w:rPr>
        <w:t>Thermos</w:t>
      </w:r>
      <w:r w:rsidRPr="00A84718">
        <w:rPr>
          <w:rFonts w:asciiTheme="minorHAnsi" w:hAnsiTheme="minorHAnsi"/>
          <w:sz w:val="24"/>
          <w:szCs w:val="22"/>
        </w:rPr>
        <w:t xml:space="preserve"> survey (1) asks the survey respondent whether they are familiar with the general product at issue (e.g., “the type of container that is used to keep liquids, like soup, coffee, tea and lemonade, hot or cold for a period of time”), (2) asks the respondent to imagine him/herself walking into a store and asking for that product, and then (3) inquires “What would you ask for—that is, what would you tell the clerk you wanted?”  The survey will then typically ask some form of the question “Can you think of any other words that you would use to ask for the product?”  In </w:t>
      </w:r>
      <w:r w:rsidRPr="00A84718">
        <w:rPr>
          <w:rFonts w:asciiTheme="minorHAnsi" w:hAnsiTheme="minorHAnsi"/>
          <w:i/>
          <w:sz w:val="24"/>
          <w:szCs w:val="22"/>
        </w:rPr>
        <w:t>American Thermos Products</w:t>
      </w:r>
      <w:r w:rsidRPr="00A84718">
        <w:rPr>
          <w:rFonts w:asciiTheme="minorHAnsi" w:hAnsiTheme="minorHAnsi"/>
          <w:sz w:val="24"/>
          <w:szCs w:val="22"/>
        </w:rPr>
        <w:t xml:space="preserve">, 75% of the 3,300 respondents answered “Thermos” to the “what would you ask for” question. </w:t>
      </w:r>
      <w:r w:rsidRPr="00A84718">
        <w:rPr>
          <w:rFonts w:asciiTheme="minorHAnsi" w:hAnsiTheme="minorHAnsi"/>
          <w:i/>
          <w:sz w:val="24"/>
          <w:szCs w:val="22"/>
        </w:rPr>
        <w:t>American Thermos Products</w:t>
      </w:r>
      <w:r w:rsidRPr="00A84718">
        <w:rPr>
          <w:rFonts w:asciiTheme="minorHAnsi" w:hAnsiTheme="minorHAnsi"/>
          <w:sz w:val="24"/>
          <w:szCs w:val="22"/>
        </w:rPr>
        <w:t>, 207 F. Supp. at 21-22. The court found that the term “thermos” had become generic for vacuum-insulated bottles.</w:t>
      </w:r>
    </w:p>
    <w:p w14:paraId="1F6D5393"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The </w:t>
      </w:r>
      <w:r w:rsidRPr="00A84718">
        <w:rPr>
          <w:rFonts w:asciiTheme="minorHAnsi" w:hAnsiTheme="minorHAnsi"/>
          <w:i/>
          <w:sz w:val="24"/>
          <w:szCs w:val="22"/>
        </w:rPr>
        <w:t>Thermos</w:t>
      </w:r>
      <w:r w:rsidRPr="00A84718">
        <w:rPr>
          <w:rFonts w:asciiTheme="minorHAnsi" w:hAnsiTheme="minorHAnsi"/>
          <w:sz w:val="24"/>
          <w:szCs w:val="22"/>
        </w:rPr>
        <w:t xml:space="preserve"> survey method has been criticized on the ground that “for a very strong trademark, respondents with brand loyalty may answer with the trademark and drop what they consider to be a generic name, because it’s so obvious to them.”  </w:t>
      </w:r>
      <w:r w:rsidRPr="00A84718">
        <w:rPr>
          <w:rFonts w:asciiTheme="minorHAnsi" w:hAnsiTheme="minorHAnsi"/>
          <w:smallCaps/>
          <w:sz w:val="24"/>
          <w:szCs w:val="22"/>
        </w:rPr>
        <w:t>McCarthy</w:t>
      </w:r>
      <w:r w:rsidRPr="00A84718">
        <w:rPr>
          <w:rFonts w:asciiTheme="minorHAnsi" w:hAnsiTheme="minorHAnsi"/>
          <w:sz w:val="24"/>
          <w:szCs w:val="22"/>
        </w:rPr>
        <w:t xml:space="preserve"> § 12:15. Imagine you walk into a fast food restaurant in order to purchase a carbonated cola-flavored beverage. What would you ask for?  What do you think the results of such a survey of 100 respondents would be, and do they support McCarthy’s criticism?</w:t>
      </w:r>
    </w:p>
    <w:p w14:paraId="402BE939"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3. </w:t>
      </w:r>
      <w:r w:rsidRPr="00A84718">
        <w:rPr>
          <w:rFonts w:asciiTheme="minorHAnsi" w:hAnsiTheme="minorHAnsi"/>
          <w:i/>
          <w:sz w:val="24"/>
          <w:szCs w:val="22"/>
        </w:rPr>
        <w:t>Surveying for Genericism: The “</w:t>
      </w:r>
      <w:r w:rsidRPr="00A84718">
        <w:rPr>
          <w:rFonts w:asciiTheme="minorHAnsi" w:hAnsiTheme="minorHAnsi"/>
          <w:sz w:val="24"/>
          <w:szCs w:val="22"/>
        </w:rPr>
        <w:t>Teflon</w:t>
      </w:r>
      <w:r w:rsidRPr="00A84718">
        <w:rPr>
          <w:rFonts w:asciiTheme="minorHAnsi" w:hAnsiTheme="minorHAnsi"/>
          <w:i/>
          <w:sz w:val="24"/>
          <w:szCs w:val="22"/>
        </w:rPr>
        <w:t>” Survey Method</w:t>
      </w:r>
      <w:r w:rsidRPr="00A84718">
        <w:rPr>
          <w:rFonts w:asciiTheme="minorHAnsi" w:hAnsiTheme="minorHAnsi"/>
          <w:sz w:val="24"/>
          <w:szCs w:val="22"/>
        </w:rPr>
        <w:t xml:space="preserve">. In </w:t>
      </w:r>
      <w:r w:rsidRPr="00A84718">
        <w:rPr>
          <w:rFonts w:asciiTheme="minorHAnsi" w:hAnsiTheme="minorHAnsi"/>
          <w:i/>
          <w:sz w:val="24"/>
          <w:szCs w:val="22"/>
        </w:rPr>
        <w:t>E. I. DuPont de Nemours &amp; Co. v. Yoshida International, Inc.</w:t>
      </w:r>
      <w:r w:rsidRPr="00A84718">
        <w:rPr>
          <w:rFonts w:asciiTheme="minorHAnsi" w:hAnsiTheme="minorHAnsi"/>
          <w:sz w:val="24"/>
          <w:szCs w:val="22"/>
        </w:rPr>
        <w:t xml:space="preserve">, 393 F. Supp. 502 (E.D.N.Y. 1975), Dupont, producer of </w:t>
      </w:r>
      <w:proofErr w:type="spellStart"/>
      <w:r w:rsidRPr="00A84718">
        <w:rPr>
          <w:rFonts w:asciiTheme="minorHAnsi" w:hAnsiTheme="minorHAnsi"/>
          <w:smallCaps/>
          <w:sz w:val="24"/>
          <w:szCs w:val="22"/>
        </w:rPr>
        <w:t>teflon</w:t>
      </w:r>
      <w:proofErr w:type="spellEnd"/>
      <w:r w:rsidRPr="00A84718">
        <w:rPr>
          <w:rFonts w:asciiTheme="minorHAnsi" w:hAnsiTheme="minorHAnsi"/>
          <w:sz w:val="24"/>
          <w:szCs w:val="22"/>
        </w:rPr>
        <w:t xml:space="preserve"> resins, brought a trademark action against the defendant Yoshida, producer of </w:t>
      </w:r>
      <w:proofErr w:type="spellStart"/>
      <w:r w:rsidRPr="00A84718">
        <w:rPr>
          <w:rFonts w:asciiTheme="minorHAnsi" w:hAnsiTheme="minorHAnsi"/>
          <w:smallCaps/>
          <w:sz w:val="24"/>
          <w:szCs w:val="22"/>
        </w:rPr>
        <w:t>eflon</w:t>
      </w:r>
      <w:proofErr w:type="spellEnd"/>
      <w:r w:rsidRPr="00A84718">
        <w:rPr>
          <w:rFonts w:asciiTheme="minorHAnsi" w:hAnsiTheme="minorHAnsi"/>
          <w:sz w:val="24"/>
          <w:szCs w:val="22"/>
        </w:rPr>
        <w:t xml:space="preserve"> zippers. In response to Yoshida’s argument that </w:t>
      </w:r>
      <w:proofErr w:type="spellStart"/>
      <w:r w:rsidRPr="00A84718">
        <w:rPr>
          <w:rFonts w:asciiTheme="minorHAnsi" w:hAnsiTheme="minorHAnsi"/>
          <w:smallCaps/>
          <w:sz w:val="24"/>
          <w:szCs w:val="22"/>
        </w:rPr>
        <w:t>teflon</w:t>
      </w:r>
      <w:proofErr w:type="spellEnd"/>
      <w:r w:rsidRPr="00A84718">
        <w:rPr>
          <w:rFonts w:asciiTheme="minorHAnsi" w:hAnsiTheme="minorHAnsi"/>
          <w:sz w:val="24"/>
          <w:szCs w:val="22"/>
        </w:rPr>
        <w:t xml:space="preserve"> had become generic, DuPont submitted two surveys, one of which was a telephone survey in which respondents were first given what was essentially a mini-course in the difference between “brand names” and “common names” and then asked if “</w:t>
      </w:r>
      <w:proofErr w:type="spellStart"/>
      <w:r w:rsidRPr="00A84718">
        <w:rPr>
          <w:rFonts w:asciiTheme="minorHAnsi" w:hAnsiTheme="minorHAnsi"/>
          <w:sz w:val="24"/>
          <w:szCs w:val="22"/>
        </w:rPr>
        <w:t>teflon</w:t>
      </w:r>
      <w:proofErr w:type="spellEnd"/>
      <w:r w:rsidRPr="00A84718">
        <w:rPr>
          <w:rFonts w:asciiTheme="minorHAnsi" w:hAnsiTheme="minorHAnsi"/>
          <w:sz w:val="24"/>
          <w:szCs w:val="22"/>
        </w:rPr>
        <w:t>” was a brand name or a common name. The core of the survey script proceeded as follows:</w:t>
      </w:r>
    </w:p>
    <w:p w14:paraId="6F9EF9BC"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 xml:space="preserve">I’d like to read 8 names to you and get you to tell me whether you think it is a brand name or a common name; by </w:t>
      </w:r>
      <w:r w:rsidRPr="00A84718">
        <w:rPr>
          <w:rFonts w:asciiTheme="minorHAnsi" w:hAnsiTheme="minorHAnsi"/>
          <w:i/>
          <w:iCs/>
          <w:sz w:val="24"/>
          <w:szCs w:val="22"/>
        </w:rPr>
        <w:t>brand</w:t>
      </w:r>
      <w:r w:rsidRPr="00A84718">
        <w:rPr>
          <w:rFonts w:asciiTheme="minorHAnsi" w:hAnsiTheme="minorHAnsi"/>
          <w:sz w:val="24"/>
          <w:szCs w:val="22"/>
        </w:rPr>
        <w:t xml:space="preserve"> name, I mean a word like </w:t>
      </w:r>
      <w:r w:rsidRPr="00A84718">
        <w:rPr>
          <w:rFonts w:asciiTheme="minorHAnsi" w:hAnsiTheme="minorHAnsi"/>
          <w:i/>
          <w:iCs/>
          <w:sz w:val="24"/>
          <w:szCs w:val="22"/>
        </w:rPr>
        <w:t>Chevrolet</w:t>
      </w:r>
      <w:r w:rsidRPr="00A84718">
        <w:rPr>
          <w:rFonts w:asciiTheme="minorHAnsi" w:hAnsiTheme="minorHAnsi"/>
          <w:sz w:val="24"/>
          <w:szCs w:val="22"/>
        </w:rPr>
        <w:t xml:space="preserve"> which is made by one company; by </w:t>
      </w:r>
      <w:r w:rsidRPr="00A84718">
        <w:rPr>
          <w:rFonts w:asciiTheme="minorHAnsi" w:hAnsiTheme="minorHAnsi"/>
          <w:i/>
          <w:iCs/>
          <w:sz w:val="24"/>
          <w:szCs w:val="22"/>
        </w:rPr>
        <w:t>common</w:t>
      </w:r>
      <w:r w:rsidRPr="00A84718">
        <w:rPr>
          <w:rFonts w:asciiTheme="minorHAnsi" w:hAnsiTheme="minorHAnsi"/>
          <w:sz w:val="24"/>
          <w:szCs w:val="22"/>
        </w:rPr>
        <w:t xml:space="preserve"> name, I mean a word like</w:t>
      </w:r>
      <w:r w:rsidRPr="00A84718">
        <w:rPr>
          <w:rFonts w:asciiTheme="minorHAnsi" w:hAnsiTheme="minorHAnsi"/>
          <w:i/>
          <w:iCs/>
          <w:sz w:val="24"/>
          <w:szCs w:val="22"/>
        </w:rPr>
        <w:t xml:space="preserve"> automobile</w:t>
      </w:r>
      <w:r w:rsidRPr="00A84718">
        <w:rPr>
          <w:rFonts w:asciiTheme="minorHAnsi" w:hAnsiTheme="minorHAnsi"/>
          <w:sz w:val="24"/>
          <w:szCs w:val="22"/>
        </w:rPr>
        <w:t xml:space="preserve"> which is made by a number of different companies. </w:t>
      </w:r>
      <w:proofErr w:type="gramStart"/>
      <w:r w:rsidRPr="00A84718">
        <w:rPr>
          <w:rFonts w:asciiTheme="minorHAnsi" w:hAnsiTheme="minorHAnsi"/>
          <w:sz w:val="24"/>
          <w:szCs w:val="22"/>
        </w:rPr>
        <w:t>So</w:t>
      </w:r>
      <w:proofErr w:type="gramEnd"/>
      <w:r w:rsidRPr="00A84718">
        <w:rPr>
          <w:rFonts w:asciiTheme="minorHAnsi" w:hAnsiTheme="minorHAnsi"/>
          <w:sz w:val="24"/>
          <w:szCs w:val="22"/>
        </w:rPr>
        <w:t xml:space="preserve"> if I were to ask you, “Is Chevrolet a brand name or a common name?,” what would you say?</w:t>
      </w:r>
    </w:p>
    <w:p w14:paraId="40DF8CD2"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Now, if I were to ask you, “Is washing machine a brand name or a common name?,” what would you say?</w:t>
      </w:r>
    </w:p>
    <w:p w14:paraId="5B2A20F0"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[If respondent understands continue. If not understand, explain again.]</w:t>
      </w:r>
    </w:p>
    <w:p w14:paraId="7A3E906B"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Now, would you say ——— is a brand name or a common name?</w:t>
      </w:r>
    </w:p>
    <w:p w14:paraId="4D375507"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smallCaps/>
          <w:sz w:val="24"/>
          <w:szCs w:val="22"/>
        </w:rPr>
        <w:t>McCarthy</w:t>
      </w:r>
      <w:r w:rsidRPr="00A84718">
        <w:rPr>
          <w:rFonts w:asciiTheme="minorHAnsi" w:hAnsiTheme="minorHAnsi"/>
          <w:sz w:val="24"/>
          <w:szCs w:val="22"/>
        </w:rPr>
        <w:t xml:space="preserve"> § 12:16. In one evening, 514 men and 517 women were surveyed in 20 cities. The survey results were as follows:</w:t>
      </w:r>
    </w:p>
    <w:p w14:paraId="5EC5C6A2" w14:textId="77777777" w:rsidR="00F31323" w:rsidRPr="00A84718" w:rsidRDefault="00F31323" w:rsidP="00F31323">
      <w:pPr>
        <w:pStyle w:val="Normal-Centered"/>
        <w:rPr>
          <w:rFonts w:asciiTheme="minorHAnsi" w:hAnsiTheme="minorHAnsi"/>
          <w:sz w:val="24"/>
          <w:szCs w:val="22"/>
        </w:rPr>
      </w:pPr>
      <w:r w:rsidRPr="00A84718">
        <w:rPr>
          <w:rFonts w:asciiTheme="minorHAnsi" w:hAnsiTheme="minorHAnsi"/>
          <w:noProof/>
          <w:sz w:val="24"/>
          <w:szCs w:val="22"/>
        </w:rPr>
        <w:lastRenderedPageBreak/>
        <w:drawing>
          <wp:inline distT="0" distB="0" distL="0" distR="0" wp14:anchorId="753E3FF0" wp14:editId="03CFCBDC">
            <wp:extent cx="2682240" cy="1879600"/>
            <wp:effectExtent l="0" t="0" r="0" b="0"/>
            <wp:docPr id="29" name="Picture 146" descr="A table of number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6" descr="A table of numbers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2240" cy="1879600"/>
                    </a:xfrm>
                    <a:prstGeom prst="rect">
                      <a:avLst/>
                    </a:prstGeom>
                    <a:noFill/>
                    <a:ln>
                      <a:noFill/>
                    </a:ln>
                  </pic:spPr>
                </pic:pic>
              </a:graphicData>
            </a:graphic>
          </wp:inline>
        </w:drawing>
      </w:r>
    </w:p>
    <w:p w14:paraId="64620D91"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Interestingly, Yoshida submitted a </w:t>
      </w:r>
      <w:r w:rsidRPr="00A84718">
        <w:rPr>
          <w:rFonts w:asciiTheme="minorHAnsi" w:hAnsiTheme="minorHAnsi"/>
          <w:i/>
          <w:sz w:val="24"/>
          <w:szCs w:val="22"/>
        </w:rPr>
        <w:t>Thermos</w:t>
      </w:r>
      <w:r w:rsidRPr="00A84718">
        <w:rPr>
          <w:rFonts w:asciiTheme="minorHAnsi" w:hAnsiTheme="minorHAnsi"/>
          <w:sz w:val="24"/>
          <w:szCs w:val="22"/>
        </w:rPr>
        <w:t xml:space="preserve"> survey to support its claim that </w:t>
      </w:r>
      <w:proofErr w:type="spellStart"/>
      <w:r w:rsidRPr="00A84718">
        <w:rPr>
          <w:rFonts w:asciiTheme="minorHAnsi" w:hAnsiTheme="minorHAnsi"/>
          <w:smallCaps/>
          <w:sz w:val="24"/>
          <w:szCs w:val="22"/>
        </w:rPr>
        <w:t>teflon</w:t>
      </w:r>
      <w:proofErr w:type="spellEnd"/>
      <w:r w:rsidRPr="00A84718">
        <w:rPr>
          <w:rFonts w:asciiTheme="minorHAnsi" w:hAnsiTheme="minorHAnsi"/>
          <w:sz w:val="24"/>
          <w:szCs w:val="22"/>
        </w:rPr>
        <w:t xml:space="preserve"> had become generic. As the court explained,  this survey</w:t>
      </w:r>
    </w:p>
    <w:p w14:paraId="20AF4FEA"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was conducted among adult women, 90.6% of whom expressed awareness of ‘kitchen pots and pans that have their inside surfaces coated by chemical substances to keep grease or food from sticking to them.’ Of the aware respondents, 86.1% apparently mentioned only ‘TEFLON’ or ‘TEFLON II’ [DuPont’s mark for an improved means of applying its resin to metal surfaces] as their sole answer when asked, ‘What is the name . . . or names of these pots and pans . . .?’ Further, 71.7% of the aware women gave only ‘TEFLON’ or ‘TEFLON II’ as the name they would use to describe the pots and pans to a store clerk or friend.</w:t>
      </w:r>
    </w:p>
    <w:p w14:paraId="00998E7E"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i/>
          <w:iCs/>
          <w:sz w:val="24"/>
          <w:szCs w:val="22"/>
        </w:rPr>
        <w:t>E. I. DuPont de Nemours &amp; Co</w:t>
      </w:r>
      <w:r w:rsidRPr="00A84718">
        <w:rPr>
          <w:rFonts w:asciiTheme="minorHAnsi" w:hAnsiTheme="minorHAnsi"/>
          <w:sz w:val="24"/>
          <w:szCs w:val="22"/>
        </w:rPr>
        <w:t xml:space="preserve">., 393 </w:t>
      </w:r>
      <w:proofErr w:type="spellStart"/>
      <w:r w:rsidRPr="00A84718">
        <w:rPr>
          <w:rFonts w:asciiTheme="minorHAnsi" w:hAnsiTheme="minorHAnsi"/>
          <w:sz w:val="24"/>
          <w:szCs w:val="22"/>
        </w:rPr>
        <w:t>F.Supp</w:t>
      </w:r>
      <w:proofErr w:type="spellEnd"/>
      <w:r w:rsidRPr="00A84718">
        <w:rPr>
          <w:rFonts w:asciiTheme="minorHAnsi" w:hAnsiTheme="minorHAnsi"/>
          <w:sz w:val="24"/>
          <w:szCs w:val="22"/>
        </w:rPr>
        <w:t>. at 525.</w:t>
      </w:r>
    </w:p>
    <w:p w14:paraId="1DFC1A05"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sz w:val="24"/>
          <w:szCs w:val="22"/>
        </w:rPr>
        <w:tab/>
        <w:t xml:space="preserve">The court ultimately found DuPont’s brand name vs. common name survey to be the more persuasive. In Yoshida’s </w:t>
      </w:r>
      <w:r w:rsidRPr="00A84718">
        <w:rPr>
          <w:rFonts w:asciiTheme="minorHAnsi" w:hAnsiTheme="minorHAnsi"/>
          <w:i/>
          <w:sz w:val="24"/>
          <w:szCs w:val="22"/>
        </w:rPr>
        <w:t>Thermos</w:t>
      </w:r>
      <w:r w:rsidRPr="00A84718">
        <w:rPr>
          <w:rFonts w:asciiTheme="minorHAnsi" w:hAnsiTheme="minorHAnsi"/>
          <w:sz w:val="24"/>
          <w:szCs w:val="22"/>
        </w:rPr>
        <w:t xml:space="preserve"> survey (as in other surveys in the case not discussed here), the court found, “respondents were, by the design of the questions, more often than not focusing on supplying the inquirer a ‘name’, without regard to whether the principal significance of the name supplied was ‘its indication of the nature or class of an article, rather than an indication of its origin.’”  </w:t>
      </w:r>
      <w:r w:rsidRPr="00A84718">
        <w:rPr>
          <w:rFonts w:asciiTheme="minorHAnsi" w:hAnsiTheme="minorHAnsi"/>
          <w:i/>
          <w:sz w:val="24"/>
          <w:szCs w:val="22"/>
        </w:rPr>
        <w:t>Id</w:t>
      </w:r>
      <w:r w:rsidRPr="00A84718">
        <w:rPr>
          <w:rFonts w:asciiTheme="minorHAnsi" w:hAnsiTheme="minorHAnsi"/>
          <w:sz w:val="24"/>
          <w:szCs w:val="22"/>
        </w:rPr>
        <w:t xml:space="preserve">. at 527 (quoting </w:t>
      </w:r>
      <w:r w:rsidRPr="00A84718">
        <w:rPr>
          <w:rFonts w:asciiTheme="minorHAnsi" w:hAnsiTheme="minorHAnsi"/>
          <w:i/>
          <w:sz w:val="24"/>
          <w:szCs w:val="22"/>
        </w:rPr>
        <w:t>King-Seeley Thermos Co</w:t>
      </w:r>
      <w:r w:rsidRPr="00A84718">
        <w:rPr>
          <w:rFonts w:asciiTheme="minorHAnsi" w:hAnsiTheme="minorHAnsi"/>
          <w:sz w:val="24"/>
          <w:szCs w:val="22"/>
        </w:rPr>
        <w:t>., 321 F.2d at 580). Only DuPont’s brand name vs. common name survey</w:t>
      </w:r>
    </w:p>
    <w:p w14:paraId="6B7EE5AA"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 xml:space="preserve">really gets down to the critical element of the case. . . . </w:t>
      </w:r>
      <w:proofErr w:type="gramStart"/>
      <w:r w:rsidRPr="00A84718">
        <w:rPr>
          <w:rFonts w:asciiTheme="minorHAnsi" w:hAnsiTheme="minorHAnsi"/>
          <w:sz w:val="24"/>
          <w:szCs w:val="22"/>
        </w:rPr>
        <w:t>{T}he</w:t>
      </w:r>
      <w:proofErr w:type="gramEnd"/>
      <w:r w:rsidRPr="00A84718">
        <w:rPr>
          <w:rFonts w:asciiTheme="minorHAnsi" w:hAnsiTheme="minorHAnsi"/>
          <w:sz w:val="24"/>
          <w:szCs w:val="22"/>
        </w:rPr>
        <w:t xml:space="preserve"> responses of the survey reveal that the public is quite good at sorting out brand names from common names, and, for TEFLON, answers the critical question left unanswered by the ambiguities inherent in {the other surveys]—that of the principal significance of the TEFLON mark to the public.  Not only have defendants failed to show that TEFLON’s principal significance is as a common noun, </w:t>
      </w:r>
      <w:proofErr w:type="gramStart"/>
      <w:r w:rsidRPr="00A84718">
        <w:rPr>
          <w:rFonts w:asciiTheme="minorHAnsi" w:hAnsiTheme="minorHAnsi"/>
          <w:sz w:val="24"/>
          <w:szCs w:val="22"/>
        </w:rPr>
        <w:t>plaintiff has</w:t>
      </w:r>
      <w:proofErr w:type="gramEnd"/>
      <w:r w:rsidRPr="00A84718">
        <w:rPr>
          <w:rFonts w:asciiTheme="minorHAnsi" w:hAnsiTheme="minorHAnsi"/>
          <w:sz w:val="24"/>
          <w:szCs w:val="22"/>
        </w:rPr>
        <w:t xml:space="preserve"> succeeded in showing it to be a ‘brand name’—an indicator, in the words of DuPont’s questionnaire, of a product ‘made by one company.’”</w:t>
      </w:r>
    </w:p>
    <w:p w14:paraId="7E3DAAC5"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i/>
          <w:iCs/>
          <w:sz w:val="24"/>
          <w:szCs w:val="22"/>
        </w:rPr>
        <w:t>E. I. DuPont de Nemours &amp; Co</w:t>
      </w:r>
      <w:r w:rsidRPr="00A84718">
        <w:rPr>
          <w:rFonts w:asciiTheme="minorHAnsi" w:hAnsiTheme="minorHAnsi"/>
          <w:sz w:val="24"/>
          <w:szCs w:val="22"/>
        </w:rPr>
        <w:t xml:space="preserve">., 393 </w:t>
      </w:r>
      <w:proofErr w:type="spellStart"/>
      <w:r w:rsidRPr="00A84718">
        <w:rPr>
          <w:rFonts w:asciiTheme="minorHAnsi" w:hAnsiTheme="minorHAnsi"/>
          <w:sz w:val="24"/>
          <w:szCs w:val="22"/>
        </w:rPr>
        <w:t>F.Supp</w:t>
      </w:r>
      <w:proofErr w:type="spellEnd"/>
      <w:r w:rsidRPr="00A84718">
        <w:rPr>
          <w:rFonts w:asciiTheme="minorHAnsi" w:hAnsiTheme="minorHAnsi"/>
          <w:sz w:val="24"/>
          <w:szCs w:val="22"/>
        </w:rPr>
        <w:t>. at 527.</w:t>
      </w:r>
    </w:p>
    <w:p w14:paraId="1ECD417A"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lastRenderedPageBreak/>
        <w:t xml:space="preserve">Do you agree that the </w:t>
      </w:r>
      <w:r w:rsidRPr="00A84718">
        <w:rPr>
          <w:rFonts w:asciiTheme="minorHAnsi" w:hAnsiTheme="minorHAnsi"/>
          <w:i/>
          <w:sz w:val="24"/>
          <w:szCs w:val="22"/>
        </w:rPr>
        <w:t>Teflon</w:t>
      </w:r>
      <w:r w:rsidRPr="00A84718">
        <w:rPr>
          <w:rFonts w:asciiTheme="minorHAnsi" w:hAnsiTheme="minorHAnsi"/>
          <w:sz w:val="24"/>
          <w:szCs w:val="22"/>
        </w:rPr>
        <w:t xml:space="preserve"> survey method is superior to the </w:t>
      </w:r>
      <w:r w:rsidRPr="00A84718">
        <w:rPr>
          <w:rFonts w:asciiTheme="minorHAnsi" w:hAnsiTheme="minorHAnsi"/>
          <w:i/>
          <w:sz w:val="24"/>
          <w:szCs w:val="22"/>
        </w:rPr>
        <w:t>Thermos</w:t>
      </w:r>
      <w:r w:rsidRPr="00A84718">
        <w:rPr>
          <w:rFonts w:asciiTheme="minorHAnsi" w:hAnsiTheme="minorHAnsi"/>
          <w:sz w:val="24"/>
          <w:szCs w:val="22"/>
        </w:rPr>
        <w:t xml:space="preserve"> survey method for assessing whether a mark is generic?</w:t>
      </w:r>
    </w:p>
    <w:p w14:paraId="4355AD2D"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4. </w:t>
      </w:r>
      <w:r w:rsidRPr="00A84718">
        <w:rPr>
          <w:rFonts w:asciiTheme="minorHAnsi" w:hAnsiTheme="minorHAnsi"/>
          <w:i/>
          <w:iCs/>
          <w:sz w:val="24"/>
          <w:szCs w:val="22"/>
        </w:rPr>
        <w:t>What proportion of relevant consumers is sufficient to qualify the asserted mark as non-generic?</w:t>
      </w:r>
      <w:r w:rsidRPr="00A84718">
        <w:rPr>
          <w:rFonts w:asciiTheme="minorHAnsi" w:hAnsiTheme="minorHAnsi"/>
          <w:sz w:val="24"/>
          <w:szCs w:val="22"/>
        </w:rPr>
        <w:t xml:space="preserve"> In keeping with the statutory language that “[t]he primary significance of the registered mark to the relevant public . . . shall be the test for determining whether the registered mark has become the generic name of goods or services,” 15 U.S.C. § 1064(3), courts generally require that survey evidence show that a majority of consumers, i.e., above 50%, recognize the asserted mark as a designation of source rather than a generic term. </w:t>
      </w:r>
      <w:r w:rsidRPr="00A84718">
        <w:rPr>
          <w:rFonts w:asciiTheme="minorHAnsi" w:hAnsiTheme="minorHAnsi"/>
          <w:i/>
          <w:iCs/>
          <w:sz w:val="24"/>
          <w:szCs w:val="22"/>
        </w:rPr>
        <w:t>See</w:t>
      </w:r>
      <w:r w:rsidRPr="00A84718">
        <w:rPr>
          <w:rFonts w:asciiTheme="minorHAnsi" w:hAnsiTheme="minorHAnsi"/>
          <w:sz w:val="24"/>
          <w:szCs w:val="22"/>
        </w:rPr>
        <w:t xml:space="preserve"> </w:t>
      </w:r>
      <w:r w:rsidRPr="00A84718">
        <w:rPr>
          <w:rFonts w:asciiTheme="minorHAnsi" w:hAnsiTheme="minorHAnsi"/>
          <w:smallCaps/>
          <w:sz w:val="24"/>
          <w:szCs w:val="22"/>
        </w:rPr>
        <w:t>McCarthy</w:t>
      </w:r>
      <w:r w:rsidRPr="00A84718">
        <w:rPr>
          <w:rFonts w:asciiTheme="minorHAnsi" w:hAnsiTheme="minorHAnsi"/>
          <w:sz w:val="24"/>
          <w:szCs w:val="22"/>
        </w:rPr>
        <w:t xml:space="preserve"> § 12:6.</w:t>
      </w:r>
    </w:p>
    <w:p w14:paraId="48E1789B"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5. </w:t>
      </w:r>
      <w:r w:rsidRPr="00A84718">
        <w:rPr>
          <w:rFonts w:asciiTheme="minorHAnsi" w:hAnsiTheme="minorHAnsi"/>
          <w:i/>
          <w:iCs/>
          <w:sz w:val="24"/>
          <w:szCs w:val="22"/>
        </w:rPr>
        <w:t>Surveying for Genericism: Secondary Meaning Surveys?</w:t>
      </w:r>
      <w:r w:rsidRPr="00A84718">
        <w:rPr>
          <w:rFonts w:asciiTheme="minorHAnsi" w:hAnsiTheme="minorHAnsi"/>
          <w:sz w:val="24"/>
          <w:szCs w:val="22"/>
        </w:rPr>
        <w:t xml:space="preserve"> In a portion of the </w:t>
      </w:r>
      <w:r w:rsidRPr="00A84718">
        <w:rPr>
          <w:rFonts w:asciiTheme="minorHAnsi" w:hAnsiTheme="minorHAnsi"/>
          <w:i/>
          <w:iCs/>
          <w:sz w:val="24"/>
          <w:szCs w:val="22"/>
        </w:rPr>
        <w:t>Snyder’s Lance</w:t>
      </w:r>
      <w:r w:rsidRPr="00A84718">
        <w:rPr>
          <w:rFonts w:asciiTheme="minorHAnsi" w:hAnsiTheme="minorHAnsi"/>
          <w:sz w:val="24"/>
          <w:szCs w:val="22"/>
        </w:rPr>
        <w:t xml:space="preserve"> opinion not excerpted above, the district court quoted and endorsed the TTAB’s analysis of a secondary meaning survey that Princeton Vanguard had submitted in an effort to prove that </w:t>
      </w:r>
      <w:r w:rsidRPr="00A84718">
        <w:rPr>
          <w:rFonts w:asciiTheme="minorHAnsi" w:hAnsiTheme="minorHAnsi"/>
          <w:smallCaps/>
          <w:sz w:val="24"/>
          <w:szCs w:val="22"/>
        </w:rPr>
        <w:t>pretzel crisps</w:t>
      </w:r>
      <w:r w:rsidRPr="00A84718">
        <w:rPr>
          <w:rFonts w:asciiTheme="minorHAnsi" w:hAnsiTheme="minorHAnsi"/>
          <w:sz w:val="24"/>
          <w:szCs w:val="22"/>
        </w:rPr>
        <w:t xml:space="preserve"> had acquired secondary meaning. The TTAB interpreted the survey evidence rather differently. As quoted by the Synder’s Lance district court, the TTAB explained: </w:t>
      </w:r>
    </w:p>
    <w:p w14:paraId="0CDCA34F" w14:textId="77777777" w:rsidR="00F31323" w:rsidRPr="00A84718" w:rsidRDefault="00F31323" w:rsidP="00F31323">
      <w:pPr>
        <w:pStyle w:val="Blockquoteindent"/>
        <w:rPr>
          <w:rFonts w:asciiTheme="minorHAnsi" w:hAnsiTheme="minorHAnsi"/>
          <w:sz w:val="24"/>
          <w:szCs w:val="22"/>
        </w:rPr>
      </w:pPr>
      <w:r w:rsidRPr="00A84718">
        <w:rPr>
          <w:rFonts w:asciiTheme="minorHAnsi" w:hAnsiTheme="minorHAnsi"/>
          <w:sz w:val="24"/>
          <w:szCs w:val="22"/>
        </w:rPr>
        <w:t>The {Mantis Survey} was conducted via online participation, between August 26 and August 30, 2011. There were 400 survey participants. Respondents were invited by email to participate in the survey and were told it was about “salty snack foods.” Individuals were then asked prescreening questions. To be included in the survey, individuals had to, among other things, be the “primary grocery shopper,” be “between the ages of 24 and 39,” and “have purchased crackers and pretzels in the past month and will purchase crackers and pretzels in the next month.”</w:t>
      </w:r>
    </w:p>
    <w:p w14:paraId="0771CEBE" w14:textId="77777777" w:rsidR="00F31323" w:rsidRPr="00A84718" w:rsidRDefault="00F31323" w:rsidP="00F31323">
      <w:pPr>
        <w:pStyle w:val="Blockquoteindent"/>
        <w:rPr>
          <w:rFonts w:asciiTheme="minorHAnsi" w:hAnsiTheme="minorHAnsi"/>
          <w:sz w:val="24"/>
          <w:szCs w:val="22"/>
        </w:rPr>
      </w:pPr>
      <w:r w:rsidRPr="00A84718">
        <w:rPr>
          <w:rFonts w:asciiTheme="minorHAnsi" w:hAnsiTheme="minorHAnsi"/>
          <w:sz w:val="24"/>
          <w:szCs w:val="22"/>
        </w:rPr>
        <w:t xml:space="preserve">Survey respondents were informed during the screening process about the difference between “brand” and “common” names and then allowed to proceed with the survey only if they correctly associated BAKED TOSTITOS with “only one company” and TORTILLA CHIPS with “more than one company.” For those who proceeded with the study, two control names were given, and the same questions were asked. The results </w:t>
      </w:r>
      <w:proofErr w:type="gramStart"/>
      <w:r w:rsidRPr="00A84718">
        <w:rPr>
          <w:rFonts w:asciiTheme="minorHAnsi" w:hAnsiTheme="minorHAnsi"/>
          <w:sz w:val="24"/>
          <w:szCs w:val="22"/>
        </w:rPr>
        <w:t>are shown</w:t>
      </w:r>
      <w:proofErr w:type="gramEnd"/>
      <w:r w:rsidRPr="00A84718">
        <w:rPr>
          <w:rFonts w:asciiTheme="minorHAnsi" w:hAnsiTheme="minorHAnsi"/>
          <w:sz w:val="24"/>
          <w:szCs w:val="22"/>
        </w:rPr>
        <w:t xml:space="preserve"> as follows:</w:t>
      </w:r>
    </w:p>
    <w:p w14:paraId="3414F59D" w14:textId="77777777" w:rsidR="00F31323" w:rsidRPr="00A84718" w:rsidRDefault="00F31323" w:rsidP="00F31323">
      <w:pPr>
        <w:pStyle w:val="Centered"/>
        <w:rPr>
          <w:rFonts w:asciiTheme="minorHAnsi" w:hAnsiTheme="minorHAnsi"/>
          <w:sz w:val="24"/>
          <w:szCs w:val="22"/>
        </w:rPr>
      </w:pPr>
      <w:r w:rsidRPr="00A84718">
        <w:rPr>
          <w:rFonts w:asciiTheme="minorHAnsi" w:hAnsiTheme="minorHAnsi"/>
          <w:noProof/>
          <w:sz w:val="24"/>
          <w:szCs w:val="22"/>
        </w:rPr>
        <w:drawing>
          <wp:inline distT="0" distB="0" distL="0" distR="0" wp14:anchorId="41571E14" wp14:editId="4629C2B3">
            <wp:extent cx="2943860" cy="843280"/>
            <wp:effectExtent l="0" t="0" r="0" b="0"/>
            <wp:docPr id="30" name="Picture 145"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bl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860" cy="843280"/>
                    </a:xfrm>
                    <a:prstGeom prst="rect">
                      <a:avLst/>
                    </a:prstGeom>
                    <a:noFill/>
                    <a:ln>
                      <a:noFill/>
                    </a:ln>
                  </pic:spPr>
                </pic:pic>
              </a:graphicData>
            </a:graphic>
          </wp:inline>
        </w:drawing>
      </w:r>
    </w:p>
    <w:p w14:paraId="231F506B" w14:textId="77777777" w:rsidR="00F31323" w:rsidRPr="00A84718" w:rsidRDefault="00F31323" w:rsidP="00F31323">
      <w:pPr>
        <w:pStyle w:val="Blockquoteindent"/>
        <w:rPr>
          <w:rFonts w:asciiTheme="minorHAnsi" w:hAnsiTheme="minorHAnsi"/>
          <w:sz w:val="24"/>
          <w:szCs w:val="22"/>
        </w:rPr>
      </w:pPr>
      <w:r w:rsidRPr="00A84718">
        <w:rPr>
          <w:rFonts w:asciiTheme="minorHAnsi" w:hAnsiTheme="minorHAnsi"/>
          <w:sz w:val="24"/>
          <w:szCs w:val="22"/>
        </w:rPr>
        <w:t>Based on the survey, Mr. Mantis found that 38.7% of the respondents associated the name “PRETZEL CRISPS” with only one company. On that basis, he stated: “It is my opinion that the name ‘PRETZEL CRISPS,’ used in conjunction with a salty snack food product, has acquired secondary meaning.”</w:t>
      </w:r>
    </w:p>
    <w:p w14:paraId="035CDE2F" w14:textId="77777777" w:rsidR="00F31323" w:rsidRPr="00A84718" w:rsidRDefault="00F31323" w:rsidP="00F31323">
      <w:pPr>
        <w:pStyle w:val="Blockquoteindent"/>
        <w:rPr>
          <w:rFonts w:asciiTheme="minorHAnsi" w:hAnsiTheme="minorHAnsi"/>
          <w:sz w:val="24"/>
          <w:szCs w:val="22"/>
        </w:rPr>
      </w:pPr>
      <w:r w:rsidRPr="00A84718">
        <w:rPr>
          <w:rFonts w:asciiTheme="minorHAnsi" w:hAnsiTheme="minorHAnsi"/>
          <w:sz w:val="24"/>
          <w:szCs w:val="22"/>
        </w:rPr>
        <w:lastRenderedPageBreak/>
        <w:t>Plaintiff retained Dr. Ivan Ross to rebut the findings of Mr. Mantis. Keeping in mind that the rebuttal was as to a survey offered to show acquired distinctiveness, Dr. Ross’ main objection to the Mantis survey is that although Mr. Mantis said that he conducted the survey for the purpose of establishing secondary meaning, Mr. Mantis’s methodology actually analyzes genericness. Plaintiff specifically argues that the Mantis survey was conducted in the manner of a Teflon-style survey, in that participants were asked whether they associate each term with one company or with more than one company. In this regard, during the initial mini-course, participants were specifically instructed as to the differences between “brand” and “common” names:</w:t>
      </w:r>
    </w:p>
    <w:p w14:paraId="1CC4653A" w14:textId="77777777" w:rsidR="00F31323" w:rsidRPr="00A84718" w:rsidRDefault="00F31323" w:rsidP="00F31323">
      <w:pPr>
        <w:pStyle w:val="DoubleBlockQuote0"/>
        <w:rPr>
          <w:rFonts w:asciiTheme="minorHAnsi" w:hAnsiTheme="minorHAnsi"/>
          <w:sz w:val="24"/>
          <w:szCs w:val="22"/>
        </w:rPr>
      </w:pPr>
      <w:r w:rsidRPr="00A84718">
        <w:rPr>
          <w:rFonts w:asciiTheme="minorHAnsi" w:hAnsiTheme="minorHAnsi"/>
          <w:sz w:val="24"/>
          <w:szCs w:val="22"/>
        </w:rPr>
        <w:t>Some names are brand names. A brand name refers to a product associated with one particular company. Other names are common names. A common name refers to a type of product associated with more than one company.</w:t>
      </w:r>
    </w:p>
    <w:p w14:paraId="356C25BB" w14:textId="77777777" w:rsidR="00F31323" w:rsidRPr="00A84718" w:rsidRDefault="00F31323" w:rsidP="00F31323">
      <w:pPr>
        <w:pStyle w:val="Blockquoteindent"/>
        <w:rPr>
          <w:rFonts w:asciiTheme="minorHAnsi" w:hAnsiTheme="minorHAnsi"/>
          <w:sz w:val="24"/>
          <w:szCs w:val="22"/>
        </w:rPr>
      </w:pPr>
      <w:r w:rsidRPr="00A84718">
        <w:rPr>
          <w:rFonts w:asciiTheme="minorHAnsi" w:hAnsiTheme="minorHAnsi"/>
          <w:sz w:val="24"/>
          <w:szCs w:val="22"/>
        </w:rPr>
        <w:t>As such, participants were told that if they associated a term with “one particular company” then it is a “brand name,” and vice-versa. With this instruction given to all participants in the survey, we find it logical to consider all those who said they associated the term “PRETZEL CRISPS” with “one particular company” thus also found the term “PRETZEL CRISPS” to be a “brand name” rather than a “common name,” and that all those who said they associated the term “PRETZEL CRISPS” with “more than one company” thus also found the term “PRETZEL CRISPS” to be a “common name” rather than a “brand name.” In this regard, only 38.7% of participants, which is rather less than 50%, found the term to be a brand name.</w:t>
      </w:r>
    </w:p>
    <w:p w14:paraId="10F0519A" w14:textId="77777777" w:rsidR="00F31323" w:rsidRPr="00A84718" w:rsidRDefault="00F31323" w:rsidP="00F31323">
      <w:pPr>
        <w:pStyle w:val="Blockquoteindent"/>
        <w:rPr>
          <w:rFonts w:asciiTheme="minorHAnsi" w:hAnsiTheme="minorHAnsi"/>
          <w:sz w:val="24"/>
          <w:szCs w:val="22"/>
        </w:rPr>
      </w:pPr>
      <w:r w:rsidRPr="00A84718">
        <w:rPr>
          <w:rFonts w:asciiTheme="minorHAnsi" w:hAnsiTheme="minorHAnsi"/>
          <w:sz w:val="24"/>
          <w:szCs w:val="22"/>
        </w:rPr>
        <w:t>Accordingly, we find that although the Mantis survey was conducted and offered for the purpose of showing secondary meaning, if we had considered the other two surveys on the question of genericness, the Mantis survey should also have been considered on the issue of genericness. Since substantially less than half of the Mantis survey respondents associated the term “PRETZEL CRISPS” with a single source, this survey weighs in favor of finding genericness. We note, in this regard, that even if we were to split the 13.5% percent of “don’t know” responses, as suggested by Defendant with regard to the Simonson survey, then adding 6.75% to each of the “only one company” and “more than one company” tallies, we still have less than a majority who associate the term with one company, and more than half who associate the term with more than one company, and so we have the same result.</w:t>
      </w:r>
    </w:p>
    <w:p w14:paraId="6E772C2D"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i/>
          <w:iCs/>
          <w:sz w:val="24"/>
          <w:szCs w:val="22"/>
        </w:rPr>
        <w:t>Snyder’s Lance, Inc. v. Frito-Lay North America, Inc</w:t>
      </w:r>
      <w:r w:rsidRPr="00A84718">
        <w:rPr>
          <w:rFonts w:asciiTheme="minorHAnsi" w:hAnsiTheme="minorHAnsi"/>
          <w:sz w:val="24"/>
          <w:szCs w:val="22"/>
        </w:rPr>
        <w:t xml:space="preserve">., 542 F.Supp.3d 371, 402–03 (2021) (quoting </w:t>
      </w:r>
      <w:r w:rsidRPr="00A84718">
        <w:rPr>
          <w:rFonts w:asciiTheme="minorHAnsi" w:hAnsiTheme="minorHAnsi"/>
          <w:i/>
          <w:iCs/>
          <w:sz w:val="24"/>
          <w:szCs w:val="22"/>
        </w:rPr>
        <w:t>Frito-Lay N. Am., Inc. v. Princeton Vanguard, LLC</w:t>
      </w:r>
      <w:r w:rsidRPr="00A84718">
        <w:rPr>
          <w:rFonts w:asciiTheme="minorHAnsi" w:hAnsiTheme="minorHAnsi"/>
          <w:sz w:val="24"/>
          <w:szCs w:val="22"/>
        </w:rPr>
        <w:t>, 124 U.S.P.Q.2d 1184, 1191-1201 (TTAB 2017)).</w:t>
      </w:r>
    </w:p>
    <w:p w14:paraId="6CE6B321"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lastRenderedPageBreak/>
        <w:t xml:space="preserve">6. </w:t>
      </w:r>
      <w:r w:rsidRPr="00A84718">
        <w:rPr>
          <w:rFonts w:asciiTheme="minorHAnsi" w:hAnsiTheme="minorHAnsi"/>
          <w:i/>
          <w:sz w:val="24"/>
          <w:szCs w:val="22"/>
        </w:rPr>
        <w:t xml:space="preserve">Is </w:t>
      </w:r>
      <w:r w:rsidRPr="00A84718">
        <w:rPr>
          <w:rFonts w:asciiTheme="minorHAnsi" w:hAnsiTheme="minorHAnsi"/>
          <w:i/>
          <w:smallCaps/>
          <w:sz w:val="24"/>
          <w:szCs w:val="22"/>
        </w:rPr>
        <w:t>windows</w:t>
      </w:r>
      <w:r w:rsidRPr="00A84718">
        <w:rPr>
          <w:rFonts w:asciiTheme="minorHAnsi" w:hAnsiTheme="minorHAnsi"/>
          <w:i/>
          <w:sz w:val="24"/>
          <w:szCs w:val="22"/>
        </w:rPr>
        <w:t xml:space="preserve"> for a computer operating system generic?</w:t>
      </w:r>
      <w:r w:rsidRPr="00A84718">
        <w:rPr>
          <w:rFonts w:asciiTheme="minorHAnsi" w:hAnsiTheme="minorHAnsi"/>
          <w:sz w:val="24"/>
          <w:szCs w:val="22"/>
        </w:rPr>
        <w:t xml:space="preserve">  On December 20, 2011, Microsoft filed suit against Lindows.com (“</w:t>
      </w:r>
      <w:proofErr w:type="spellStart"/>
      <w:r w:rsidRPr="00A84718">
        <w:rPr>
          <w:rFonts w:asciiTheme="minorHAnsi" w:hAnsiTheme="minorHAnsi"/>
          <w:sz w:val="24"/>
          <w:szCs w:val="22"/>
        </w:rPr>
        <w:t>Lindows</w:t>
      </w:r>
      <w:proofErr w:type="spellEnd"/>
      <w:r w:rsidRPr="00A84718">
        <w:rPr>
          <w:rFonts w:asciiTheme="minorHAnsi" w:hAnsiTheme="minorHAnsi"/>
          <w:sz w:val="24"/>
          <w:szCs w:val="22"/>
        </w:rPr>
        <w:t xml:space="preserve">”) alleging that </w:t>
      </w:r>
      <w:proofErr w:type="spellStart"/>
      <w:r w:rsidRPr="00A84718">
        <w:rPr>
          <w:rFonts w:asciiTheme="minorHAnsi" w:hAnsiTheme="minorHAnsi"/>
          <w:sz w:val="24"/>
          <w:szCs w:val="22"/>
        </w:rPr>
        <w:t>Lindows</w:t>
      </w:r>
      <w:proofErr w:type="spellEnd"/>
      <w:r w:rsidRPr="00A84718">
        <w:rPr>
          <w:rFonts w:asciiTheme="minorHAnsi" w:hAnsiTheme="minorHAnsi"/>
          <w:sz w:val="24"/>
          <w:szCs w:val="22"/>
        </w:rPr>
        <w:t xml:space="preserve">’ mark </w:t>
      </w:r>
      <w:proofErr w:type="spellStart"/>
      <w:r w:rsidRPr="00A84718">
        <w:rPr>
          <w:rFonts w:asciiTheme="minorHAnsi" w:hAnsiTheme="minorHAnsi"/>
          <w:smallCaps/>
          <w:sz w:val="24"/>
          <w:szCs w:val="22"/>
        </w:rPr>
        <w:t>lindows</w:t>
      </w:r>
      <w:proofErr w:type="spellEnd"/>
      <w:r w:rsidRPr="00A84718">
        <w:rPr>
          <w:rFonts w:asciiTheme="minorHAnsi" w:hAnsiTheme="minorHAnsi"/>
          <w:sz w:val="24"/>
          <w:szCs w:val="22"/>
        </w:rPr>
        <w:t xml:space="preserve"> for a Linux-based operating system infringed Microsoft’s </w:t>
      </w:r>
      <w:r w:rsidRPr="00A84718">
        <w:rPr>
          <w:rFonts w:asciiTheme="minorHAnsi" w:hAnsiTheme="minorHAnsi"/>
          <w:smallCaps/>
          <w:sz w:val="24"/>
          <w:szCs w:val="22"/>
        </w:rPr>
        <w:t>windows</w:t>
      </w:r>
      <w:r w:rsidRPr="00A84718">
        <w:rPr>
          <w:rFonts w:asciiTheme="minorHAnsi" w:hAnsiTheme="minorHAnsi"/>
          <w:sz w:val="24"/>
          <w:szCs w:val="22"/>
        </w:rPr>
        <w:t xml:space="preserve"> mark. </w:t>
      </w:r>
      <w:proofErr w:type="spellStart"/>
      <w:r w:rsidRPr="00A84718">
        <w:rPr>
          <w:rFonts w:asciiTheme="minorHAnsi" w:hAnsiTheme="minorHAnsi"/>
          <w:sz w:val="24"/>
          <w:szCs w:val="22"/>
        </w:rPr>
        <w:t>Lindows</w:t>
      </w:r>
      <w:proofErr w:type="spellEnd"/>
      <w:r w:rsidRPr="00A84718">
        <w:rPr>
          <w:rFonts w:asciiTheme="minorHAnsi" w:hAnsiTheme="minorHAnsi"/>
          <w:sz w:val="24"/>
          <w:szCs w:val="22"/>
        </w:rPr>
        <w:t xml:space="preserve"> argued that </w:t>
      </w:r>
      <w:r w:rsidRPr="00A84718">
        <w:rPr>
          <w:rFonts w:asciiTheme="minorHAnsi" w:hAnsiTheme="minorHAnsi"/>
          <w:smallCaps/>
          <w:sz w:val="24"/>
          <w:szCs w:val="22"/>
        </w:rPr>
        <w:t>windows</w:t>
      </w:r>
      <w:r w:rsidRPr="00A84718">
        <w:rPr>
          <w:rFonts w:asciiTheme="minorHAnsi" w:hAnsiTheme="minorHAnsi"/>
          <w:sz w:val="24"/>
          <w:szCs w:val="22"/>
        </w:rPr>
        <w:t xml:space="preserve"> was generic at the time that Microsoft first began to use it in 1985. In </w:t>
      </w:r>
      <w:r w:rsidRPr="00A84718">
        <w:rPr>
          <w:rFonts w:asciiTheme="minorHAnsi" w:hAnsiTheme="minorHAnsi"/>
          <w:i/>
          <w:sz w:val="24"/>
          <w:szCs w:val="22"/>
        </w:rPr>
        <w:t>Microsoft Corp. v. Lindows.com, Inc</w:t>
      </w:r>
      <w:r w:rsidRPr="00A84718">
        <w:rPr>
          <w:rFonts w:asciiTheme="minorHAnsi" w:hAnsiTheme="minorHAnsi"/>
          <w:sz w:val="24"/>
          <w:szCs w:val="22"/>
        </w:rPr>
        <w:t>., No. 01 Civ. 2115C, 2002 WL 31499324 (</w:t>
      </w:r>
      <w:proofErr w:type="spellStart"/>
      <w:r w:rsidRPr="00A84718">
        <w:rPr>
          <w:rFonts w:asciiTheme="minorHAnsi" w:hAnsiTheme="minorHAnsi"/>
          <w:sz w:val="24"/>
          <w:szCs w:val="22"/>
        </w:rPr>
        <w:t>W.D.Wash</w:t>
      </w:r>
      <w:proofErr w:type="spellEnd"/>
      <w:r w:rsidRPr="00A84718">
        <w:rPr>
          <w:rFonts w:asciiTheme="minorHAnsi" w:hAnsiTheme="minorHAnsi"/>
          <w:sz w:val="24"/>
          <w:szCs w:val="22"/>
        </w:rPr>
        <w:t xml:space="preserve">., Mar. 15, 2002), the district court denied Microsoft’s motion for a preliminary injunction, finding that there were “serious questions regarding whether Windows is a non-generic name and thus eligible for the protections of federal trademark law.”  </w:t>
      </w:r>
      <w:r w:rsidRPr="00A84718">
        <w:rPr>
          <w:rFonts w:asciiTheme="minorHAnsi" w:hAnsiTheme="minorHAnsi"/>
          <w:i/>
          <w:sz w:val="24"/>
          <w:szCs w:val="22"/>
        </w:rPr>
        <w:t>Id</w:t>
      </w:r>
      <w:r w:rsidRPr="00A84718">
        <w:rPr>
          <w:rFonts w:asciiTheme="minorHAnsi" w:hAnsiTheme="minorHAnsi"/>
          <w:sz w:val="24"/>
          <w:szCs w:val="22"/>
        </w:rPr>
        <w:t xml:space="preserve">. at *18. The case eventually settled — with Microsoft agreeing to pay </w:t>
      </w:r>
      <w:proofErr w:type="spellStart"/>
      <w:r w:rsidRPr="00A84718">
        <w:rPr>
          <w:rFonts w:asciiTheme="minorHAnsi" w:hAnsiTheme="minorHAnsi"/>
          <w:sz w:val="24"/>
          <w:szCs w:val="22"/>
        </w:rPr>
        <w:t>Lindows</w:t>
      </w:r>
      <w:proofErr w:type="spellEnd"/>
      <w:r w:rsidRPr="00A84718">
        <w:rPr>
          <w:rFonts w:asciiTheme="minorHAnsi" w:hAnsiTheme="minorHAnsi"/>
          <w:sz w:val="24"/>
          <w:szCs w:val="22"/>
        </w:rPr>
        <w:t xml:space="preserve"> $20 million to change its name (to </w:t>
      </w:r>
      <w:proofErr w:type="spellStart"/>
      <w:r w:rsidRPr="00A84718">
        <w:rPr>
          <w:rFonts w:asciiTheme="minorHAnsi" w:hAnsiTheme="minorHAnsi"/>
          <w:sz w:val="24"/>
          <w:szCs w:val="22"/>
        </w:rPr>
        <w:t>Linspire</w:t>
      </w:r>
      <w:proofErr w:type="spellEnd"/>
      <w:r w:rsidRPr="00A84718">
        <w:rPr>
          <w:rFonts w:asciiTheme="minorHAnsi" w:hAnsiTheme="minorHAnsi"/>
          <w:sz w:val="24"/>
          <w:szCs w:val="22"/>
        </w:rPr>
        <w:t xml:space="preserve">) and cease using the </w:t>
      </w:r>
      <w:proofErr w:type="spellStart"/>
      <w:r w:rsidRPr="00A84718">
        <w:rPr>
          <w:rFonts w:asciiTheme="minorHAnsi" w:hAnsiTheme="minorHAnsi"/>
          <w:smallCaps/>
          <w:sz w:val="24"/>
          <w:szCs w:val="22"/>
        </w:rPr>
        <w:t>lindows</w:t>
      </w:r>
      <w:proofErr w:type="spellEnd"/>
      <w:r w:rsidRPr="00A84718">
        <w:rPr>
          <w:rFonts w:asciiTheme="minorHAnsi" w:hAnsiTheme="minorHAnsi"/>
          <w:sz w:val="24"/>
          <w:szCs w:val="22"/>
        </w:rPr>
        <w:t xml:space="preserve"> mark on any of its products.</w:t>
      </w:r>
    </w:p>
    <w:p w14:paraId="6972F1B2"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After </w:t>
      </w:r>
      <w:r w:rsidRPr="00A84718">
        <w:rPr>
          <w:rFonts w:asciiTheme="minorHAnsi" w:hAnsiTheme="minorHAnsi"/>
          <w:i/>
          <w:iCs/>
          <w:sz w:val="24"/>
          <w:szCs w:val="22"/>
        </w:rPr>
        <w:t>Booking.com</w:t>
      </w:r>
      <w:r w:rsidRPr="00A84718">
        <w:rPr>
          <w:rFonts w:asciiTheme="minorHAnsi" w:hAnsiTheme="minorHAnsi"/>
          <w:sz w:val="24"/>
          <w:szCs w:val="22"/>
        </w:rPr>
        <w:t xml:space="preserve">, would a secondary meaning survey showing that an otherwise generic term has substantial secondary meaning be enough to justify a finding that the mark is not generic? For example, if a litigant can produce a survey showing that 60% of consumers believe the term </w:t>
      </w:r>
      <w:r w:rsidRPr="00A84718">
        <w:rPr>
          <w:rFonts w:asciiTheme="minorHAnsi" w:hAnsiTheme="minorHAnsi"/>
          <w:smallCaps/>
          <w:sz w:val="24"/>
          <w:szCs w:val="22"/>
        </w:rPr>
        <w:t>windows</w:t>
      </w:r>
      <w:r w:rsidRPr="00A84718">
        <w:rPr>
          <w:rFonts w:asciiTheme="minorHAnsi" w:hAnsiTheme="minorHAnsi"/>
          <w:sz w:val="24"/>
          <w:szCs w:val="22"/>
        </w:rPr>
        <w:t xml:space="preserve"> for computer operating systems is used by only one company, should that justify </w:t>
      </w:r>
      <w:proofErr w:type="gramStart"/>
      <w:r w:rsidRPr="00A84718">
        <w:rPr>
          <w:rFonts w:asciiTheme="minorHAnsi" w:hAnsiTheme="minorHAnsi"/>
          <w:sz w:val="24"/>
          <w:szCs w:val="22"/>
        </w:rPr>
        <w:t>a finding</w:t>
      </w:r>
      <w:proofErr w:type="gramEnd"/>
      <w:r w:rsidRPr="00A84718">
        <w:rPr>
          <w:rFonts w:asciiTheme="minorHAnsi" w:hAnsiTheme="minorHAnsi"/>
          <w:sz w:val="24"/>
          <w:szCs w:val="22"/>
        </w:rPr>
        <w:t xml:space="preserve"> of distinctiveness?</w:t>
      </w:r>
    </w:p>
    <w:p w14:paraId="79AF2B7A"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7. </w:t>
      </w:r>
      <w:r w:rsidRPr="00A84718">
        <w:rPr>
          <w:rFonts w:asciiTheme="minorHAnsi" w:hAnsiTheme="minorHAnsi"/>
          <w:i/>
          <w:sz w:val="24"/>
          <w:szCs w:val="22"/>
        </w:rPr>
        <w:t>Usage policies</w:t>
      </w:r>
      <w:r w:rsidRPr="00A84718">
        <w:rPr>
          <w:rFonts w:asciiTheme="minorHAnsi" w:hAnsiTheme="minorHAnsi"/>
          <w:sz w:val="24"/>
          <w:szCs w:val="22"/>
        </w:rPr>
        <w:t>. Owners of very well-known marks are especially wary of their marks’ falling prey to genericide through widespread generic usage. They typically develop and seek to enforce strict policies on how their marks are used. See, e.g., Google, Rules for proper usage, http://www.google.com/permissions/trademark/rules.html (“Use a generic term following the trademark, for example: GOOGLE search engine, Google search, GOOGLE web search”; “Use the trademark only as an adjective, never as a noun or verb, and never in the plural or possessive form.”; “If you do not capitalize the entire mark, always spell and capitalize the trademark exactly as they are shown in the Google Trademarks and Suggested Accepted Generic Terms.”).</w:t>
      </w:r>
    </w:p>
    <w:p w14:paraId="5023E426"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8. </w:t>
      </w:r>
      <w:r w:rsidRPr="00A84718">
        <w:rPr>
          <w:rFonts w:asciiTheme="minorHAnsi" w:hAnsiTheme="minorHAnsi"/>
          <w:i/>
          <w:sz w:val="24"/>
          <w:szCs w:val="22"/>
        </w:rPr>
        <w:t>Source-denotative in American English, but generic elsewhere?</w:t>
      </w:r>
      <w:r w:rsidRPr="00A84718">
        <w:rPr>
          <w:rFonts w:asciiTheme="minorHAnsi" w:hAnsiTheme="minorHAnsi"/>
          <w:sz w:val="24"/>
          <w:szCs w:val="22"/>
        </w:rPr>
        <w:t xml:space="preserve"> Sheepskin boots with a tanned outer surface, fleece interior, and synthetic soles are generically known as “</w:t>
      </w:r>
      <w:proofErr w:type="spellStart"/>
      <w:r w:rsidRPr="00A84718">
        <w:rPr>
          <w:rFonts w:asciiTheme="minorHAnsi" w:hAnsiTheme="minorHAnsi"/>
          <w:sz w:val="24"/>
          <w:szCs w:val="22"/>
        </w:rPr>
        <w:t>ugg</w:t>
      </w:r>
      <w:proofErr w:type="spellEnd"/>
      <w:r w:rsidRPr="00A84718">
        <w:rPr>
          <w:rFonts w:asciiTheme="minorHAnsi" w:hAnsiTheme="minorHAnsi"/>
          <w:sz w:val="24"/>
          <w:szCs w:val="22"/>
        </w:rPr>
        <w:t xml:space="preserve"> boots” or “</w:t>
      </w:r>
      <w:proofErr w:type="spellStart"/>
      <w:r w:rsidRPr="00A84718">
        <w:rPr>
          <w:rFonts w:asciiTheme="minorHAnsi" w:hAnsiTheme="minorHAnsi"/>
          <w:sz w:val="24"/>
          <w:szCs w:val="22"/>
        </w:rPr>
        <w:t>uggs</w:t>
      </w:r>
      <w:proofErr w:type="spellEnd"/>
      <w:r w:rsidRPr="00A84718">
        <w:rPr>
          <w:rFonts w:asciiTheme="minorHAnsi" w:hAnsiTheme="minorHAnsi"/>
          <w:sz w:val="24"/>
          <w:szCs w:val="22"/>
        </w:rPr>
        <w:t>” in Australia and New Zealand, where they were originally developed and where a variety of companies use the term “</w:t>
      </w:r>
      <w:proofErr w:type="spellStart"/>
      <w:r w:rsidRPr="00A84718">
        <w:rPr>
          <w:rFonts w:asciiTheme="minorHAnsi" w:hAnsiTheme="minorHAnsi"/>
          <w:sz w:val="24"/>
          <w:szCs w:val="22"/>
        </w:rPr>
        <w:t>ugg</w:t>
      </w:r>
      <w:proofErr w:type="spellEnd"/>
      <w:r w:rsidRPr="00A84718">
        <w:rPr>
          <w:rFonts w:asciiTheme="minorHAnsi" w:hAnsiTheme="minorHAnsi"/>
          <w:sz w:val="24"/>
          <w:szCs w:val="22"/>
        </w:rPr>
        <w:t>” to describe the boots they manufacture. In the United States, by contrast, UGG is a registered trademark for such boots, owned by Deckers Outdoor Corp. (U.S. Trademark Reg. No. 4,234,396, Oct. 30, 2012). When an Australian company sought to sell what it called “</w:t>
      </w:r>
      <w:proofErr w:type="spellStart"/>
      <w:r w:rsidRPr="00A84718">
        <w:rPr>
          <w:rFonts w:asciiTheme="minorHAnsi" w:hAnsiTheme="minorHAnsi"/>
          <w:sz w:val="24"/>
          <w:szCs w:val="22"/>
        </w:rPr>
        <w:t>ugg</w:t>
      </w:r>
      <w:proofErr w:type="spellEnd"/>
      <w:r w:rsidRPr="00A84718">
        <w:rPr>
          <w:rFonts w:asciiTheme="minorHAnsi" w:hAnsiTheme="minorHAnsi"/>
          <w:sz w:val="24"/>
          <w:szCs w:val="22"/>
        </w:rPr>
        <w:t xml:space="preserve"> boots” in the United States, Deckers sued. The Australian company argued that the term was generic. It lost. In granting summary judgment to Deckers on the issue, the court explained: </w:t>
      </w:r>
    </w:p>
    <w:p w14:paraId="0BF47753"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 xml:space="preserve">Australian Leather has evidence that </w:t>
      </w:r>
      <w:proofErr w:type="spellStart"/>
      <w:r w:rsidRPr="00A84718">
        <w:rPr>
          <w:rFonts w:asciiTheme="minorHAnsi" w:hAnsiTheme="minorHAnsi"/>
          <w:sz w:val="24"/>
          <w:szCs w:val="22"/>
        </w:rPr>
        <w:t>ugg</w:t>
      </w:r>
      <w:proofErr w:type="spellEnd"/>
      <w:r w:rsidRPr="00A84718">
        <w:rPr>
          <w:rFonts w:asciiTheme="minorHAnsi" w:hAnsiTheme="minorHAnsi"/>
          <w:sz w:val="24"/>
          <w:szCs w:val="22"/>
        </w:rPr>
        <w:t xml:space="preserve"> is generic in Australia, but there is no evidence that Americans familiar with Australian usage (or Australian visitors to the United States) would be misled into thinking that there is only one brand of </w:t>
      </w:r>
      <w:proofErr w:type="spellStart"/>
      <w:r w:rsidRPr="00A84718">
        <w:rPr>
          <w:rFonts w:asciiTheme="minorHAnsi" w:hAnsiTheme="minorHAnsi"/>
          <w:sz w:val="24"/>
          <w:szCs w:val="22"/>
        </w:rPr>
        <w:t>ugg</w:t>
      </w:r>
      <w:proofErr w:type="spellEnd"/>
      <w:r w:rsidRPr="00A84718">
        <w:rPr>
          <w:rFonts w:asciiTheme="minorHAnsi" w:hAnsiTheme="minorHAnsi"/>
          <w:sz w:val="24"/>
          <w:szCs w:val="22"/>
        </w:rPr>
        <w:t xml:space="preserve">-style sheepskin boots available in this country. Australian Leather needed to come forward with some evidence that would allow a jury to conclude that the </w:t>
      </w:r>
      <w:r w:rsidRPr="00A84718">
        <w:rPr>
          <w:rFonts w:asciiTheme="minorHAnsi" w:hAnsiTheme="minorHAnsi"/>
          <w:sz w:val="24"/>
          <w:szCs w:val="22"/>
        </w:rPr>
        <w:lastRenderedPageBreak/>
        <w:t xml:space="preserve">term </w:t>
      </w:r>
      <w:proofErr w:type="spellStart"/>
      <w:r w:rsidRPr="00A84718">
        <w:rPr>
          <w:rFonts w:asciiTheme="minorHAnsi" w:hAnsiTheme="minorHAnsi"/>
          <w:sz w:val="24"/>
          <w:szCs w:val="22"/>
        </w:rPr>
        <w:t>ugg</w:t>
      </w:r>
      <w:proofErr w:type="spellEnd"/>
      <w:r w:rsidRPr="00A84718">
        <w:rPr>
          <w:rFonts w:asciiTheme="minorHAnsi" w:hAnsiTheme="minorHAnsi"/>
          <w:sz w:val="24"/>
          <w:szCs w:val="22"/>
        </w:rPr>
        <w:t xml:space="preserve"> has a generic meaning to buyers in the United States; its Australian and surf-shop evidence does not suffice.</w:t>
      </w:r>
    </w:p>
    <w:p w14:paraId="3C9265BF"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sz w:val="24"/>
          <w:szCs w:val="22"/>
        </w:rPr>
        <w:t>Deckers Outdoor Corp. v. Australian Leather Pty. Ltd., 340 F. Supp. 3d 706, 716 (N.D. Ill. 2018).</w:t>
      </w:r>
    </w:p>
    <w:p w14:paraId="57562BE0"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For an interesting comparison, the Swiss and French associations representing the makers of Gruyère cheese filed in 2015 an application at the PTO to register the term GRUYERE (without the accent) as a certification mark. GRUYÈRE is a protected geographic indication in the European Union and Switzerland. Various American dairy interests opposed the registration. The TTAB refused registration on the </w:t>
      </w:r>
      <w:proofErr w:type="gramStart"/>
      <w:r w:rsidRPr="00A84718">
        <w:rPr>
          <w:rFonts w:asciiTheme="minorHAnsi" w:hAnsiTheme="minorHAnsi"/>
          <w:sz w:val="24"/>
          <w:szCs w:val="22"/>
        </w:rPr>
        <w:t>ground</w:t>
      </w:r>
      <w:proofErr w:type="gramEnd"/>
      <w:r w:rsidRPr="00A84718">
        <w:rPr>
          <w:rFonts w:asciiTheme="minorHAnsi" w:hAnsiTheme="minorHAnsi"/>
          <w:sz w:val="24"/>
          <w:szCs w:val="22"/>
        </w:rPr>
        <w:t xml:space="preserve"> that the term was generic. It found that American consumers “understand the term ‘gruyere’ as a designation that primarily refers to a category within the genus of cheese that can come from anywhere.” Int’l Dairy Foods </w:t>
      </w:r>
      <w:proofErr w:type="spellStart"/>
      <w:r w:rsidRPr="00A84718">
        <w:rPr>
          <w:rFonts w:asciiTheme="minorHAnsi" w:hAnsiTheme="minorHAnsi"/>
          <w:sz w:val="24"/>
          <w:szCs w:val="22"/>
        </w:rPr>
        <w:t>Ass’n</w:t>
      </w:r>
      <w:proofErr w:type="spellEnd"/>
      <w:r w:rsidRPr="00A84718">
        <w:rPr>
          <w:rFonts w:asciiTheme="minorHAnsi" w:hAnsiTheme="minorHAnsi"/>
          <w:sz w:val="24"/>
          <w:szCs w:val="22"/>
        </w:rPr>
        <w:t xml:space="preserve"> v. </w:t>
      </w:r>
      <w:proofErr w:type="spellStart"/>
      <w:r w:rsidRPr="00A84718">
        <w:rPr>
          <w:rFonts w:asciiTheme="minorHAnsi" w:hAnsiTheme="minorHAnsi"/>
          <w:sz w:val="24"/>
          <w:szCs w:val="22"/>
        </w:rPr>
        <w:t>Interprofession</w:t>
      </w:r>
      <w:proofErr w:type="spellEnd"/>
      <w:r w:rsidRPr="00A84718">
        <w:rPr>
          <w:rFonts w:asciiTheme="minorHAnsi" w:hAnsiTheme="minorHAnsi"/>
          <w:sz w:val="24"/>
          <w:szCs w:val="22"/>
        </w:rPr>
        <w:t xml:space="preserve"> Du Gruyere, 2020 TTAB LEXIS 268, *82, 2020 U.S.P.Q.2D 10892 (TTAB August 5, 2020).</w:t>
      </w:r>
    </w:p>
    <w:p w14:paraId="1FDE01E6"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9. </w:t>
      </w:r>
      <w:r w:rsidRPr="00A84718">
        <w:rPr>
          <w:rFonts w:asciiTheme="minorHAnsi" w:hAnsiTheme="minorHAnsi"/>
          <w:i/>
          <w:iCs/>
          <w:sz w:val="24"/>
          <w:szCs w:val="22"/>
        </w:rPr>
        <w:t>Can a color be generic?</w:t>
      </w:r>
      <w:r w:rsidRPr="00A84718">
        <w:rPr>
          <w:rFonts w:asciiTheme="minorHAnsi" w:hAnsiTheme="minorHAnsi"/>
          <w:sz w:val="24"/>
          <w:szCs w:val="22"/>
        </w:rPr>
        <w:t xml:space="preserve"> In </w:t>
      </w:r>
      <w:r w:rsidRPr="00A84718">
        <w:rPr>
          <w:rFonts w:asciiTheme="minorHAnsi" w:hAnsiTheme="minorHAnsi"/>
          <w:i/>
          <w:iCs/>
          <w:sz w:val="24"/>
          <w:szCs w:val="22"/>
        </w:rPr>
        <w:t>Milwaukee Electric Tool Corp. v. Freud America, Inc.</w:t>
      </w:r>
      <w:r w:rsidRPr="00A84718">
        <w:rPr>
          <w:rFonts w:asciiTheme="minorHAnsi" w:hAnsiTheme="minorHAnsi"/>
          <w:sz w:val="24"/>
          <w:szCs w:val="22"/>
        </w:rPr>
        <w:t>, Cancellation Nos. 92,059,634 &amp; 92,059,637 (TTAB Dec. 2, 2019) [precedential], the TTAB found that the color red was generic when covering the surface of saw blades:</w:t>
      </w:r>
    </w:p>
    <w:p w14:paraId="22FBA002" w14:textId="77777777" w:rsidR="00F31323" w:rsidRPr="00A84718" w:rsidRDefault="00F31323" w:rsidP="00F31323">
      <w:pPr>
        <w:pStyle w:val="Blockquote"/>
        <w:rPr>
          <w:rFonts w:asciiTheme="minorHAnsi" w:hAnsiTheme="minorHAnsi"/>
          <w:sz w:val="24"/>
          <w:szCs w:val="22"/>
        </w:rPr>
      </w:pPr>
      <w:r w:rsidRPr="00A84718">
        <w:rPr>
          <w:rFonts w:asciiTheme="minorHAnsi" w:hAnsiTheme="minorHAnsi"/>
          <w:sz w:val="24"/>
          <w:szCs w:val="22"/>
        </w:rPr>
        <w:t>This evidence overwhelmingly demonstrates that the color red on saw blades is so common in the industry that it cannot identify a single source for saw blades for power woodworking machines or saw blades for reciprocating power saws. What is more, because the evidence establishes that the color red was widely used by others at the time Freud filed the underlying applications for each of its subject registrations and third-party use continues to the present day, the color red was generic for power saw blades when Freud applied for both of its marks and remains so now.</w:t>
      </w:r>
    </w:p>
    <w:p w14:paraId="2A364332" w14:textId="77777777" w:rsidR="00F31323" w:rsidRPr="00A84718" w:rsidRDefault="00F31323" w:rsidP="00F31323">
      <w:pPr>
        <w:pStyle w:val="NormalNoIndent"/>
        <w:rPr>
          <w:rFonts w:asciiTheme="minorHAnsi" w:hAnsiTheme="minorHAnsi"/>
          <w:sz w:val="24"/>
          <w:szCs w:val="22"/>
        </w:rPr>
      </w:pPr>
      <w:r w:rsidRPr="00A84718">
        <w:rPr>
          <w:rFonts w:asciiTheme="minorHAnsi" w:hAnsiTheme="minorHAnsi"/>
          <w:i/>
          <w:iCs/>
          <w:sz w:val="24"/>
          <w:szCs w:val="22"/>
        </w:rPr>
        <w:t>Id</w:t>
      </w:r>
      <w:r w:rsidRPr="00A84718">
        <w:rPr>
          <w:rFonts w:asciiTheme="minorHAnsi" w:hAnsiTheme="minorHAnsi"/>
          <w:sz w:val="24"/>
          <w:szCs w:val="22"/>
        </w:rPr>
        <w:t xml:space="preserve">. at *67. </w:t>
      </w:r>
      <w:r w:rsidRPr="00A84718">
        <w:rPr>
          <w:rFonts w:asciiTheme="minorHAnsi" w:hAnsiTheme="minorHAnsi"/>
          <w:i/>
          <w:iCs/>
          <w:sz w:val="24"/>
          <w:szCs w:val="22"/>
        </w:rPr>
        <w:t xml:space="preserve">See also In re PT </w:t>
      </w:r>
      <w:proofErr w:type="spellStart"/>
      <w:r w:rsidRPr="00A84718">
        <w:rPr>
          <w:rFonts w:asciiTheme="minorHAnsi" w:hAnsiTheme="minorHAnsi"/>
          <w:i/>
          <w:iCs/>
          <w:sz w:val="24"/>
          <w:szCs w:val="22"/>
        </w:rPr>
        <w:t>Medisafe</w:t>
      </w:r>
      <w:proofErr w:type="spellEnd"/>
      <w:r w:rsidRPr="00A84718">
        <w:rPr>
          <w:rFonts w:asciiTheme="minorHAnsi" w:hAnsiTheme="minorHAnsi"/>
          <w:i/>
          <w:iCs/>
          <w:sz w:val="24"/>
          <w:szCs w:val="22"/>
        </w:rPr>
        <w:t xml:space="preserve"> Techs.</w:t>
      </w:r>
      <w:r w:rsidRPr="00A84718">
        <w:rPr>
          <w:rFonts w:asciiTheme="minorHAnsi" w:hAnsiTheme="minorHAnsi"/>
          <w:sz w:val="24"/>
          <w:szCs w:val="22"/>
        </w:rPr>
        <w:t>, 134 F.4th 1368 (Fed. Cir. 2025) (finding the color dark green to be generic for medical gloves).</w:t>
      </w:r>
    </w:p>
    <w:p w14:paraId="7EBCA02A"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Most commentators would likely agree with the proposition that “[g]</w:t>
      </w:r>
      <w:proofErr w:type="spellStart"/>
      <w:r w:rsidRPr="00A84718">
        <w:rPr>
          <w:rFonts w:asciiTheme="minorHAnsi" w:hAnsiTheme="minorHAnsi"/>
          <w:sz w:val="24"/>
          <w:szCs w:val="22"/>
        </w:rPr>
        <w:t>enericness</w:t>
      </w:r>
      <w:proofErr w:type="spellEnd"/>
      <w:r w:rsidRPr="00A84718">
        <w:rPr>
          <w:rFonts w:asciiTheme="minorHAnsi" w:hAnsiTheme="minorHAnsi"/>
          <w:sz w:val="24"/>
          <w:szCs w:val="22"/>
        </w:rPr>
        <w:t xml:space="preserve"> seems . . . to be the wrong pigeonhole for a proposed color mark.” John L. Welch, </w:t>
      </w:r>
      <w:r w:rsidRPr="00A84718">
        <w:rPr>
          <w:rFonts w:asciiTheme="minorHAnsi" w:hAnsiTheme="minorHAnsi"/>
          <w:i/>
          <w:iCs/>
          <w:sz w:val="24"/>
          <w:szCs w:val="22"/>
        </w:rPr>
        <w:t>Precedential No. 37: TTAB Rules that the Color Red is Generic for Saw Blades</w:t>
      </w:r>
      <w:r w:rsidRPr="00A84718">
        <w:rPr>
          <w:rFonts w:asciiTheme="minorHAnsi" w:hAnsiTheme="minorHAnsi"/>
          <w:sz w:val="24"/>
          <w:szCs w:val="22"/>
        </w:rPr>
        <w:t xml:space="preserve">, </w:t>
      </w:r>
      <w:r w:rsidRPr="00A84718">
        <w:rPr>
          <w:rFonts w:asciiTheme="minorHAnsi" w:hAnsiTheme="minorHAnsi"/>
          <w:smallCaps/>
          <w:sz w:val="24"/>
          <w:szCs w:val="22"/>
        </w:rPr>
        <w:t xml:space="preserve">The </w:t>
      </w:r>
      <w:proofErr w:type="spellStart"/>
      <w:r w:rsidRPr="00A84718">
        <w:rPr>
          <w:rFonts w:asciiTheme="minorHAnsi" w:hAnsiTheme="minorHAnsi"/>
          <w:smallCaps/>
          <w:sz w:val="24"/>
          <w:szCs w:val="22"/>
        </w:rPr>
        <w:t>TTABlog</w:t>
      </w:r>
      <w:proofErr w:type="spellEnd"/>
      <w:r w:rsidRPr="00A84718">
        <w:rPr>
          <w:rFonts w:asciiTheme="minorHAnsi" w:hAnsiTheme="minorHAnsi"/>
          <w:sz w:val="24"/>
          <w:szCs w:val="22"/>
        </w:rPr>
        <w:t>, Dec. 9, 2019, http://thettablog.blogspot.com/2019/12/precedential-no-37-ttab-rules-that.html. But what other options are available in trademark doctrine to deny protection to such marks?</w:t>
      </w:r>
    </w:p>
    <w:p w14:paraId="255964A5" w14:textId="77777777" w:rsidR="00F31323" w:rsidRPr="00A84718" w:rsidRDefault="00F31323" w:rsidP="00F31323">
      <w:pPr>
        <w:keepNext/>
        <w:keepLines/>
        <w:rPr>
          <w:rFonts w:asciiTheme="minorHAnsi" w:hAnsiTheme="minorHAnsi"/>
          <w:sz w:val="24"/>
          <w:szCs w:val="22"/>
        </w:rPr>
      </w:pPr>
      <w:bookmarkStart w:id="7" w:name="_Hlk106301834"/>
      <w:r w:rsidRPr="00A84718">
        <w:rPr>
          <w:rFonts w:asciiTheme="minorHAnsi" w:hAnsiTheme="minorHAnsi"/>
          <w:sz w:val="24"/>
          <w:szCs w:val="22"/>
        </w:rPr>
        <w:lastRenderedPageBreak/>
        <w:t xml:space="preserve">10. </w:t>
      </w:r>
      <w:r w:rsidRPr="00A84718">
        <w:rPr>
          <w:rFonts w:asciiTheme="minorHAnsi" w:hAnsiTheme="minorHAnsi"/>
          <w:i/>
          <w:iCs/>
          <w:sz w:val="24"/>
          <w:szCs w:val="22"/>
        </w:rPr>
        <w:t>Can a product shape be generic?</w:t>
      </w:r>
      <w:r w:rsidRPr="00A84718">
        <w:rPr>
          <w:rFonts w:asciiTheme="minorHAnsi" w:hAnsiTheme="minorHAnsi"/>
          <w:sz w:val="24"/>
          <w:szCs w:val="22"/>
        </w:rPr>
        <w:t xml:space="preserve"> In </w:t>
      </w:r>
      <w:r w:rsidRPr="00A84718">
        <w:rPr>
          <w:rFonts w:asciiTheme="minorHAnsi" w:hAnsiTheme="minorHAnsi"/>
          <w:i/>
          <w:iCs/>
          <w:sz w:val="24"/>
          <w:szCs w:val="22"/>
        </w:rPr>
        <w:t xml:space="preserve">In re Jasmin </w:t>
      </w:r>
      <w:proofErr w:type="spellStart"/>
      <w:r w:rsidRPr="00A84718">
        <w:rPr>
          <w:rFonts w:asciiTheme="minorHAnsi" w:hAnsiTheme="minorHAnsi"/>
          <w:i/>
          <w:iCs/>
          <w:sz w:val="24"/>
          <w:szCs w:val="22"/>
        </w:rPr>
        <w:t>Larian</w:t>
      </w:r>
      <w:proofErr w:type="spellEnd"/>
      <w:r w:rsidRPr="00A84718">
        <w:rPr>
          <w:rFonts w:asciiTheme="minorHAnsi" w:hAnsiTheme="minorHAnsi"/>
          <w:i/>
          <w:iCs/>
          <w:sz w:val="24"/>
          <w:szCs w:val="22"/>
        </w:rPr>
        <w:t>, LLC</w:t>
      </w:r>
      <w:r w:rsidRPr="00A84718">
        <w:rPr>
          <w:rFonts w:asciiTheme="minorHAnsi" w:hAnsiTheme="minorHAnsi"/>
          <w:sz w:val="24"/>
          <w:szCs w:val="22"/>
        </w:rPr>
        <w:t xml:space="preserve">, 2022 TTAB LEXIS 99 (TTAB Jan. 19, 2022) [precedential], the applicant sought to register as a trademark the configuration of its “Ark” handbag, shown below. The TTAB held that the configuration had long since become a commonplace design originating from multiple sources and was thus generic. It reasoned: “In the context of product design, genericness may be found where the design is so common in the industry that it cannot be said to identify a particular source.” </w:t>
      </w:r>
      <w:r w:rsidRPr="00A84718">
        <w:rPr>
          <w:rFonts w:asciiTheme="minorHAnsi" w:hAnsiTheme="minorHAnsi"/>
          <w:i/>
          <w:iCs/>
          <w:sz w:val="24"/>
          <w:szCs w:val="22"/>
        </w:rPr>
        <w:t>Id</w:t>
      </w:r>
      <w:r w:rsidRPr="00A84718">
        <w:rPr>
          <w:rFonts w:asciiTheme="minorHAnsi" w:hAnsiTheme="minorHAnsi"/>
          <w:sz w:val="24"/>
          <w:szCs w:val="22"/>
        </w:rPr>
        <w:t>. at *8.</w:t>
      </w:r>
    </w:p>
    <w:bookmarkEnd w:id="7"/>
    <w:p w14:paraId="7176CB4E" w14:textId="77777777" w:rsidR="00F31323" w:rsidRPr="00A84718" w:rsidRDefault="00F31323" w:rsidP="00F31323">
      <w:pPr>
        <w:pStyle w:val="Centered"/>
        <w:keepNext/>
        <w:keepLines/>
        <w:rPr>
          <w:rFonts w:asciiTheme="minorHAnsi" w:hAnsiTheme="minorHAnsi"/>
          <w:sz w:val="24"/>
          <w:szCs w:val="22"/>
        </w:rPr>
      </w:pPr>
      <w:r w:rsidRPr="00A84718">
        <w:rPr>
          <w:rFonts w:asciiTheme="minorHAnsi" w:hAnsiTheme="minorHAnsi"/>
          <w:noProof/>
          <w:sz w:val="24"/>
          <w:szCs w:val="22"/>
        </w:rPr>
        <w:drawing>
          <wp:inline distT="0" distB="0" distL="0" distR="0" wp14:anchorId="4B1F3A46" wp14:editId="55CC6680">
            <wp:extent cx="1937385" cy="1536700"/>
            <wp:effectExtent l="0" t="0" r="0" b="0"/>
            <wp:docPr id="31" name="Picture 144" descr="A sketch of a wicker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4" descr="A sketch of a wicker ba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7385" cy="1536700"/>
                    </a:xfrm>
                    <a:prstGeom prst="rect">
                      <a:avLst/>
                    </a:prstGeom>
                    <a:noFill/>
                    <a:ln>
                      <a:noFill/>
                    </a:ln>
                  </pic:spPr>
                </pic:pic>
              </a:graphicData>
            </a:graphic>
          </wp:inline>
        </w:drawing>
      </w:r>
    </w:p>
    <w:p w14:paraId="75626678" w14:textId="5F88AE11" w:rsidR="00F31323" w:rsidRPr="004B7280" w:rsidRDefault="00F31323" w:rsidP="004B7280">
      <w:pPr>
        <w:pStyle w:val="Heading4"/>
        <w:ind w:firstLine="0"/>
        <w:rPr>
          <w:rFonts w:asciiTheme="minorHAnsi" w:hAnsiTheme="minorHAnsi"/>
          <w:sz w:val="28"/>
          <w:szCs w:val="24"/>
        </w:rPr>
      </w:pPr>
      <w:bookmarkStart w:id="8" w:name="_Toc201424265"/>
      <w:r w:rsidRPr="004B7280">
        <w:rPr>
          <w:rFonts w:asciiTheme="minorHAnsi" w:hAnsiTheme="minorHAnsi"/>
          <w:sz w:val="28"/>
          <w:szCs w:val="24"/>
        </w:rPr>
        <w:t>Failure to Function as a Mark</w:t>
      </w:r>
      <w:bookmarkEnd w:id="8"/>
    </w:p>
    <w:p w14:paraId="5B02029A"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In recent years, trademark applicants have increasingly sought to register cultural memes or other commonplace slogans as trademarks for various merchandise. The PTO has rejected such applications on the ground that the applied-for marks are not perceived by consumers as designations of source. </w:t>
      </w:r>
      <w:r w:rsidRPr="00A84718">
        <w:rPr>
          <w:rFonts w:asciiTheme="minorHAnsi" w:hAnsiTheme="minorHAnsi"/>
          <w:i/>
          <w:iCs/>
          <w:sz w:val="24"/>
          <w:szCs w:val="22"/>
        </w:rPr>
        <w:t>See, e.g</w:t>
      </w:r>
      <w:r w:rsidRPr="00A84718">
        <w:rPr>
          <w:rFonts w:asciiTheme="minorHAnsi" w:hAnsiTheme="minorHAnsi"/>
          <w:sz w:val="24"/>
          <w:szCs w:val="22"/>
        </w:rPr>
        <w:t xml:space="preserve">., </w:t>
      </w:r>
      <w:r w:rsidRPr="00A84718">
        <w:rPr>
          <w:rFonts w:asciiTheme="minorHAnsi" w:hAnsiTheme="minorHAnsi"/>
          <w:i/>
          <w:iCs/>
          <w:sz w:val="24"/>
          <w:szCs w:val="22"/>
        </w:rPr>
        <w:t>In re Texas With Love</w:t>
      </w:r>
      <w:r w:rsidRPr="00A84718">
        <w:rPr>
          <w:rFonts w:asciiTheme="minorHAnsi" w:hAnsiTheme="minorHAnsi"/>
          <w:sz w:val="24"/>
          <w:szCs w:val="22"/>
        </w:rPr>
        <w:t xml:space="preserve">, LLC, Serial No. 87793802 (TTAB October 29, 2020) [precedential] (refusing to register </w:t>
      </w:r>
      <w:proofErr w:type="spellStart"/>
      <w:r w:rsidRPr="00A84718">
        <w:rPr>
          <w:rFonts w:asciiTheme="minorHAnsi" w:hAnsiTheme="minorHAnsi"/>
          <w:smallCaps/>
          <w:sz w:val="24"/>
          <w:szCs w:val="22"/>
        </w:rPr>
        <w:t>texas</w:t>
      </w:r>
      <w:proofErr w:type="spellEnd"/>
      <w:r w:rsidRPr="00A84718">
        <w:rPr>
          <w:rFonts w:asciiTheme="minorHAnsi" w:hAnsiTheme="minorHAnsi"/>
          <w:smallCaps/>
          <w:sz w:val="24"/>
          <w:szCs w:val="22"/>
        </w:rPr>
        <w:t xml:space="preserve"> love</w:t>
      </w:r>
      <w:r w:rsidRPr="00A84718">
        <w:rPr>
          <w:rFonts w:asciiTheme="minorHAnsi" w:hAnsiTheme="minorHAnsi"/>
          <w:sz w:val="24"/>
          <w:szCs w:val="22"/>
        </w:rPr>
        <w:t xml:space="preserve"> for “hats, shirts” on ground that because the phrase “only serves as an expression of a concept or sentiment, and is widely used by third parties, it would not be perceived as an indicator of source in the context of Applicant’s identified goods.”); </w:t>
      </w:r>
      <w:r w:rsidRPr="00A84718">
        <w:rPr>
          <w:rFonts w:asciiTheme="minorHAnsi" w:hAnsiTheme="minorHAnsi"/>
          <w:i/>
          <w:sz w:val="24"/>
          <w:szCs w:val="22"/>
        </w:rPr>
        <w:t>In re Gillard</w:t>
      </w:r>
      <w:r w:rsidRPr="00A84718">
        <w:rPr>
          <w:rFonts w:asciiTheme="minorHAnsi" w:hAnsiTheme="minorHAnsi"/>
          <w:sz w:val="24"/>
          <w:szCs w:val="22"/>
        </w:rPr>
        <w:t xml:space="preserve">, Serial No. 87469115 (TTAB Jan. 11, 2019) (not citable as precedent) (refusing application of one John Gillard to register </w:t>
      </w:r>
      <w:r w:rsidRPr="00A84718">
        <w:rPr>
          <w:rFonts w:asciiTheme="minorHAnsi" w:hAnsiTheme="minorHAnsi"/>
          <w:smallCaps/>
          <w:sz w:val="24"/>
          <w:szCs w:val="22"/>
        </w:rPr>
        <w:t>#covfefe</w:t>
      </w:r>
      <w:r w:rsidRPr="00A84718">
        <w:rPr>
          <w:rFonts w:asciiTheme="minorHAnsi" w:hAnsiTheme="minorHAnsi"/>
          <w:sz w:val="24"/>
          <w:szCs w:val="22"/>
        </w:rPr>
        <w:t xml:space="preserve"> on ground that “because hashtags are commonly employed to facilitate categorization and searching of topics of public discussion, and the record makes it clear that #COVFEFE has served that purpose in promoting discussion of the mystery word in the President’s tweet, the public will not understand #COVFEFE to identify one, and only one, source of clothing, and to recognize Applicant as that source, when it appears on Applicant’s goods”); PTO Office Action, U.S. Application Serial No. 86,506,015, Mar. 25, 2015 (refusing registration of </w:t>
      </w:r>
      <w:r w:rsidRPr="00A84718">
        <w:rPr>
          <w:rFonts w:asciiTheme="minorHAnsi" w:hAnsiTheme="minorHAnsi"/>
          <w:smallCaps/>
          <w:sz w:val="24"/>
          <w:szCs w:val="22"/>
        </w:rPr>
        <w:t xml:space="preserve">je suis </w:t>
      </w:r>
      <w:proofErr w:type="spellStart"/>
      <w:r w:rsidRPr="00A84718">
        <w:rPr>
          <w:rFonts w:asciiTheme="minorHAnsi" w:hAnsiTheme="minorHAnsi"/>
          <w:smallCaps/>
          <w:sz w:val="24"/>
          <w:szCs w:val="22"/>
        </w:rPr>
        <w:t>charlie</w:t>
      </w:r>
      <w:proofErr w:type="spellEnd"/>
      <w:r w:rsidRPr="00A84718">
        <w:rPr>
          <w:rFonts w:asciiTheme="minorHAnsi" w:hAnsiTheme="minorHAnsi"/>
          <w:sz w:val="24"/>
          <w:szCs w:val="22"/>
        </w:rPr>
        <w:t xml:space="preserve"> for various goods on ground that “[b]</w:t>
      </w:r>
      <w:proofErr w:type="spellStart"/>
      <w:r w:rsidRPr="00A84718">
        <w:rPr>
          <w:rFonts w:asciiTheme="minorHAnsi" w:hAnsiTheme="minorHAnsi"/>
          <w:sz w:val="24"/>
          <w:szCs w:val="22"/>
        </w:rPr>
        <w:t>ecause</w:t>
      </w:r>
      <w:proofErr w:type="spellEnd"/>
      <w:r w:rsidRPr="00A84718">
        <w:rPr>
          <w:rFonts w:asciiTheme="minorHAnsi" w:hAnsiTheme="minorHAnsi"/>
          <w:sz w:val="24"/>
          <w:szCs w:val="22"/>
        </w:rPr>
        <w:t xml:space="preserve"> consumers are accustomed to seeing this slogan or motto commonly used in everyday speech by many different sources, the public will not perceive the motto or slogan as a trademark that identifies the source of applicant’s goods but rather only as conveying an informational message”); PTO Office Action, U.S. Application No. 88579771, Sept. 11, 2019 (refusing basketball player LeBron James’s application to register </w:t>
      </w:r>
      <w:r w:rsidRPr="00A84718">
        <w:rPr>
          <w:rFonts w:asciiTheme="minorHAnsi" w:hAnsiTheme="minorHAnsi"/>
          <w:smallCaps/>
          <w:sz w:val="24"/>
          <w:szCs w:val="22"/>
        </w:rPr>
        <w:t xml:space="preserve">taco </w:t>
      </w:r>
      <w:proofErr w:type="spellStart"/>
      <w:r w:rsidRPr="00A84718">
        <w:rPr>
          <w:rFonts w:asciiTheme="minorHAnsi" w:hAnsiTheme="minorHAnsi"/>
          <w:smallCaps/>
          <w:sz w:val="24"/>
          <w:szCs w:val="22"/>
        </w:rPr>
        <w:t>tuesday</w:t>
      </w:r>
      <w:proofErr w:type="spellEnd"/>
      <w:r w:rsidRPr="00A84718">
        <w:rPr>
          <w:rFonts w:asciiTheme="minorHAnsi" w:hAnsiTheme="minorHAnsi"/>
          <w:smallCaps/>
          <w:sz w:val="24"/>
          <w:szCs w:val="22"/>
        </w:rPr>
        <w:t xml:space="preserve"> </w:t>
      </w:r>
      <w:r w:rsidRPr="00A84718">
        <w:rPr>
          <w:rFonts w:asciiTheme="minorHAnsi" w:hAnsiTheme="minorHAnsi"/>
          <w:sz w:val="24"/>
          <w:szCs w:val="22"/>
        </w:rPr>
        <w:t xml:space="preserve">in connection with podcasting and other related goods and services); PTO Office Action, U.S. Application No. 86,479,784, Mar. 4, 2015 (refusing registration of </w:t>
      </w:r>
      <w:r w:rsidRPr="00A84718">
        <w:rPr>
          <w:rFonts w:asciiTheme="minorHAnsi" w:hAnsiTheme="minorHAnsi"/>
          <w:smallCaps/>
          <w:sz w:val="24"/>
          <w:szCs w:val="22"/>
        </w:rPr>
        <w:t>i can’t breathe</w:t>
      </w:r>
      <w:r w:rsidRPr="00A84718">
        <w:rPr>
          <w:rFonts w:asciiTheme="minorHAnsi" w:hAnsiTheme="minorHAnsi"/>
          <w:sz w:val="24"/>
          <w:szCs w:val="22"/>
        </w:rPr>
        <w:t xml:space="preserve"> for clothing). </w:t>
      </w:r>
      <w:r w:rsidRPr="00A84718">
        <w:rPr>
          <w:rFonts w:asciiTheme="minorHAnsi" w:hAnsiTheme="minorHAnsi"/>
          <w:sz w:val="24"/>
          <w:szCs w:val="22"/>
        </w:rPr>
        <w:lastRenderedPageBreak/>
        <w:t xml:space="preserve">In the opinion below, the Federal Circuit affirmed the TTAB’s refusal to register the mark </w:t>
      </w:r>
      <w:r w:rsidRPr="00A84718">
        <w:rPr>
          <w:rFonts w:asciiTheme="minorHAnsi" w:hAnsiTheme="minorHAnsi"/>
          <w:smallCaps/>
          <w:sz w:val="24"/>
          <w:szCs w:val="22"/>
        </w:rPr>
        <w:t>everybody vs racism</w:t>
      </w:r>
      <w:r w:rsidRPr="00A84718">
        <w:rPr>
          <w:rFonts w:asciiTheme="minorHAnsi" w:hAnsiTheme="minorHAnsi"/>
          <w:sz w:val="24"/>
          <w:szCs w:val="22"/>
        </w:rPr>
        <w:t>. In failure to function analysis, are courts essentially engaging in a secondary meaning analysis or are their concerns broader?</w:t>
      </w:r>
    </w:p>
    <w:p w14:paraId="0B16281F" w14:textId="77777777" w:rsidR="00F31323" w:rsidRPr="00A84718" w:rsidRDefault="00F31323" w:rsidP="00F31323">
      <w:pPr>
        <w:rPr>
          <w:rFonts w:asciiTheme="minorHAnsi" w:hAnsiTheme="minorHAnsi"/>
          <w:color w:val="FF0000"/>
          <w:sz w:val="24"/>
          <w:szCs w:val="22"/>
        </w:rPr>
      </w:pPr>
    </w:p>
    <w:p w14:paraId="371B4D31" w14:textId="235F5471" w:rsidR="00F31323" w:rsidRPr="00A84718" w:rsidRDefault="00F31323" w:rsidP="00A84718">
      <w:pPr>
        <w:pStyle w:val="Heading7"/>
        <w:rPr>
          <w:rFonts w:asciiTheme="minorHAnsi" w:hAnsiTheme="minorHAnsi"/>
          <w:color w:val="FF0000"/>
          <w:sz w:val="24"/>
          <w:szCs w:val="22"/>
        </w:rPr>
      </w:pPr>
      <w:bookmarkStart w:id="9" w:name="_Toc201424266"/>
      <w:r w:rsidRPr="00A84718">
        <w:rPr>
          <w:rFonts w:asciiTheme="minorHAnsi" w:hAnsiTheme="minorHAnsi"/>
          <w:color w:val="FF0000"/>
          <w:sz w:val="24"/>
          <w:szCs w:val="22"/>
        </w:rPr>
        <w:t>[</w:t>
      </w:r>
      <w:r w:rsidR="00A84718" w:rsidRPr="00A84718">
        <w:rPr>
          <w:rFonts w:asciiTheme="minorHAnsi" w:hAnsiTheme="minorHAnsi"/>
          <w:color w:val="FF0000"/>
          <w:sz w:val="24"/>
          <w:szCs w:val="22"/>
        </w:rPr>
        <w:t xml:space="preserve">The opinion </w:t>
      </w:r>
      <w:proofErr w:type="gramStart"/>
      <w:r w:rsidR="00A84718" w:rsidRPr="00A84718">
        <w:rPr>
          <w:rFonts w:asciiTheme="minorHAnsi" w:hAnsiTheme="minorHAnsi"/>
          <w:color w:val="FF0000"/>
          <w:sz w:val="24"/>
          <w:szCs w:val="22"/>
        </w:rPr>
        <w:t>in</w:t>
      </w:r>
      <w:proofErr w:type="gramEnd"/>
      <w:r w:rsidR="00A84718" w:rsidRPr="00A84718">
        <w:rPr>
          <w:rFonts w:asciiTheme="minorHAnsi" w:hAnsiTheme="minorHAnsi"/>
          <w:color w:val="FF0000"/>
          <w:sz w:val="24"/>
          <w:szCs w:val="22"/>
        </w:rPr>
        <w:t xml:space="preserve"> </w:t>
      </w:r>
      <w:r w:rsidRPr="00A84718">
        <w:rPr>
          <w:rFonts w:asciiTheme="minorHAnsi" w:hAnsiTheme="minorHAnsi"/>
          <w:i/>
          <w:iCs/>
          <w:color w:val="FF0000"/>
          <w:sz w:val="24"/>
          <w:szCs w:val="22"/>
        </w:rPr>
        <w:t>In re GO &amp; Associates, LLC</w:t>
      </w:r>
      <w:bookmarkEnd w:id="9"/>
      <w:r w:rsidR="00A84718" w:rsidRPr="00A84718">
        <w:rPr>
          <w:rFonts w:asciiTheme="minorHAnsi" w:hAnsiTheme="minorHAnsi"/>
          <w:color w:val="FF0000"/>
          <w:sz w:val="24"/>
          <w:szCs w:val="22"/>
        </w:rPr>
        <w:t xml:space="preserve"> is available separately.</w:t>
      </w:r>
      <w:r w:rsidRPr="00A84718">
        <w:rPr>
          <w:rFonts w:asciiTheme="minorHAnsi" w:hAnsiTheme="minorHAnsi"/>
          <w:color w:val="FF0000"/>
          <w:sz w:val="24"/>
          <w:szCs w:val="22"/>
        </w:rPr>
        <w:t>]</w:t>
      </w:r>
    </w:p>
    <w:p w14:paraId="10E01B4C" w14:textId="77777777" w:rsidR="00A84718" w:rsidRPr="00A84718" w:rsidRDefault="00A84718" w:rsidP="00A84718">
      <w:pPr>
        <w:rPr>
          <w:sz w:val="24"/>
          <w:szCs w:val="22"/>
        </w:rPr>
      </w:pPr>
    </w:p>
    <w:p w14:paraId="0684EAD2" w14:textId="77777777" w:rsidR="00A84718" w:rsidRPr="00A84718" w:rsidRDefault="00A84718" w:rsidP="00A84718">
      <w:pPr>
        <w:pStyle w:val="Dashedline"/>
        <w:ind w:firstLine="432"/>
        <w:jc w:val="both"/>
        <w:rPr>
          <w:rFonts w:asciiTheme="minorHAnsi" w:hAnsiTheme="minorHAnsi"/>
          <w:b w:val="0"/>
          <w:bCs/>
          <w:color w:val="FF0000"/>
          <w:sz w:val="24"/>
          <w:szCs w:val="22"/>
        </w:rPr>
      </w:pPr>
      <w:r w:rsidRPr="00A84718">
        <w:rPr>
          <w:rFonts w:asciiTheme="minorHAnsi" w:hAnsiTheme="minorHAnsi"/>
          <w:b w:val="0"/>
          <w:bCs/>
          <w:color w:val="FF0000"/>
          <w:sz w:val="24"/>
          <w:szCs w:val="22"/>
        </w:rPr>
        <w:t xml:space="preserve">[The opinion in </w:t>
      </w:r>
      <w:r w:rsidRPr="00A84718">
        <w:rPr>
          <w:rFonts w:asciiTheme="minorHAnsi" w:hAnsiTheme="minorHAnsi"/>
          <w:b w:val="0"/>
          <w:bCs/>
          <w:i/>
          <w:iCs/>
          <w:color w:val="FF0000"/>
          <w:sz w:val="24"/>
          <w:szCs w:val="22"/>
        </w:rPr>
        <w:t>In re Lizzo</w:t>
      </w:r>
      <w:r w:rsidRPr="00A84718">
        <w:rPr>
          <w:rFonts w:asciiTheme="minorHAnsi" w:hAnsiTheme="minorHAnsi"/>
          <w:b w:val="0"/>
          <w:bCs/>
          <w:color w:val="FF0000"/>
          <w:sz w:val="24"/>
          <w:szCs w:val="22"/>
        </w:rPr>
        <w:t xml:space="preserve"> is available separately.]</w:t>
      </w:r>
    </w:p>
    <w:p w14:paraId="7CBF19CB" w14:textId="77777777" w:rsidR="00F31323" w:rsidRPr="00A84718" w:rsidRDefault="00F31323" w:rsidP="00F31323">
      <w:pPr>
        <w:pStyle w:val="CommentsandQuestions"/>
        <w:rPr>
          <w:rFonts w:asciiTheme="minorHAnsi" w:hAnsiTheme="minorHAnsi"/>
          <w:sz w:val="24"/>
          <w:szCs w:val="22"/>
        </w:rPr>
      </w:pPr>
      <w:r w:rsidRPr="00A84718">
        <w:rPr>
          <w:rFonts w:asciiTheme="minorHAnsi" w:hAnsiTheme="minorHAnsi"/>
          <w:sz w:val="24"/>
          <w:szCs w:val="22"/>
        </w:rPr>
        <w:t>Comments and Questions</w:t>
      </w:r>
    </w:p>
    <w:p w14:paraId="4A4D8D16"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1. For more on the “failure to function as a mark” bar to protectability, see Alexandra J. Roberts, </w:t>
      </w:r>
      <w:r w:rsidRPr="00A84718">
        <w:rPr>
          <w:rFonts w:asciiTheme="minorHAnsi" w:hAnsiTheme="minorHAnsi"/>
          <w:i/>
          <w:sz w:val="24"/>
          <w:szCs w:val="22"/>
        </w:rPr>
        <w:t>Trademark Failure to Function</w:t>
      </w:r>
      <w:r w:rsidRPr="00A84718">
        <w:rPr>
          <w:rFonts w:asciiTheme="minorHAnsi" w:hAnsiTheme="minorHAnsi"/>
          <w:sz w:val="24"/>
          <w:szCs w:val="22"/>
        </w:rPr>
        <w:t xml:space="preserve">, 104 </w:t>
      </w:r>
      <w:r w:rsidRPr="00A84718">
        <w:rPr>
          <w:rFonts w:asciiTheme="minorHAnsi" w:hAnsiTheme="minorHAnsi"/>
          <w:smallCaps/>
          <w:sz w:val="24"/>
          <w:szCs w:val="22"/>
        </w:rPr>
        <w:t>Iowa L. Rev</w:t>
      </w:r>
      <w:r w:rsidRPr="00A84718">
        <w:rPr>
          <w:rFonts w:asciiTheme="minorHAnsi" w:hAnsiTheme="minorHAnsi"/>
          <w:sz w:val="24"/>
          <w:szCs w:val="22"/>
        </w:rPr>
        <w:t xml:space="preserve">. 1977 (2019). </w:t>
      </w:r>
      <w:r w:rsidRPr="00A84718">
        <w:rPr>
          <w:rFonts w:asciiTheme="minorHAnsi" w:hAnsiTheme="minorHAnsi"/>
          <w:i/>
          <w:iCs/>
          <w:sz w:val="24"/>
          <w:szCs w:val="22"/>
        </w:rPr>
        <w:t xml:space="preserve">See also </w:t>
      </w:r>
      <w:r w:rsidRPr="00A84718">
        <w:rPr>
          <w:rFonts w:asciiTheme="minorHAnsi" w:hAnsiTheme="minorHAnsi"/>
          <w:sz w:val="24"/>
          <w:szCs w:val="22"/>
        </w:rPr>
        <w:t xml:space="preserve">Lucas Daniel </w:t>
      </w:r>
      <w:proofErr w:type="spellStart"/>
      <w:r w:rsidRPr="00A84718">
        <w:rPr>
          <w:rFonts w:asciiTheme="minorHAnsi" w:hAnsiTheme="minorHAnsi"/>
          <w:sz w:val="24"/>
          <w:szCs w:val="22"/>
        </w:rPr>
        <w:t>Cuatrecasas</w:t>
      </w:r>
      <w:proofErr w:type="spellEnd"/>
      <w:r w:rsidRPr="00A84718">
        <w:rPr>
          <w:rFonts w:asciiTheme="minorHAnsi" w:hAnsiTheme="minorHAnsi"/>
          <w:sz w:val="24"/>
          <w:szCs w:val="22"/>
        </w:rPr>
        <w:t xml:space="preserve">, </w:t>
      </w:r>
      <w:r w:rsidRPr="00A84718">
        <w:rPr>
          <w:rFonts w:asciiTheme="minorHAnsi" w:hAnsiTheme="minorHAnsi"/>
          <w:i/>
          <w:iCs/>
          <w:sz w:val="24"/>
          <w:szCs w:val="22"/>
        </w:rPr>
        <w:t>Failure to Function and Trademark Law’s Outermost Bound</w:t>
      </w:r>
      <w:r w:rsidRPr="00A84718">
        <w:rPr>
          <w:rFonts w:asciiTheme="minorHAnsi" w:hAnsiTheme="minorHAnsi"/>
          <w:sz w:val="24"/>
          <w:szCs w:val="22"/>
        </w:rPr>
        <w:t xml:space="preserve">, 96 </w:t>
      </w:r>
      <w:r w:rsidRPr="00A84718">
        <w:rPr>
          <w:rFonts w:asciiTheme="minorHAnsi" w:hAnsiTheme="minorHAnsi"/>
          <w:smallCaps/>
          <w:sz w:val="24"/>
          <w:szCs w:val="22"/>
        </w:rPr>
        <w:t>N.Y.U. L. Rev.</w:t>
      </w:r>
      <w:r w:rsidRPr="00A84718">
        <w:rPr>
          <w:rFonts w:asciiTheme="minorHAnsi" w:hAnsiTheme="minorHAnsi"/>
          <w:sz w:val="24"/>
          <w:szCs w:val="22"/>
        </w:rPr>
        <w:t xml:space="preserve"> 1312 (2021) (describing numerous inconsistencies in TTAB failure to function case law and urging that failure to function doctrine be replaced by aesthetic functionality doctrine to focus not on consumer perception, but on whether exclusive rights in the asserted mark “would significant hinder competition in the relevant market”); Lisa P. Ramsey, </w:t>
      </w:r>
      <w:r w:rsidRPr="00A84718">
        <w:rPr>
          <w:rFonts w:asciiTheme="minorHAnsi" w:hAnsiTheme="minorHAnsi"/>
          <w:i/>
          <w:iCs/>
          <w:sz w:val="24"/>
          <w:szCs w:val="22"/>
        </w:rPr>
        <w:t>Using Failure to Function Doctrine to Protect Free Speech and Competition in Trademark Law</w:t>
      </w:r>
      <w:r w:rsidRPr="00A84718">
        <w:rPr>
          <w:rFonts w:asciiTheme="minorHAnsi" w:hAnsiTheme="minorHAnsi"/>
          <w:sz w:val="24"/>
          <w:szCs w:val="22"/>
        </w:rPr>
        <w:t xml:space="preserve">, 104 </w:t>
      </w:r>
      <w:r w:rsidRPr="00A84718">
        <w:rPr>
          <w:rFonts w:asciiTheme="minorHAnsi" w:hAnsiTheme="minorHAnsi"/>
          <w:smallCaps/>
          <w:sz w:val="24"/>
          <w:szCs w:val="22"/>
        </w:rPr>
        <w:t>Iowa L. Rev. Online</w:t>
      </w:r>
      <w:r w:rsidRPr="00A84718">
        <w:rPr>
          <w:rFonts w:asciiTheme="minorHAnsi" w:hAnsiTheme="minorHAnsi"/>
          <w:sz w:val="24"/>
          <w:szCs w:val="22"/>
        </w:rPr>
        <w:t xml:space="preserve"> 70, 89 (2020) (“Allowing trademark registration and protection of puns, political and social messages, culturally important terms or images, and other common words or designs for expressive merchandise can chill and suppress the speech of competing manufacturers, print-on-demand companies, and others who want to display this language on products sold to people who desire these goods because of the ideas they convey.”).</w:t>
      </w:r>
    </w:p>
    <w:p w14:paraId="1C2A6713"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2. </w:t>
      </w:r>
      <w:r w:rsidRPr="00A84718">
        <w:rPr>
          <w:rFonts w:asciiTheme="minorHAnsi" w:hAnsiTheme="minorHAnsi"/>
          <w:i/>
          <w:iCs/>
          <w:sz w:val="24"/>
          <w:szCs w:val="22"/>
        </w:rPr>
        <w:t>Can survey evidence overcome a failure to function refusal?</w:t>
      </w:r>
      <w:r w:rsidRPr="00A84718">
        <w:rPr>
          <w:rFonts w:asciiTheme="minorHAnsi" w:hAnsiTheme="minorHAnsi"/>
          <w:sz w:val="24"/>
          <w:szCs w:val="22"/>
        </w:rPr>
        <w:t xml:space="preserve"> What survey format would be appropriate? </w:t>
      </w:r>
      <w:r w:rsidRPr="00A84718">
        <w:rPr>
          <w:rFonts w:asciiTheme="minorHAnsi" w:hAnsiTheme="minorHAnsi"/>
          <w:i/>
          <w:iCs/>
          <w:sz w:val="24"/>
          <w:szCs w:val="22"/>
        </w:rPr>
        <w:t>See</w:t>
      </w:r>
      <w:r w:rsidRPr="00A84718">
        <w:rPr>
          <w:rFonts w:asciiTheme="minorHAnsi" w:hAnsiTheme="minorHAnsi"/>
          <w:sz w:val="24"/>
          <w:szCs w:val="22"/>
        </w:rPr>
        <w:t xml:space="preserve"> R. Charles Henn Jr., </w:t>
      </w:r>
      <w:r w:rsidRPr="00A84718">
        <w:rPr>
          <w:rFonts w:asciiTheme="minorHAnsi" w:hAnsiTheme="minorHAnsi"/>
          <w:i/>
          <w:iCs/>
          <w:sz w:val="24"/>
          <w:szCs w:val="22"/>
        </w:rPr>
        <w:t>Survey Methodologies to Overcome “Failure to Function” Refusals in the U.S. Patent and Trademark Office</w:t>
      </w:r>
      <w:r w:rsidRPr="00A84718">
        <w:rPr>
          <w:rFonts w:asciiTheme="minorHAnsi" w:hAnsiTheme="minorHAnsi"/>
          <w:sz w:val="24"/>
          <w:szCs w:val="22"/>
        </w:rPr>
        <w:t xml:space="preserve">, 114 </w:t>
      </w:r>
      <w:r w:rsidRPr="00A84718">
        <w:rPr>
          <w:rFonts w:asciiTheme="minorHAnsi" w:hAnsiTheme="minorHAnsi"/>
          <w:smallCaps/>
          <w:sz w:val="24"/>
          <w:szCs w:val="22"/>
        </w:rPr>
        <w:t>Trademark Rep</w:t>
      </w:r>
      <w:r w:rsidRPr="00A84718">
        <w:rPr>
          <w:rFonts w:asciiTheme="minorHAnsi" w:hAnsiTheme="minorHAnsi"/>
          <w:sz w:val="24"/>
          <w:szCs w:val="22"/>
        </w:rPr>
        <w:t>. 560 (2024).</w:t>
      </w:r>
    </w:p>
    <w:p w14:paraId="21C114D4" w14:textId="59161AF2" w:rsidR="00F31323" w:rsidRPr="004B7280" w:rsidRDefault="00F31323" w:rsidP="004B7280">
      <w:pPr>
        <w:pStyle w:val="Heading4"/>
        <w:ind w:firstLine="0"/>
        <w:rPr>
          <w:rFonts w:asciiTheme="minorHAnsi" w:hAnsiTheme="minorHAnsi"/>
          <w:sz w:val="28"/>
          <w:szCs w:val="24"/>
        </w:rPr>
      </w:pPr>
      <w:bookmarkStart w:id="10" w:name="_Toc365129315"/>
      <w:bookmarkStart w:id="11" w:name="_Toc201424267"/>
      <w:r w:rsidRPr="004B7280">
        <w:rPr>
          <w:rFonts w:asciiTheme="minorHAnsi" w:hAnsiTheme="minorHAnsi"/>
          <w:sz w:val="28"/>
          <w:szCs w:val="24"/>
        </w:rPr>
        <w:t xml:space="preserve">Further Examples of </w:t>
      </w:r>
      <w:r w:rsidRPr="004B7280">
        <w:rPr>
          <w:rFonts w:asciiTheme="minorHAnsi" w:hAnsiTheme="minorHAnsi"/>
          <w:i w:val="0"/>
          <w:iCs w:val="0"/>
          <w:sz w:val="28"/>
          <w:szCs w:val="24"/>
        </w:rPr>
        <w:t>Abercrombie</w:t>
      </w:r>
      <w:r w:rsidRPr="004B7280">
        <w:rPr>
          <w:rFonts w:asciiTheme="minorHAnsi" w:hAnsiTheme="minorHAnsi"/>
          <w:sz w:val="28"/>
          <w:szCs w:val="24"/>
        </w:rPr>
        <w:t xml:space="preserve"> Classifications</w:t>
      </w:r>
      <w:bookmarkEnd w:id="10"/>
      <w:bookmarkEnd w:id="11"/>
    </w:p>
    <w:p w14:paraId="0748C317" w14:textId="77777777" w:rsidR="00F31323" w:rsidRPr="00A84718" w:rsidRDefault="00F31323" w:rsidP="00F31323">
      <w:pPr>
        <w:rPr>
          <w:rFonts w:asciiTheme="minorHAnsi" w:hAnsiTheme="minorHAnsi"/>
          <w:sz w:val="24"/>
          <w:szCs w:val="22"/>
        </w:rPr>
      </w:pPr>
      <w:r w:rsidRPr="00A84718">
        <w:rPr>
          <w:rFonts w:asciiTheme="minorHAnsi" w:hAnsiTheme="minorHAnsi"/>
          <w:sz w:val="24"/>
          <w:szCs w:val="22"/>
        </w:rPr>
        <w:t xml:space="preserve">Provided here are numerous examples of courts’ classification of trademarks’ distinctiveness along the </w:t>
      </w:r>
      <w:r w:rsidRPr="00A84718">
        <w:rPr>
          <w:rFonts w:asciiTheme="minorHAnsi" w:hAnsiTheme="minorHAnsi"/>
          <w:i/>
          <w:sz w:val="24"/>
          <w:szCs w:val="22"/>
        </w:rPr>
        <w:t>Abercrombie</w:t>
      </w:r>
      <w:r w:rsidRPr="00A84718">
        <w:rPr>
          <w:rFonts w:asciiTheme="minorHAnsi" w:hAnsiTheme="minorHAnsi"/>
          <w:sz w:val="24"/>
          <w:szCs w:val="22"/>
        </w:rPr>
        <w:t xml:space="preserve"> spectrum. You are very strongly encouraged to determine your own view on the appropriate classification before you </w:t>
      </w:r>
      <w:proofErr w:type="gramStart"/>
      <w:r w:rsidRPr="00A84718">
        <w:rPr>
          <w:rFonts w:asciiTheme="minorHAnsi" w:hAnsiTheme="minorHAnsi"/>
          <w:sz w:val="24"/>
          <w:szCs w:val="22"/>
        </w:rPr>
        <w:t>consult</w:t>
      </w:r>
      <w:proofErr w:type="gramEnd"/>
      <w:r w:rsidRPr="00A84718">
        <w:rPr>
          <w:rFonts w:asciiTheme="minorHAnsi" w:hAnsiTheme="minorHAnsi"/>
          <w:sz w:val="24"/>
          <w:szCs w:val="22"/>
        </w:rPr>
        <w:t xml:space="preserve"> how the court ruled. Do any of the following classifications strike you as incorrect?</w:t>
      </w:r>
    </w:p>
    <w:p w14:paraId="0D70F411"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tide</w:t>
      </w:r>
      <w:r w:rsidRPr="00A84718">
        <w:rPr>
          <w:rFonts w:asciiTheme="minorHAnsi" w:hAnsiTheme="minorHAnsi"/>
          <w:sz w:val="24"/>
          <w:szCs w:val="22"/>
        </w:rPr>
        <w:t xml:space="preserve"> for laundry detergent. </w:t>
      </w:r>
      <w:r w:rsidRPr="00A84718">
        <w:rPr>
          <w:rFonts w:asciiTheme="minorHAnsi" w:hAnsiTheme="minorHAnsi"/>
          <w:i/>
          <w:sz w:val="24"/>
          <w:szCs w:val="22"/>
        </w:rPr>
        <w:t>See Wal-Mart Stores, Inc. v. Samara Bros</w:t>
      </w:r>
      <w:r w:rsidRPr="00A84718">
        <w:rPr>
          <w:rFonts w:asciiTheme="minorHAnsi" w:hAnsiTheme="minorHAnsi"/>
          <w:sz w:val="24"/>
          <w:szCs w:val="22"/>
        </w:rPr>
        <w:t xml:space="preserve">., 529 U.S. 205, 210 (2000) (giving </w:t>
      </w:r>
      <w:r w:rsidRPr="00A84718">
        <w:rPr>
          <w:rFonts w:asciiTheme="minorHAnsi" w:hAnsiTheme="minorHAnsi"/>
          <w:smallCaps/>
          <w:sz w:val="24"/>
          <w:szCs w:val="22"/>
        </w:rPr>
        <w:t>tide</w:t>
      </w:r>
      <w:r w:rsidRPr="00A84718">
        <w:rPr>
          <w:rFonts w:asciiTheme="minorHAnsi" w:hAnsiTheme="minorHAnsi"/>
          <w:sz w:val="24"/>
          <w:szCs w:val="22"/>
        </w:rPr>
        <w:t xml:space="preserve"> for laundry detergent as an example of a suggestive mark).</w:t>
      </w:r>
    </w:p>
    <w:p w14:paraId="414FF82F"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serial</w:t>
      </w:r>
      <w:r w:rsidRPr="00A84718">
        <w:rPr>
          <w:rFonts w:asciiTheme="minorHAnsi" w:hAnsiTheme="minorHAnsi"/>
          <w:sz w:val="24"/>
          <w:szCs w:val="22"/>
        </w:rPr>
        <w:t xml:space="preserve"> for “entertainment in the nature of ongoing audio program featuring investigative reporting, interviews, and documentary storytelling.” </w:t>
      </w:r>
      <w:r w:rsidRPr="00A84718">
        <w:rPr>
          <w:rFonts w:asciiTheme="minorHAnsi" w:hAnsiTheme="minorHAnsi"/>
          <w:i/>
          <w:sz w:val="24"/>
          <w:szCs w:val="22"/>
        </w:rPr>
        <w:t>See In re Serial Podcast, LLC</w:t>
      </w:r>
      <w:r w:rsidRPr="00A84718">
        <w:rPr>
          <w:rFonts w:asciiTheme="minorHAnsi" w:hAnsiTheme="minorHAnsi"/>
          <w:sz w:val="24"/>
          <w:szCs w:val="22"/>
        </w:rPr>
        <w:t xml:space="preserve">, 126 U.S.P.Q.2d 1061 (TTAB 2018) (finding the applied-for standard </w:t>
      </w:r>
      <w:r w:rsidRPr="00A84718">
        <w:rPr>
          <w:rFonts w:asciiTheme="minorHAnsi" w:hAnsiTheme="minorHAnsi"/>
          <w:sz w:val="24"/>
          <w:szCs w:val="22"/>
        </w:rPr>
        <w:lastRenderedPageBreak/>
        <w:t>character mark to be generic but finding the applied-for logos incorporating the term to possess acquired distinctiveness and qualify for protection)</w:t>
      </w:r>
    </w:p>
    <w:p w14:paraId="33F0EBE8"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the stork club</w:t>
      </w:r>
      <w:r w:rsidRPr="00A84718">
        <w:rPr>
          <w:rFonts w:asciiTheme="minorHAnsi" w:hAnsiTheme="minorHAnsi"/>
          <w:sz w:val="24"/>
          <w:szCs w:val="22"/>
        </w:rPr>
        <w:t xml:space="preserve"> for a restaurant. </w:t>
      </w:r>
      <w:r w:rsidRPr="00A84718">
        <w:rPr>
          <w:rFonts w:asciiTheme="minorHAnsi" w:hAnsiTheme="minorHAnsi"/>
          <w:i/>
          <w:sz w:val="24"/>
          <w:szCs w:val="22"/>
        </w:rPr>
        <w:t xml:space="preserve">See Stork Restaurant v. </w:t>
      </w:r>
      <w:proofErr w:type="spellStart"/>
      <w:r w:rsidRPr="00A84718">
        <w:rPr>
          <w:rFonts w:asciiTheme="minorHAnsi" w:hAnsiTheme="minorHAnsi"/>
          <w:i/>
          <w:sz w:val="24"/>
          <w:szCs w:val="22"/>
        </w:rPr>
        <w:t>Sahati</w:t>
      </w:r>
      <w:proofErr w:type="spellEnd"/>
      <w:r w:rsidRPr="00A84718">
        <w:rPr>
          <w:rFonts w:asciiTheme="minorHAnsi" w:hAnsiTheme="minorHAnsi"/>
          <w:sz w:val="24"/>
          <w:szCs w:val="22"/>
        </w:rPr>
        <w:t>, 166 F.2d 348, 355 (9th Cir. 1948) (finding the stork club to be arbitrary as to a restaurant and reasoning that “[i]t is in no way descriptive of the appellant’s night club, for in its primary significance it would denote a club for storks. Nor is it likely that the sophisticates who are its most publicized customers are particularly interested in the stork.”).</w:t>
      </w:r>
    </w:p>
    <w:p w14:paraId="3C96EC0A"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google</w:t>
      </w:r>
      <w:r w:rsidRPr="00A84718">
        <w:rPr>
          <w:rFonts w:asciiTheme="minorHAnsi" w:hAnsiTheme="minorHAnsi"/>
          <w:sz w:val="24"/>
          <w:szCs w:val="22"/>
        </w:rPr>
        <w:t xml:space="preserve"> for internet search service. </w:t>
      </w:r>
      <w:r w:rsidRPr="00A84718">
        <w:rPr>
          <w:rFonts w:asciiTheme="minorHAnsi" w:hAnsiTheme="minorHAnsi"/>
          <w:i/>
          <w:sz w:val="24"/>
          <w:szCs w:val="22"/>
        </w:rPr>
        <w:t>See</w:t>
      </w:r>
      <w:r w:rsidRPr="00A84718">
        <w:rPr>
          <w:rFonts w:asciiTheme="minorHAnsi" w:hAnsiTheme="minorHAnsi"/>
          <w:sz w:val="24"/>
          <w:szCs w:val="22"/>
        </w:rPr>
        <w:t xml:space="preserve"> </w:t>
      </w:r>
      <w:r w:rsidRPr="00A84718">
        <w:rPr>
          <w:rFonts w:asciiTheme="minorHAnsi" w:hAnsiTheme="minorHAnsi"/>
          <w:smallCaps/>
          <w:sz w:val="24"/>
          <w:szCs w:val="22"/>
        </w:rPr>
        <w:t>Gilson</w:t>
      </w:r>
      <w:r w:rsidRPr="00A84718">
        <w:rPr>
          <w:rFonts w:asciiTheme="minorHAnsi" w:hAnsiTheme="minorHAnsi"/>
          <w:sz w:val="24"/>
          <w:szCs w:val="22"/>
        </w:rPr>
        <w:t xml:space="preserve"> § 2.04 (giving </w:t>
      </w:r>
      <w:r w:rsidRPr="00A84718">
        <w:rPr>
          <w:rFonts w:asciiTheme="minorHAnsi" w:hAnsiTheme="minorHAnsi"/>
          <w:smallCaps/>
          <w:sz w:val="24"/>
          <w:szCs w:val="22"/>
        </w:rPr>
        <w:t>google</w:t>
      </w:r>
      <w:r w:rsidRPr="00A84718">
        <w:rPr>
          <w:rFonts w:asciiTheme="minorHAnsi" w:hAnsiTheme="minorHAnsi"/>
          <w:sz w:val="24"/>
          <w:szCs w:val="22"/>
        </w:rPr>
        <w:t xml:space="preserve"> for search engine as an example of a fanciful mark).</w:t>
      </w:r>
    </w:p>
    <w:p w14:paraId="04E9FD6C" w14:textId="77777777" w:rsidR="00F31323" w:rsidRPr="00A84718" w:rsidRDefault="00F31323" w:rsidP="00F31323">
      <w:pPr>
        <w:pStyle w:val="NormalNoIndent"/>
        <w:numPr>
          <w:ilvl w:val="0"/>
          <w:numId w:val="4"/>
        </w:numPr>
        <w:rPr>
          <w:rFonts w:asciiTheme="minorHAnsi" w:hAnsiTheme="minorHAnsi"/>
          <w:sz w:val="24"/>
          <w:szCs w:val="22"/>
        </w:rPr>
      </w:pPr>
      <w:proofErr w:type="spellStart"/>
      <w:r w:rsidRPr="00A84718">
        <w:rPr>
          <w:rFonts w:asciiTheme="minorHAnsi" w:hAnsiTheme="minorHAnsi"/>
          <w:smallCaps/>
          <w:sz w:val="24"/>
          <w:szCs w:val="22"/>
        </w:rPr>
        <w:t>snakelight</w:t>
      </w:r>
      <w:proofErr w:type="spellEnd"/>
      <w:r w:rsidRPr="00A84718">
        <w:rPr>
          <w:rFonts w:asciiTheme="minorHAnsi" w:hAnsiTheme="minorHAnsi"/>
          <w:sz w:val="24"/>
          <w:szCs w:val="22"/>
        </w:rPr>
        <w:t xml:space="preserve"> for a light with a flexible neck. </w:t>
      </w:r>
      <w:r w:rsidRPr="00A84718">
        <w:rPr>
          <w:rFonts w:asciiTheme="minorHAnsi" w:hAnsiTheme="minorHAnsi"/>
          <w:i/>
          <w:sz w:val="24"/>
          <w:szCs w:val="22"/>
        </w:rPr>
        <w:t>See Black &amp; Decker Corp. v. Dunsford</w:t>
      </w:r>
      <w:r w:rsidRPr="00A84718">
        <w:rPr>
          <w:rFonts w:asciiTheme="minorHAnsi" w:hAnsiTheme="minorHAnsi"/>
          <w:sz w:val="24"/>
          <w:szCs w:val="22"/>
        </w:rPr>
        <w:t>, 944 F. Supp. 220 (S.D.N.Y. 1996) (finding the mark to be descriptive and reasoning that “</w:t>
      </w:r>
      <w:proofErr w:type="spellStart"/>
      <w:r w:rsidRPr="00A84718">
        <w:rPr>
          <w:rFonts w:asciiTheme="minorHAnsi" w:hAnsiTheme="minorHAnsi"/>
          <w:sz w:val="24"/>
          <w:szCs w:val="22"/>
        </w:rPr>
        <w:t>Snakelight</w:t>
      </w:r>
      <w:proofErr w:type="spellEnd"/>
      <w:r w:rsidRPr="00A84718">
        <w:rPr>
          <w:rFonts w:asciiTheme="minorHAnsi" w:hAnsiTheme="minorHAnsi"/>
          <w:sz w:val="24"/>
          <w:szCs w:val="22"/>
        </w:rPr>
        <w:t xml:space="preserve">’ is just what it says: a ‘snake-like’ light. In this context, the word ‘snake’ functions as an adjective, modifying the principal term, the generic noun ‘light.’ Taken as a whole, the name conveys the ‘immediate idea’ of the ‘characteristics’ of the product [citing </w:t>
      </w:r>
      <w:r w:rsidRPr="00A84718">
        <w:rPr>
          <w:rFonts w:asciiTheme="minorHAnsi" w:hAnsiTheme="minorHAnsi"/>
          <w:i/>
          <w:sz w:val="24"/>
          <w:szCs w:val="22"/>
        </w:rPr>
        <w:t>Abercrombie</w:t>
      </w:r>
      <w:r w:rsidRPr="00A84718">
        <w:rPr>
          <w:rFonts w:asciiTheme="minorHAnsi" w:hAnsiTheme="minorHAnsi"/>
          <w:sz w:val="24"/>
          <w:szCs w:val="22"/>
        </w:rPr>
        <w:t>]).</w:t>
      </w:r>
    </w:p>
    <w:p w14:paraId="1FABDE25" w14:textId="77777777" w:rsidR="00F31323" w:rsidRPr="00A84718" w:rsidRDefault="00F31323" w:rsidP="00F31323">
      <w:pPr>
        <w:pStyle w:val="NormalNoIndent"/>
        <w:numPr>
          <w:ilvl w:val="0"/>
          <w:numId w:val="4"/>
        </w:numPr>
        <w:rPr>
          <w:rFonts w:asciiTheme="minorHAnsi" w:hAnsiTheme="minorHAnsi"/>
          <w:sz w:val="24"/>
          <w:szCs w:val="22"/>
        </w:rPr>
      </w:pPr>
      <w:proofErr w:type="spellStart"/>
      <w:r w:rsidRPr="00A84718">
        <w:rPr>
          <w:rFonts w:asciiTheme="minorHAnsi" w:hAnsiTheme="minorHAnsi"/>
          <w:smallCaps/>
          <w:sz w:val="24"/>
          <w:szCs w:val="22"/>
        </w:rPr>
        <w:t>clorox</w:t>
      </w:r>
      <w:proofErr w:type="spellEnd"/>
      <w:r w:rsidRPr="00A84718">
        <w:rPr>
          <w:rFonts w:asciiTheme="minorHAnsi" w:hAnsiTheme="minorHAnsi"/>
          <w:sz w:val="24"/>
          <w:szCs w:val="22"/>
        </w:rPr>
        <w:t xml:space="preserve"> for bleach. </w:t>
      </w:r>
      <w:r w:rsidRPr="00A84718">
        <w:rPr>
          <w:rFonts w:asciiTheme="minorHAnsi" w:hAnsiTheme="minorHAnsi"/>
          <w:i/>
          <w:sz w:val="24"/>
          <w:szCs w:val="22"/>
        </w:rPr>
        <w:t xml:space="preserve">See Clorox Chemical Co. v. </w:t>
      </w:r>
      <w:proofErr w:type="spellStart"/>
      <w:r w:rsidRPr="00A84718">
        <w:rPr>
          <w:rFonts w:asciiTheme="minorHAnsi" w:hAnsiTheme="minorHAnsi"/>
          <w:i/>
          <w:sz w:val="24"/>
          <w:szCs w:val="22"/>
        </w:rPr>
        <w:t>Chlorit</w:t>
      </w:r>
      <w:proofErr w:type="spellEnd"/>
      <w:r w:rsidRPr="00A84718">
        <w:rPr>
          <w:rFonts w:asciiTheme="minorHAnsi" w:hAnsiTheme="minorHAnsi"/>
          <w:i/>
          <w:sz w:val="24"/>
          <w:szCs w:val="22"/>
        </w:rPr>
        <w:t xml:space="preserve"> Mfg. Corp</w:t>
      </w:r>
      <w:r w:rsidRPr="00A84718">
        <w:rPr>
          <w:rFonts w:asciiTheme="minorHAnsi" w:hAnsiTheme="minorHAnsi"/>
          <w:sz w:val="24"/>
          <w:szCs w:val="22"/>
        </w:rPr>
        <w:t>., 25 F. Supp. 702, 705 (D.N.Y. 1938) (“‘Clorox’ is a fanciful word, arbitrarily selected in no wise describes its ingredients.”).</w:t>
      </w:r>
    </w:p>
    <w:p w14:paraId="1F75F6FA"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streetwise</w:t>
      </w:r>
      <w:r w:rsidRPr="00A84718">
        <w:rPr>
          <w:rFonts w:asciiTheme="minorHAnsi" w:hAnsiTheme="minorHAnsi"/>
          <w:sz w:val="24"/>
          <w:szCs w:val="22"/>
        </w:rPr>
        <w:t xml:space="preserve"> for street maps. </w:t>
      </w:r>
      <w:r w:rsidRPr="00A84718">
        <w:rPr>
          <w:rFonts w:asciiTheme="minorHAnsi" w:hAnsiTheme="minorHAnsi"/>
          <w:i/>
          <w:sz w:val="24"/>
          <w:szCs w:val="22"/>
        </w:rPr>
        <w:t>See Streetwise Maps, Inc. v. VanDam, Inc</w:t>
      </w:r>
      <w:r w:rsidRPr="00A84718">
        <w:rPr>
          <w:rFonts w:asciiTheme="minorHAnsi" w:hAnsiTheme="minorHAnsi"/>
          <w:sz w:val="24"/>
          <w:szCs w:val="22"/>
        </w:rPr>
        <w:t>., 159 F.3d 739, 744 (2d Cir. 1998) (“The district court ranked the Streetwise mark as suggestive, meaning that the term “suggested” the features of the product and required the purchaser to use his or her imagination to figure out the nature of the product. We agree.”).</w:t>
      </w:r>
    </w:p>
    <w:p w14:paraId="0B909DE1"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supreme</w:t>
      </w:r>
      <w:r w:rsidRPr="00A84718">
        <w:rPr>
          <w:rFonts w:asciiTheme="minorHAnsi" w:hAnsiTheme="minorHAnsi"/>
          <w:sz w:val="24"/>
          <w:szCs w:val="22"/>
        </w:rPr>
        <w:t xml:space="preserve"> for vodka. </w:t>
      </w:r>
      <w:r w:rsidRPr="00A84718">
        <w:rPr>
          <w:rFonts w:asciiTheme="minorHAnsi" w:hAnsiTheme="minorHAnsi"/>
          <w:i/>
          <w:sz w:val="24"/>
          <w:szCs w:val="22"/>
        </w:rPr>
        <w:t>See Supreme Wine Co. v. American Distilling Co</w:t>
      </w:r>
      <w:r w:rsidRPr="00A84718">
        <w:rPr>
          <w:rFonts w:asciiTheme="minorHAnsi" w:hAnsiTheme="minorHAnsi"/>
          <w:sz w:val="24"/>
          <w:szCs w:val="22"/>
        </w:rPr>
        <w:t xml:space="preserve">., 310 F.2d 888, 889 (2d Cir. 1962) (finding </w:t>
      </w:r>
      <w:r w:rsidRPr="00A84718">
        <w:rPr>
          <w:rFonts w:asciiTheme="minorHAnsi" w:hAnsiTheme="minorHAnsi"/>
          <w:smallCaps/>
          <w:sz w:val="24"/>
          <w:szCs w:val="22"/>
        </w:rPr>
        <w:t>supreme</w:t>
      </w:r>
      <w:r w:rsidRPr="00A84718">
        <w:rPr>
          <w:rFonts w:asciiTheme="minorHAnsi" w:hAnsiTheme="minorHAnsi"/>
          <w:sz w:val="24"/>
          <w:szCs w:val="22"/>
        </w:rPr>
        <w:t xml:space="preserve"> for vodka to be descriptive on the ground that “[m]</w:t>
      </w:r>
      <w:proofErr w:type="spellStart"/>
      <w:r w:rsidRPr="00A84718">
        <w:rPr>
          <w:rFonts w:asciiTheme="minorHAnsi" w:hAnsiTheme="minorHAnsi"/>
          <w:sz w:val="24"/>
          <w:szCs w:val="22"/>
        </w:rPr>
        <w:t>erely</w:t>
      </w:r>
      <w:proofErr w:type="spellEnd"/>
      <w:r w:rsidRPr="00A84718">
        <w:rPr>
          <w:rFonts w:asciiTheme="minorHAnsi" w:hAnsiTheme="minorHAnsi"/>
          <w:sz w:val="24"/>
          <w:szCs w:val="22"/>
        </w:rPr>
        <w:t xml:space="preserve"> laudatory words, such as ‘best’, ‘outstanding’, or ‘supreme’ cannot of their own force indicate the source or origin of the labeled goods”).</w:t>
      </w:r>
    </w:p>
    <w:p w14:paraId="46057809"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playboy</w:t>
      </w:r>
      <w:r w:rsidRPr="00A84718">
        <w:rPr>
          <w:rFonts w:asciiTheme="minorHAnsi" w:hAnsiTheme="minorHAnsi"/>
          <w:sz w:val="24"/>
          <w:szCs w:val="22"/>
        </w:rPr>
        <w:t xml:space="preserve"> for a men’s magazine. </w:t>
      </w:r>
      <w:r w:rsidRPr="00A84718">
        <w:rPr>
          <w:rFonts w:asciiTheme="minorHAnsi" w:hAnsiTheme="minorHAnsi"/>
          <w:i/>
          <w:sz w:val="24"/>
          <w:szCs w:val="22"/>
        </w:rPr>
        <w:t xml:space="preserve">See Playboy Enters., Inc. v. </w:t>
      </w:r>
      <w:proofErr w:type="spellStart"/>
      <w:r w:rsidRPr="00A84718">
        <w:rPr>
          <w:rFonts w:asciiTheme="minorHAnsi" w:hAnsiTheme="minorHAnsi"/>
          <w:i/>
          <w:sz w:val="24"/>
          <w:szCs w:val="22"/>
        </w:rPr>
        <w:t>Chuckleberry</w:t>
      </w:r>
      <w:proofErr w:type="spellEnd"/>
      <w:r w:rsidRPr="00A84718">
        <w:rPr>
          <w:rFonts w:asciiTheme="minorHAnsi" w:hAnsiTheme="minorHAnsi"/>
          <w:i/>
          <w:sz w:val="24"/>
          <w:szCs w:val="22"/>
        </w:rPr>
        <w:t xml:space="preserve"> Pub., Inc</w:t>
      </w:r>
      <w:r w:rsidRPr="00A84718">
        <w:rPr>
          <w:rFonts w:asciiTheme="minorHAnsi" w:hAnsiTheme="minorHAnsi"/>
          <w:sz w:val="24"/>
          <w:szCs w:val="22"/>
        </w:rPr>
        <w:t>., 687 F.2d 563, 566-67 (2d. Cir. 1982) (finding the mark to be suggestive and reasoning that “Playboy is defined in the Random House Dictionary of the English Language (unabridged ed. 1966) as ‘a wealthy, carefree man who devotes most of his time to leisure, self-amusement, and hedonistic pleasures, conventionally frequenting parties and night clubs, romancing a rapid succession of attractive young women, and racing speedboats and sports cars.’ Although the word may signify the aspirations of PLAYBOY’s readership, it does not describe the product or its contents.”).</w:t>
      </w:r>
    </w:p>
    <w:p w14:paraId="5ADACD0E"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 xml:space="preserve">no name </w:t>
      </w:r>
      <w:r w:rsidRPr="00A84718">
        <w:rPr>
          <w:rFonts w:asciiTheme="minorHAnsi" w:hAnsiTheme="minorHAnsi"/>
          <w:sz w:val="24"/>
          <w:szCs w:val="22"/>
        </w:rPr>
        <w:t xml:space="preserve">for meat and other food products. </w:t>
      </w:r>
      <w:r w:rsidRPr="00A84718">
        <w:rPr>
          <w:rFonts w:asciiTheme="minorHAnsi" w:hAnsiTheme="minorHAnsi"/>
          <w:i/>
          <w:sz w:val="24"/>
          <w:szCs w:val="22"/>
        </w:rPr>
        <w:t>See J&amp;B Wholesale Distributing, Inc. v. Redux Beverages, LLC</w:t>
      </w:r>
      <w:r w:rsidRPr="00A84718">
        <w:rPr>
          <w:rFonts w:asciiTheme="minorHAnsi" w:hAnsiTheme="minorHAnsi"/>
          <w:sz w:val="24"/>
          <w:szCs w:val="22"/>
        </w:rPr>
        <w:t>, 85 U.S.P.Q.2d 1623, 1626 (D. Minn. 2007) (“[S]</w:t>
      </w:r>
      <w:proofErr w:type="spellStart"/>
      <w:r w:rsidRPr="00A84718">
        <w:rPr>
          <w:rFonts w:asciiTheme="minorHAnsi" w:hAnsiTheme="minorHAnsi"/>
          <w:sz w:val="24"/>
          <w:szCs w:val="22"/>
        </w:rPr>
        <w:t>tanding</w:t>
      </w:r>
      <w:proofErr w:type="spellEnd"/>
      <w:r w:rsidRPr="00A84718">
        <w:rPr>
          <w:rFonts w:asciiTheme="minorHAnsi" w:hAnsiTheme="minorHAnsi"/>
          <w:sz w:val="24"/>
          <w:szCs w:val="22"/>
        </w:rPr>
        <w:t xml:space="preserve"> alone, </w:t>
      </w:r>
      <w:r w:rsidRPr="00A84718">
        <w:rPr>
          <w:rFonts w:asciiTheme="minorHAnsi" w:hAnsiTheme="minorHAnsi"/>
          <w:sz w:val="24"/>
          <w:szCs w:val="22"/>
        </w:rPr>
        <w:lastRenderedPageBreak/>
        <w:t>‘No Name’ does not bear any relation to the product—that is it does not tell the consumer anything about the product. The Court thus finds that ‘No Name’ is an arbitrary mark that is entitled to protection.”).</w:t>
      </w:r>
    </w:p>
    <w:p w14:paraId="16F97F7C" w14:textId="77777777" w:rsidR="00F31323" w:rsidRPr="00A84718" w:rsidRDefault="00F31323" w:rsidP="00F31323">
      <w:pPr>
        <w:numPr>
          <w:ilvl w:val="0"/>
          <w:numId w:val="4"/>
        </w:numPr>
        <w:rPr>
          <w:rFonts w:asciiTheme="minorHAnsi" w:hAnsiTheme="minorHAnsi"/>
          <w:sz w:val="24"/>
          <w:szCs w:val="22"/>
        </w:rPr>
      </w:pPr>
      <w:proofErr w:type="spellStart"/>
      <w:r w:rsidRPr="00A84718">
        <w:rPr>
          <w:rFonts w:asciiTheme="minorHAnsi" w:hAnsiTheme="minorHAnsi"/>
          <w:smallCaps/>
          <w:sz w:val="24"/>
          <w:szCs w:val="22"/>
        </w:rPr>
        <w:t>baikalskaya</w:t>
      </w:r>
      <w:proofErr w:type="spellEnd"/>
      <w:r w:rsidRPr="00A84718">
        <w:rPr>
          <w:rFonts w:asciiTheme="minorHAnsi" w:hAnsiTheme="minorHAnsi"/>
          <w:sz w:val="24"/>
          <w:szCs w:val="22"/>
        </w:rPr>
        <w:t xml:space="preserve"> for vodka produced in the Lake Baikal region of Russia, where “</w:t>
      </w:r>
      <w:proofErr w:type="spellStart"/>
      <w:r w:rsidRPr="00A84718">
        <w:rPr>
          <w:rFonts w:asciiTheme="minorHAnsi" w:hAnsiTheme="minorHAnsi"/>
          <w:sz w:val="24"/>
          <w:szCs w:val="22"/>
        </w:rPr>
        <w:t>Baikalskaya</w:t>
      </w:r>
      <w:proofErr w:type="spellEnd"/>
      <w:r w:rsidRPr="00A84718">
        <w:rPr>
          <w:rFonts w:asciiTheme="minorHAnsi" w:hAnsiTheme="minorHAnsi"/>
          <w:sz w:val="24"/>
          <w:szCs w:val="22"/>
        </w:rPr>
        <w:t xml:space="preserve">” means “from Baikal” in Russian. </w:t>
      </w:r>
      <w:r w:rsidRPr="00A84718">
        <w:rPr>
          <w:rFonts w:asciiTheme="minorHAnsi" w:hAnsiTheme="minorHAnsi"/>
          <w:i/>
          <w:sz w:val="24"/>
          <w:szCs w:val="22"/>
        </w:rPr>
        <w:t>See In re Joint-Stock Co. “Baik</w:t>
      </w:r>
      <w:r w:rsidRPr="00A84718">
        <w:rPr>
          <w:rFonts w:asciiTheme="minorHAnsi" w:hAnsiTheme="minorHAnsi"/>
          <w:sz w:val="24"/>
          <w:szCs w:val="22"/>
        </w:rPr>
        <w:t>,</w:t>
      </w:r>
      <w:r w:rsidRPr="00A84718">
        <w:rPr>
          <w:rFonts w:asciiTheme="minorHAnsi" w:hAnsiTheme="minorHAnsi"/>
          <w:i/>
          <w:sz w:val="24"/>
          <w:szCs w:val="22"/>
        </w:rPr>
        <w:t>”</w:t>
      </w:r>
      <w:r w:rsidRPr="00A84718">
        <w:rPr>
          <w:rFonts w:asciiTheme="minorHAnsi" w:hAnsiTheme="minorHAnsi"/>
          <w:sz w:val="24"/>
          <w:szCs w:val="22"/>
        </w:rPr>
        <w:t xml:space="preserve"> 80 USPQ2d 1305 (TTAB 2006) (finding </w:t>
      </w:r>
      <w:proofErr w:type="spellStart"/>
      <w:r w:rsidRPr="00A84718">
        <w:rPr>
          <w:rFonts w:asciiTheme="minorHAnsi" w:hAnsiTheme="minorHAnsi"/>
          <w:smallCaps/>
          <w:sz w:val="24"/>
          <w:szCs w:val="22"/>
        </w:rPr>
        <w:t>baikalskaya</w:t>
      </w:r>
      <w:proofErr w:type="spellEnd"/>
      <w:r w:rsidRPr="00A84718">
        <w:rPr>
          <w:rFonts w:asciiTheme="minorHAnsi" w:hAnsiTheme="minorHAnsi"/>
          <w:sz w:val="24"/>
          <w:szCs w:val="22"/>
        </w:rPr>
        <w:t xml:space="preserve"> for vodka to be primarily geographically descriptive)</w:t>
      </w:r>
    </w:p>
    <w:p w14:paraId="7C9C7303"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kodak</w:t>
      </w:r>
      <w:r w:rsidRPr="00A84718">
        <w:rPr>
          <w:rFonts w:asciiTheme="minorHAnsi" w:hAnsiTheme="minorHAnsi"/>
          <w:sz w:val="24"/>
          <w:szCs w:val="22"/>
        </w:rPr>
        <w:t xml:space="preserve"> for photographic film. </w:t>
      </w:r>
      <w:r w:rsidRPr="00A84718">
        <w:rPr>
          <w:rFonts w:asciiTheme="minorHAnsi" w:hAnsiTheme="minorHAnsi"/>
          <w:i/>
          <w:sz w:val="24"/>
          <w:szCs w:val="22"/>
        </w:rPr>
        <w:t>See Wal-Mart Stores, Inc. v. Samara Bros</w:t>
      </w:r>
      <w:r w:rsidRPr="00A84718">
        <w:rPr>
          <w:rFonts w:asciiTheme="minorHAnsi" w:hAnsiTheme="minorHAnsi"/>
          <w:sz w:val="24"/>
          <w:szCs w:val="22"/>
        </w:rPr>
        <w:t>., 529 U.S. 205, 210 (2000) (giving Kodak for film as an example of a fanciful mark).</w:t>
      </w:r>
    </w:p>
    <w:p w14:paraId="18F5386C"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glow</w:t>
      </w:r>
      <w:r w:rsidRPr="00A84718">
        <w:rPr>
          <w:rFonts w:asciiTheme="minorHAnsi" w:hAnsiTheme="minorHAnsi"/>
          <w:sz w:val="24"/>
          <w:szCs w:val="22"/>
        </w:rPr>
        <w:t xml:space="preserve"> for fragrance, shower gel, and body lotion products. </w:t>
      </w:r>
      <w:r w:rsidRPr="00A84718">
        <w:rPr>
          <w:rFonts w:asciiTheme="minorHAnsi" w:hAnsiTheme="minorHAnsi"/>
          <w:i/>
          <w:sz w:val="24"/>
          <w:szCs w:val="22"/>
        </w:rPr>
        <w:t>See</w:t>
      </w:r>
      <w:r w:rsidRPr="00A84718">
        <w:rPr>
          <w:rFonts w:asciiTheme="minorHAnsi" w:hAnsiTheme="minorHAnsi"/>
          <w:sz w:val="24"/>
          <w:szCs w:val="22"/>
        </w:rPr>
        <w:t xml:space="preserve"> </w:t>
      </w:r>
      <w:r w:rsidRPr="00A84718">
        <w:rPr>
          <w:rFonts w:asciiTheme="minorHAnsi" w:hAnsiTheme="minorHAnsi"/>
          <w:i/>
          <w:sz w:val="24"/>
          <w:szCs w:val="22"/>
        </w:rPr>
        <w:t>Glow Indus., Inc. v. Lopez</w:t>
      </w:r>
      <w:r w:rsidRPr="00A84718">
        <w:rPr>
          <w:rFonts w:asciiTheme="minorHAnsi" w:hAnsiTheme="minorHAnsi"/>
          <w:sz w:val="24"/>
          <w:szCs w:val="22"/>
        </w:rPr>
        <w:t xml:space="preserve">, 252 F. Supp. 2d 962, 978 (C.D. Cal. 2002) (finding </w:t>
      </w:r>
      <w:r w:rsidRPr="00A84718">
        <w:rPr>
          <w:rFonts w:asciiTheme="minorHAnsi" w:hAnsiTheme="minorHAnsi"/>
          <w:smallCaps/>
          <w:sz w:val="24"/>
          <w:szCs w:val="22"/>
        </w:rPr>
        <w:t>glow</w:t>
      </w:r>
      <w:r w:rsidRPr="00A84718">
        <w:rPr>
          <w:rFonts w:asciiTheme="minorHAnsi" w:hAnsiTheme="minorHAnsi"/>
          <w:sz w:val="24"/>
          <w:szCs w:val="22"/>
        </w:rPr>
        <w:t xml:space="preserve"> suggestive as to perfume and reasoning that “[t]he mark does not directly describe the attributes of Glow, Inc.’s perfume. Indeed, words other than the GLOW mark are used on the packaging to convey the fact that the perfume is a sandalwood scent. The mark thus appears to refer suggestively to the positive feeling one will achieve by using the product.”); id. at 979 (finding </w:t>
      </w:r>
      <w:r w:rsidRPr="00A84718">
        <w:rPr>
          <w:rFonts w:asciiTheme="minorHAnsi" w:hAnsiTheme="minorHAnsi"/>
          <w:smallCaps/>
          <w:sz w:val="24"/>
          <w:szCs w:val="22"/>
        </w:rPr>
        <w:t>glow</w:t>
      </w:r>
      <w:r w:rsidRPr="00A84718">
        <w:rPr>
          <w:rFonts w:asciiTheme="minorHAnsi" w:hAnsiTheme="minorHAnsi"/>
          <w:sz w:val="24"/>
          <w:szCs w:val="22"/>
        </w:rPr>
        <w:t xml:space="preserve"> suggestive as to shower gel and body lotion and reasoning that “‘Glow’ is not descriptive of the qualities or characteristics of shower gels or body lotions. Indeed, one who hears the word does not immediately think of such products. Rather, some amount of association is required to link the concept of glowing skin to use of a particular gel or lotion.”).</w:t>
      </w:r>
    </w:p>
    <w:p w14:paraId="1282444E" w14:textId="77777777" w:rsidR="00F31323" w:rsidRPr="00A84718" w:rsidRDefault="00F31323" w:rsidP="00F31323">
      <w:pPr>
        <w:pStyle w:val="NormalNoIndent"/>
        <w:numPr>
          <w:ilvl w:val="0"/>
          <w:numId w:val="4"/>
        </w:numPr>
        <w:rPr>
          <w:rFonts w:asciiTheme="minorHAnsi" w:hAnsiTheme="minorHAnsi"/>
          <w:sz w:val="24"/>
          <w:szCs w:val="22"/>
        </w:rPr>
      </w:pPr>
      <w:r w:rsidRPr="00A84718">
        <w:rPr>
          <w:rFonts w:asciiTheme="minorHAnsi" w:hAnsiTheme="minorHAnsi"/>
          <w:smallCaps/>
          <w:sz w:val="24"/>
          <w:szCs w:val="22"/>
        </w:rPr>
        <w:t>brick oven pizza</w:t>
      </w:r>
      <w:r w:rsidRPr="00A84718">
        <w:rPr>
          <w:rFonts w:asciiTheme="minorHAnsi" w:hAnsiTheme="minorHAnsi"/>
          <w:sz w:val="24"/>
          <w:szCs w:val="22"/>
        </w:rPr>
        <w:t xml:space="preserve"> for frozen pizza. See Schwan’s IP, LLC v. Kraft Pizza Co., 460 F.3d 971 (8th Cir. 2006) (citing industry usage, media usage, and PTO rulings to find the term generic for pizza that is or appears to be baked in a brick oven).</w:t>
      </w:r>
    </w:p>
    <w:p w14:paraId="2A83193D" w14:textId="77777777" w:rsidR="00F31323" w:rsidRPr="00A84718" w:rsidRDefault="00F31323" w:rsidP="00F31323">
      <w:pPr>
        <w:pStyle w:val="NormalNoIndent"/>
        <w:numPr>
          <w:ilvl w:val="0"/>
          <w:numId w:val="4"/>
        </w:numPr>
        <w:rPr>
          <w:rFonts w:asciiTheme="minorHAnsi" w:hAnsiTheme="minorHAnsi"/>
          <w:sz w:val="24"/>
          <w:szCs w:val="22"/>
        </w:rPr>
      </w:pPr>
      <w:proofErr w:type="spellStart"/>
      <w:r w:rsidRPr="00A84718">
        <w:rPr>
          <w:rFonts w:asciiTheme="minorHAnsi" w:hAnsiTheme="minorHAnsi"/>
          <w:smallCaps/>
          <w:sz w:val="24"/>
          <w:szCs w:val="22"/>
        </w:rPr>
        <w:t>citibank</w:t>
      </w:r>
      <w:proofErr w:type="spellEnd"/>
      <w:r w:rsidRPr="00A84718">
        <w:rPr>
          <w:rFonts w:asciiTheme="minorHAnsi" w:hAnsiTheme="minorHAnsi"/>
          <w:sz w:val="24"/>
          <w:szCs w:val="22"/>
        </w:rPr>
        <w:t xml:space="preserve"> for banking services. </w:t>
      </w:r>
      <w:r w:rsidRPr="00A84718">
        <w:rPr>
          <w:rFonts w:asciiTheme="minorHAnsi" w:hAnsiTheme="minorHAnsi"/>
          <w:i/>
          <w:sz w:val="24"/>
          <w:szCs w:val="22"/>
        </w:rPr>
        <w:t>See</w:t>
      </w:r>
      <w:r w:rsidRPr="00A84718">
        <w:rPr>
          <w:rFonts w:asciiTheme="minorHAnsi" w:hAnsiTheme="minorHAnsi"/>
          <w:sz w:val="24"/>
          <w:szCs w:val="22"/>
        </w:rPr>
        <w:t xml:space="preserve"> </w:t>
      </w:r>
      <w:r w:rsidRPr="00A84718">
        <w:rPr>
          <w:rFonts w:asciiTheme="minorHAnsi" w:hAnsiTheme="minorHAnsi"/>
          <w:i/>
          <w:sz w:val="24"/>
          <w:szCs w:val="22"/>
        </w:rPr>
        <w:t xml:space="preserve">Citibank, N.A. v. </w:t>
      </w:r>
      <w:proofErr w:type="spellStart"/>
      <w:r w:rsidRPr="00A84718">
        <w:rPr>
          <w:rFonts w:asciiTheme="minorHAnsi" w:hAnsiTheme="minorHAnsi"/>
          <w:i/>
          <w:sz w:val="24"/>
          <w:szCs w:val="22"/>
        </w:rPr>
        <w:t>Citibanc</w:t>
      </w:r>
      <w:proofErr w:type="spellEnd"/>
      <w:r w:rsidRPr="00A84718">
        <w:rPr>
          <w:rFonts w:asciiTheme="minorHAnsi" w:hAnsiTheme="minorHAnsi"/>
          <w:i/>
          <w:sz w:val="24"/>
          <w:szCs w:val="22"/>
        </w:rPr>
        <w:t xml:space="preserve"> Group, Inc</w:t>
      </w:r>
      <w:r w:rsidRPr="00A84718">
        <w:rPr>
          <w:rFonts w:asciiTheme="minorHAnsi" w:hAnsiTheme="minorHAnsi"/>
          <w:sz w:val="24"/>
          <w:szCs w:val="22"/>
        </w:rPr>
        <w:t xml:space="preserve">., 724 F.2d 1540, 222 U.S.P.Q. 292 (11th Cir. 1984) (approving of the district court’s finding that </w:t>
      </w:r>
      <w:proofErr w:type="spellStart"/>
      <w:r w:rsidRPr="00A84718">
        <w:rPr>
          <w:rFonts w:asciiTheme="minorHAnsi" w:hAnsiTheme="minorHAnsi"/>
          <w:smallCaps/>
          <w:sz w:val="24"/>
          <w:szCs w:val="22"/>
        </w:rPr>
        <w:t>citibank</w:t>
      </w:r>
      <w:proofErr w:type="spellEnd"/>
      <w:r w:rsidRPr="00A84718">
        <w:rPr>
          <w:rFonts w:asciiTheme="minorHAnsi" w:hAnsiTheme="minorHAnsi"/>
          <w:sz w:val="24"/>
          <w:szCs w:val="22"/>
        </w:rPr>
        <w:t xml:space="preserve"> is suggestive for banking services).</w:t>
      </w:r>
    </w:p>
    <w:p w14:paraId="026BF5C8" w14:textId="77777777" w:rsidR="00F31323" w:rsidRPr="00A84718" w:rsidRDefault="00F31323" w:rsidP="00F31323">
      <w:pPr>
        <w:pStyle w:val="NormalNoIndent"/>
        <w:numPr>
          <w:ilvl w:val="0"/>
          <w:numId w:val="4"/>
        </w:numPr>
        <w:rPr>
          <w:rFonts w:asciiTheme="minorHAnsi" w:hAnsiTheme="minorHAnsi"/>
          <w:sz w:val="24"/>
          <w:szCs w:val="22"/>
        </w:rPr>
      </w:pPr>
      <w:proofErr w:type="spellStart"/>
      <w:r w:rsidRPr="00A84718">
        <w:rPr>
          <w:rFonts w:asciiTheme="minorHAnsi" w:hAnsiTheme="minorHAnsi"/>
          <w:smallCaps/>
          <w:sz w:val="24"/>
          <w:szCs w:val="22"/>
        </w:rPr>
        <w:t>odol</w:t>
      </w:r>
      <w:proofErr w:type="spellEnd"/>
      <w:r w:rsidRPr="00A84718">
        <w:rPr>
          <w:rFonts w:asciiTheme="minorHAnsi" w:hAnsiTheme="minorHAnsi"/>
          <w:sz w:val="24"/>
          <w:szCs w:val="22"/>
        </w:rPr>
        <w:t xml:space="preserve"> for mouthwash. See </w:t>
      </w:r>
      <w:r w:rsidRPr="00A84718">
        <w:rPr>
          <w:rFonts w:asciiTheme="minorHAnsi" w:hAnsiTheme="minorHAnsi"/>
          <w:i/>
          <w:sz w:val="24"/>
          <w:szCs w:val="22"/>
        </w:rPr>
        <w:t>In re Odol Chemical Corp</w:t>
      </w:r>
      <w:r w:rsidRPr="00A84718">
        <w:rPr>
          <w:rFonts w:asciiTheme="minorHAnsi" w:hAnsiTheme="minorHAnsi"/>
          <w:sz w:val="24"/>
          <w:szCs w:val="22"/>
        </w:rPr>
        <w:t xml:space="preserve">., 150 U.S.P.Q. 827 (TTAB 1966) (finding </w:t>
      </w:r>
      <w:proofErr w:type="spellStart"/>
      <w:r w:rsidRPr="00A84718">
        <w:rPr>
          <w:rFonts w:asciiTheme="minorHAnsi" w:hAnsiTheme="minorHAnsi"/>
          <w:smallCaps/>
          <w:sz w:val="24"/>
          <w:szCs w:val="22"/>
        </w:rPr>
        <w:t>odol</w:t>
      </w:r>
      <w:proofErr w:type="spellEnd"/>
      <w:r w:rsidRPr="00A84718">
        <w:rPr>
          <w:rFonts w:asciiTheme="minorHAnsi" w:hAnsiTheme="minorHAnsi"/>
          <w:sz w:val="24"/>
          <w:szCs w:val="22"/>
        </w:rPr>
        <w:t xml:space="preserve"> for mouthwash to be fanciful).</w:t>
      </w:r>
    </w:p>
    <w:p w14:paraId="02C0AB1D" w14:textId="77777777" w:rsidR="00F31323" w:rsidRPr="00A84718" w:rsidRDefault="00F31323" w:rsidP="00F31323">
      <w:pPr>
        <w:pStyle w:val="NormalNoIndent"/>
        <w:numPr>
          <w:ilvl w:val="0"/>
          <w:numId w:val="4"/>
        </w:numPr>
        <w:rPr>
          <w:rFonts w:asciiTheme="minorHAnsi" w:hAnsiTheme="minorHAnsi"/>
          <w:sz w:val="24"/>
          <w:szCs w:val="22"/>
        </w:rPr>
      </w:pPr>
      <w:proofErr w:type="spellStart"/>
      <w:r w:rsidRPr="00A84718">
        <w:rPr>
          <w:rFonts w:asciiTheme="minorHAnsi" w:hAnsiTheme="minorHAnsi"/>
          <w:smallCaps/>
          <w:sz w:val="24"/>
          <w:szCs w:val="22"/>
        </w:rPr>
        <w:t>morningside</w:t>
      </w:r>
      <w:proofErr w:type="spellEnd"/>
      <w:r w:rsidRPr="00A84718">
        <w:rPr>
          <w:rFonts w:asciiTheme="minorHAnsi" w:hAnsiTheme="minorHAnsi"/>
          <w:sz w:val="24"/>
          <w:szCs w:val="22"/>
        </w:rPr>
        <w:t xml:space="preserve"> for financial services. </w:t>
      </w:r>
      <w:r w:rsidRPr="00A84718">
        <w:rPr>
          <w:rFonts w:asciiTheme="minorHAnsi" w:hAnsiTheme="minorHAnsi"/>
          <w:i/>
          <w:sz w:val="24"/>
          <w:szCs w:val="22"/>
        </w:rPr>
        <w:t>See</w:t>
      </w:r>
      <w:r w:rsidRPr="00A84718">
        <w:rPr>
          <w:rFonts w:asciiTheme="minorHAnsi" w:hAnsiTheme="minorHAnsi"/>
          <w:sz w:val="24"/>
          <w:szCs w:val="22"/>
        </w:rPr>
        <w:t xml:space="preserve"> </w:t>
      </w:r>
      <w:r w:rsidRPr="00A84718">
        <w:rPr>
          <w:rFonts w:asciiTheme="minorHAnsi" w:hAnsiTheme="minorHAnsi"/>
          <w:i/>
          <w:sz w:val="24"/>
          <w:szCs w:val="22"/>
        </w:rPr>
        <w:t>Morningside Group Ltd. v. Morningside Capital Group L.L.C</w:t>
      </w:r>
      <w:r w:rsidRPr="00A84718">
        <w:rPr>
          <w:rFonts w:asciiTheme="minorHAnsi" w:hAnsiTheme="minorHAnsi"/>
          <w:sz w:val="24"/>
          <w:szCs w:val="22"/>
        </w:rPr>
        <w:t xml:space="preserve">., 182 F.3d 133 (2d Cir. 1999) (finding </w:t>
      </w:r>
      <w:proofErr w:type="spellStart"/>
      <w:r w:rsidRPr="00A84718">
        <w:rPr>
          <w:rFonts w:asciiTheme="minorHAnsi" w:hAnsiTheme="minorHAnsi"/>
          <w:smallCaps/>
          <w:sz w:val="24"/>
          <w:szCs w:val="22"/>
        </w:rPr>
        <w:t>morningside</w:t>
      </w:r>
      <w:proofErr w:type="spellEnd"/>
      <w:r w:rsidRPr="00A84718">
        <w:rPr>
          <w:rFonts w:asciiTheme="minorHAnsi" w:hAnsiTheme="minorHAnsi"/>
          <w:sz w:val="24"/>
          <w:szCs w:val="22"/>
        </w:rPr>
        <w:t xml:space="preserve"> to be arbitrary as to financial services).</w:t>
      </w:r>
    </w:p>
    <w:p w14:paraId="34712685" w14:textId="77777777" w:rsidR="00F31323" w:rsidRPr="00A84718" w:rsidRDefault="00F31323" w:rsidP="00F31323">
      <w:pPr>
        <w:pStyle w:val="NormalNoIndent"/>
        <w:numPr>
          <w:ilvl w:val="0"/>
          <w:numId w:val="4"/>
        </w:numPr>
        <w:rPr>
          <w:rFonts w:asciiTheme="minorHAnsi" w:hAnsiTheme="minorHAnsi"/>
          <w:sz w:val="24"/>
          <w:szCs w:val="24"/>
        </w:rPr>
      </w:pPr>
      <w:r w:rsidRPr="00A84718">
        <w:rPr>
          <w:rFonts w:asciiTheme="minorHAnsi" w:hAnsiTheme="minorHAnsi"/>
          <w:smallCaps/>
          <w:sz w:val="24"/>
          <w:szCs w:val="24"/>
        </w:rPr>
        <w:t>east end</w:t>
      </w:r>
      <w:r w:rsidRPr="00A84718">
        <w:rPr>
          <w:rFonts w:asciiTheme="minorHAnsi" w:hAnsiTheme="minorHAnsi"/>
          <w:sz w:val="24"/>
          <w:szCs w:val="24"/>
        </w:rPr>
        <w:t xml:space="preserve"> for vodka distilled in the East End of Houston, Texas. </w:t>
      </w:r>
      <w:r w:rsidRPr="00A84718">
        <w:rPr>
          <w:rFonts w:asciiTheme="minorHAnsi" w:hAnsiTheme="minorHAnsi"/>
          <w:i/>
          <w:sz w:val="24"/>
          <w:szCs w:val="24"/>
        </w:rPr>
        <w:t>See In re Buffalo Bayou Distilleries, LLC</w:t>
      </w:r>
      <w:r w:rsidRPr="00A84718">
        <w:rPr>
          <w:rFonts w:asciiTheme="minorHAnsi" w:hAnsiTheme="minorHAnsi"/>
          <w:sz w:val="24"/>
          <w:szCs w:val="24"/>
        </w:rPr>
        <w:t xml:space="preserve">, Serial No. 86,583,137 (TTAB July 30, 2018) (not citable as precedent) (“In this case, the record reflects that ‘East End’ can refer to numerous geographic locations, suggesting that its primary significance is not referring to the area in Houston, Texas. Also, the quantity and nature of the evidence regarding the East End of Houston does not establish that it is generally known to U.S. consumers. . . . The first prong of the inquiry under Section 2(e)(2), that the primary significance of the </w:t>
      </w:r>
      <w:r w:rsidRPr="00A84718">
        <w:rPr>
          <w:rFonts w:asciiTheme="minorHAnsi" w:hAnsiTheme="minorHAnsi"/>
          <w:sz w:val="24"/>
          <w:szCs w:val="24"/>
        </w:rPr>
        <w:lastRenderedPageBreak/>
        <w:t>term in the mark sought to be registered is the name of a place generally known to the public, is not satisfied.”).</w:t>
      </w:r>
    </w:p>
    <w:p w14:paraId="73DF8284" w14:textId="77777777" w:rsidR="00F31323" w:rsidRPr="00A84718" w:rsidRDefault="00F31323" w:rsidP="00F31323">
      <w:pPr>
        <w:pStyle w:val="NormalNoIndent"/>
        <w:numPr>
          <w:ilvl w:val="0"/>
          <w:numId w:val="4"/>
        </w:numPr>
        <w:rPr>
          <w:rFonts w:asciiTheme="minorHAnsi" w:hAnsiTheme="minorHAnsi"/>
          <w:sz w:val="24"/>
          <w:szCs w:val="24"/>
        </w:rPr>
      </w:pPr>
      <w:r w:rsidRPr="00A84718">
        <w:rPr>
          <w:rFonts w:asciiTheme="minorHAnsi" w:hAnsiTheme="minorHAnsi"/>
          <w:smallCaps/>
          <w:sz w:val="24"/>
          <w:szCs w:val="24"/>
        </w:rPr>
        <w:t>number one in floor care</w:t>
      </w:r>
      <w:r w:rsidRPr="00A84718">
        <w:rPr>
          <w:rFonts w:asciiTheme="minorHAnsi" w:hAnsiTheme="minorHAnsi"/>
          <w:sz w:val="24"/>
          <w:szCs w:val="24"/>
        </w:rPr>
        <w:t xml:space="preserve"> for vacuums. </w:t>
      </w:r>
      <w:r w:rsidRPr="00A84718">
        <w:rPr>
          <w:rFonts w:asciiTheme="minorHAnsi" w:hAnsiTheme="minorHAnsi"/>
          <w:i/>
          <w:sz w:val="24"/>
          <w:szCs w:val="24"/>
        </w:rPr>
        <w:t>See</w:t>
      </w:r>
      <w:r w:rsidRPr="00A84718">
        <w:rPr>
          <w:rFonts w:asciiTheme="minorHAnsi" w:hAnsiTheme="minorHAnsi"/>
          <w:sz w:val="24"/>
          <w:szCs w:val="24"/>
        </w:rPr>
        <w:t xml:space="preserve"> Hoo</w:t>
      </w:r>
      <w:r w:rsidRPr="00A84718">
        <w:rPr>
          <w:rFonts w:asciiTheme="minorHAnsi" w:hAnsiTheme="minorHAnsi"/>
          <w:i/>
          <w:sz w:val="24"/>
          <w:szCs w:val="24"/>
        </w:rPr>
        <w:t>ver Co. v. Royal Appliance Mfg. Co</w:t>
      </w:r>
      <w:r w:rsidRPr="00A84718">
        <w:rPr>
          <w:rFonts w:asciiTheme="minorHAnsi" w:hAnsiTheme="minorHAnsi"/>
          <w:sz w:val="24"/>
          <w:szCs w:val="24"/>
        </w:rPr>
        <w:t xml:space="preserve">., 238 F.3d 1357, 1360, 57 U.S.P.Q.2d 1720 (Fed. Cir. 2001) (finding the mark </w:t>
      </w:r>
      <w:r w:rsidRPr="00A84718">
        <w:rPr>
          <w:rFonts w:asciiTheme="minorHAnsi" w:hAnsiTheme="minorHAnsi"/>
          <w:smallCaps/>
          <w:sz w:val="24"/>
          <w:szCs w:val="24"/>
        </w:rPr>
        <w:t>number one in floor care</w:t>
      </w:r>
      <w:r w:rsidRPr="00A84718">
        <w:rPr>
          <w:rFonts w:asciiTheme="minorHAnsi" w:hAnsiTheme="minorHAnsi"/>
          <w:sz w:val="24"/>
          <w:szCs w:val="24"/>
        </w:rPr>
        <w:t xml:space="preserve"> for vacuums to “generally laudatory . . . and thus . . . not inherently distinctive”).</w:t>
      </w:r>
    </w:p>
    <w:p w14:paraId="609F0214" w14:textId="77777777" w:rsidR="00F31323" w:rsidRPr="00A84718" w:rsidRDefault="00F31323" w:rsidP="00F31323">
      <w:pPr>
        <w:pStyle w:val="NormalNoIndent"/>
        <w:numPr>
          <w:ilvl w:val="0"/>
          <w:numId w:val="4"/>
        </w:numPr>
        <w:rPr>
          <w:rFonts w:asciiTheme="minorHAnsi" w:hAnsiTheme="minorHAnsi"/>
          <w:sz w:val="24"/>
          <w:szCs w:val="24"/>
        </w:rPr>
      </w:pPr>
      <w:r w:rsidRPr="00A84718">
        <w:rPr>
          <w:rFonts w:asciiTheme="minorHAnsi" w:hAnsiTheme="minorHAnsi"/>
          <w:smallCaps/>
          <w:sz w:val="24"/>
          <w:szCs w:val="24"/>
        </w:rPr>
        <w:t>march madness</w:t>
      </w:r>
      <w:r w:rsidRPr="00A84718">
        <w:rPr>
          <w:rFonts w:asciiTheme="minorHAnsi" w:hAnsiTheme="minorHAnsi"/>
          <w:sz w:val="24"/>
          <w:szCs w:val="24"/>
        </w:rPr>
        <w:t xml:space="preserve"> for annual basketball tournament. </w:t>
      </w:r>
      <w:r w:rsidRPr="00A84718">
        <w:rPr>
          <w:rFonts w:asciiTheme="minorHAnsi" w:hAnsiTheme="minorHAnsi"/>
          <w:i/>
          <w:sz w:val="24"/>
          <w:szCs w:val="24"/>
        </w:rPr>
        <w:t>See</w:t>
      </w:r>
      <w:r w:rsidRPr="00A84718">
        <w:rPr>
          <w:rFonts w:asciiTheme="minorHAnsi" w:hAnsiTheme="minorHAnsi"/>
          <w:sz w:val="24"/>
          <w:szCs w:val="24"/>
        </w:rPr>
        <w:t xml:space="preserve"> </w:t>
      </w:r>
      <w:r w:rsidRPr="00A84718">
        <w:rPr>
          <w:rFonts w:asciiTheme="minorHAnsi" w:hAnsiTheme="minorHAnsi"/>
          <w:i/>
          <w:sz w:val="24"/>
          <w:szCs w:val="24"/>
        </w:rPr>
        <w:t xml:space="preserve">March Madness Athletic </w:t>
      </w:r>
      <w:proofErr w:type="spellStart"/>
      <w:r w:rsidRPr="00A84718">
        <w:rPr>
          <w:rFonts w:asciiTheme="minorHAnsi" w:hAnsiTheme="minorHAnsi"/>
          <w:i/>
          <w:sz w:val="24"/>
          <w:szCs w:val="24"/>
        </w:rPr>
        <w:t>Ass’n</w:t>
      </w:r>
      <w:proofErr w:type="spellEnd"/>
      <w:r w:rsidRPr="00A84718">
        <w:rPr>
          <w:rFonts w:asciiTheme="minorHAnsi" w:hAnsiTheme="minorHAnsi"/>
          <w:i/>
          <w:sz w:val="24"/>
          <w:szCs w:val="24"/>
        </w:rPr>
        <w:t xml:space="preserve">, L.L.C. v. </w:t>
      </w:r>
      <w:proofErr w:type="spellStart"/>
      <w:r w:rsidRPr="00A84718">
        <w:rPr>
          <w:rFonts w:asciiTheme="minorHAnsi" w:hAnsiTheme="minorHAnsi"/>
          <w:i/>
          <w:sz w:val="24"/>
          <w:szCs w:val="24"/>
        </w:rPr>
        <w:t>Netfire</w:t>
      </w:r>
      <w:proofErr w:type="spellEnd"/>
      <w:r w:rsidRPr="00A84718">
        <w:rPr>
          <w:rFonts w:asciiTheme="minorHAnsi" w:hAnsiTheme="minorHAnsi"/>
          <w:i/>
          <w:sz w:val="24"/>
          <w:szCs w:val="24"/>
        </w:rPr>
        <w:t>, Inc</w:t>
      </w:r>
      <w:r w:rsidRPr="00A84718">
        <w:rPr>
          <w:rFonts w:asciiTheme="minorHAnsi" w:hAnsiTheme="minorHAnsi"/>
          <w:sz w:val="24"/>
          <w:szCs w:val="24"/>
        </w:rPr>
        <w:t xml:space="preserve">., 310 F. Supp. 2d 786 (N.D. Tex. 2003) (finding without analysis the mark </w:t>
      </w:r>
      <w:r w:rsidRPr="00A84718">
        <w:rPr>
          <w:rFonts w:asciiTheme="minorHAnsi" w:hAnsiTheme="minorHAnsi"/>
          <w:smallCaps/>
          <w:sz w:val="24"/>
          <w:szCs w:val="24"/>
        </w:rPr>
        <w:t>march madness</w:t>
      </w:r>
      <w:r w:rsidRPr="00A84718">
        <w:rPr>
          <w:rFonts w:asciiTheme="minorHAnsi" w:hAnsiTheme="minorHAnsi"/>
          <w:sz w:val="24"/>
          <w:szCs w:val="24"/>
        </w:rPr>
        <w:t xml:space="preserve"> to be descriptive of an annual basketball tournament).</w:t>
      </w:r>
    </w:p>
    <w:p w14:paraId="4F1FAA7B" w14:textId="77777777" w:rsidR="00F31323" w:rsidRPr="00A84718" w:rsidRDefault="00F31323" w:rsidP="00F31323">
      <w:pPr>
        <w:pStyle w:val="NormalNoIndent"/>
        <w:numPr>
          <w:ilvl w:val="0"/>
          <w:numId w:val="4"/>
        </w:numPr>
        <w:rPr>
          <w:rFonts w:asciiTheme="minorHAnsi" w:hAnsiTheme="minorHAnsi"/>
          <w:sz w:val="24"/>
          <w:szCs w:val="24"/>
        </w:rPr>
      </w:pPr>
      <w:r w:rsidRPr="00A84718">
        <w:rPr>
          <w:rFonts w:asciiTheme="minorHAnsi" w:hAnsiTheme="minorHAnsi"/>
          <w:smallCaps/>
          <w:sz w:val="24"/>
          <w:szCs w:val="24"/>
        </w:rPr>
        <w:t>speedy</w:t>
      </w:r>
      <w:r w:rsidRPr="00A84718">
        <w:rPr>
          <w:rFonts w:asciiTheme="minorHAnsi" w:hAnsiTheme="minorHAnsi"/>
          <w:sz w:val="24"/>
          <w:szCs w:val="24"/>
        </w:rPr>
        <w:t xml:space="preserve"> for bail bond services. </w:t>
      </w:r>
      <w:r w:rsidRPr="00A84718">
        <w:rPr>
          <w:rFonts w:asciiTheme="minorHAnsi" w:hAnsiTheme="minorHAnsi"/>
          <w:i/>
          <w:sz w:val="24"/>
          <w:szCs w:val="24"/>
        </w:rPr>
        <w:t>See</w:t>
      </w:r>
      <w:r w:rsidRPr="00A84718">
        <w:rPr>
          <w:rFonts w:asciiTheme="minorHAnsi" w:hAnsiTheme="minorHAnsi"/>
          <w:sz w:val="24"/>
          <w:szCs w:val="24"/>
        </w:rPr>
        <w:t xml:space="preserve"> </w:t>
      </w:r>
      <w:r w:rsidRPr="00A84718">
        <w:rPr>
          <w:rFonts w:asciiTheme="minorHAnsi" w:hAnsiTheme="minorHAnsi"/>
          <w:i/>
          <w:sz w:val="24"/>
          <w:szCs w:val="24"/>
        </w:rPr>
        <w:t xml:space="preserve">Lederman Bonding Co. v. </w:t>
      </w:r>
      <w:proofErr w:type="spellStart"/>
      <w:r w:rsidRPr="00A84718">
        <w:rPr>
          <w:rFonts w:asciiTheme="minorHAnsi" w:hAnsiTheme="minorHAnsi"/>
          <w:i/>
          <w:sz w:val="24"/>
          <w:szCs w:val="24"/>
        </w:rPr>
        <w:t>Sweetalia</w:t>
      </w:r>
      <w:proofErr w:type="spellEnd"/>
      <w:r w:rsidRPr="00A84718">
        <w:rPr>
          <w:rFonts w:asciiTheme="minorHAnsi" w:hAnsiTheme="minorHAnsi"/>
          <w:sz w:val="24"/>
          <w:szCs w:val="24"/>
        </w:rPr>
        <w:t xml:space="preserve">, 83 U.S.P.Q.2d 1660, 2006 WL 2949290, at *3 (D. Colo. 2006) (finding </w:t>
      </w:r>
      <w:r w:rsidRPr="00A84718">
        <w:rPr>
          <w:rFonts w:asciiTheme="minorHAnsi" w:hAnsiTheme="minorHAnsi"/>
          <w:smallCaps/>
          <w:sz w:val="24"/>
          <w:szCs w:val="24"/>
        </w:rPr>
        <w:t>speedy</w:t>
      </w:r>
      <w:r w:rsidRPr="00A84718">
        <w:rPr>
          <w:rFonts w:asciiTheme="minorHAnsi" w:hAnsiTheme="minorHAnsi"/>
          <w:sz w:val="24"/>
          <w:szCs w:val="24"/>
        </w:rPr>
        <w:t xml:space="preserve"> for bail bond services to be descriptive “because it describes the quality of the bail bond services offered”).</w:t>
      </w:r>
    </w:p>
    <w:p w14:paraId="0CDC1C22" w14:textId="77777777" w:rsidR="00F31323" w:rsidRPr="00A84718" w:rsidRDefault="00F31323" w:rsidP="00F31323">
      <w:pPr>
        <w:numPr>
          <w:ilvl w:val="0"/>
          <w:numId w:val="4"/>
        </w:numPr>
        <w:rPr>
          <w:rFonts w:asciiTheme="minorHAnsi" w:hAnsiTheme="minorHAnsi"/>
          <w:sz w:val="24"/>
          <w:szCs w:val="24"/>
        </w:rPr>
      </w:pPr>
      <w:r w:rsidRPr="00A84718">
        <w:rPr>
          <w:rFonts w:asciiTheme="minorHAnsi" w:hAnsiTheme="minorHAnsi"/>
          <w:smallCaps/>
          <w:sz w:val="24"/>
          <w:szCs w:val="24"/>
        </w:rPr>
        <w:t>bear</w:t>
      </w:r>
      <w:r w:rsidRPr="00A84718">
        <w:rPr>
          <w:rFonts w:asciiTheme="minorHAnsi" w:hAnsiTheme="minorHAnsi"/>
          <w:sz w:val="24"/>
          <w:szCs w:val="24"/>
        </w:rPr>
        <w:t xml:space="preserve"> for cold-weather outerwear. </w:t>
      </w:r>
      <w:r w:rsidRPr="00A84718">
        <w:rPr>
          <w:rFonts w:asciiTheme="minorHAnsi" w:hAnsiTheme="minorHAnsi"/>
          <w:i/>
          <w:sz w:val="24"/>
          <w:szCs w:val="24"/>
        </w:rPr>
        <w:t>See Bear U.S.A., Inc. v. A.J. Sheepskin &amp; Leather Outerwear, Inc</w:t>
      </w:r>
      <w:r w:rsidRPr="00A84718">
        <w:rPr>
          <w:rFonts w:asciiTheme="minorHAnsi" w:hAnsiTheme="minorHAnsi"/>
          <w:sz w:val="24"/>
          <w:szCs w:val="24"/>
        </w:rPr>
        <w:t xml:space="preserve">., 909 </w:t>
      </w:r>
      <w:proofErr w:type="spellStart"/>
      <w:r w:rsidRPr="00A84718">
        <w:rPr>
          <w:rFonts w:asciiTheme="minorHAnsi" w:hAnsiTheme="minorHAnsi"/>
          <w:sz w:val="24"/>
          <w:szCs w:val="24"/>
        </w:rPr>
        <w:t>F.Supp</w:t>
      </w:r>
      <w:proofErr w:type="spellEnd"/>
      <w:r w:rsidRPr="00A84718">
        <w:rPr>
          <w:rFonts w:asciiTheme="minorHAnsi" w:hAnsiTheme="minorHAnsi"/>
          <w:sz w:val="24"/>
          <w:szCs w:val="24"/>
        </w:rPr>
        <w:t>. 896, 904 (S.D.N.Y. 1995) (“The word ‘bear, especially in conjunction with the image of a polar bear, is connected with the concept of cold weather and protection from the elements. It suggests that the type of outerwear and boots sold by plaintiff offer the sort of protection afforded by bears’ skins. The imagination and thought process involved in this mental association supports the conclusion that plaintiff’s bear marks are suggestive, particularly as used in connection with boots and cold weather outwear.”).</w:t>
      </w:r>
    </w:p>
    <w:p w14:paraId="733009F5" w14:textId="77777777" w:rsidR="00F31323" w:rsidRPr="00A84718" w:rsidRDefault="00F31323" w:rsidP="00F31323">
      <w:pPr>
        <w:pStyle w:val="NormalNoIndent"/>
        <w:numPr>
          <w:ilvl w:val="0"/>
          <w:numId w:val="4"/>
        </w:numPr>
        <w:rPr>
          <w:rFonts w:asciiTheme="minorHAnsi" w:hAnsiTheme="minorHAnsi"/>
          <w:sz w:val="24"/>
          <w:szCs w:val="24"/>
        </w:rPr>
      </w:pPr>
      <w:r w:rsidRPr="00A84718">
        <w:rPr>
          <w:rFonts w:asciiTheme="minorHAnsi" w:hAnsiTheme="minorHAnsi"/>
          <w:smallCaps/>
          <w:sz w:val="24"/>
          <w:szCs w:val="24"/>
        </w:rPr>
        <w:t>quantum</w:t>
      </w:r>
      <w:r w:rsidRPr="00A84718">
        <w:rPr>
          <w:rFonts w:asciiTheme="minorHAnsi" w:hAnsiTheme="minorHAnsi"/>
          <w:sz w:val="24"/>
          <w:szCs w:val="24"/>
        </w:rPr>
        <w:t xml:space="preserve"> for a health club. </w:t>
      </w:r>
      <w:r w:rsidRPr="00A84718">
        <w:rPr>
          <w:rFonts w:asciiTheme="minorHAnsi" w:hAnsiTheme="minorHAnsi"/>
          <w:i/>
          <w:sz w:val="24"/>
          <w:szCs w:val="24"/>
        </w:rPr>
        <w:t>See</w:t>
      </w:r>
      <w:r w:rsidRPr="00A84718">
        <w:rPr>
          <w:rFonts w:asciiTheme="minorHAnsi" w:hAnsiTheme="minorHAnsi"/>
          <w:sz w:val="24"/>
          <w:szCs w:val="24"/>
        </w:rPr>
        <w:t xml:space="preserve"> </w:t>
      </w:r>
      <w:r w:rsidRPr="00A84718">
        <w:rPr>
          <w:rFonts w:asciiTheme="minorHAnsi" w:hAnsiTheme="minorHAnsi"/>
          <w:i/>
          <w:sz w:val="24"/>
          <w:szCs w:val="24"/>
        </w:rPr>
        <w:t xml:space="preserve">Quantum Fitness Corp. v. Quantum Lifestyle </w:t>
      </w:r>
      <w:proofErr w:type="spellStart"/>
      <w:r w:rsidRPr="00A84718">
        <w:rPr>
          <w:rFonts w:asciiTheme="minorHAnsi" w:hAnsiTheme="minorHAnsi"/>
          <w:i/>
          <w:sz w:val="24"/>
          <w:szCs w:val="24"/>
        </w:rPr>
        <w:t>Ctrs</w:t>
      </w:r>
      <w:proofErr w:type="spellEnd"/>
      <w:r w:rsidRPr="00A84718">
        <w:rPr>
          <w:rFonts w:asciiTheme="minorHAnsi" w:hAnsiTheme="minorHAnsi"/>
          <w:sz w:val="24"/>
          <w:szCs w:val="24"/>
        </w:rPr>
        <w:t xml:space="preserve">., 83 F. Supp. 2d 810, 820 (S.D. Tex. 1999) (finding </w:t>
      </w:r>
      <w:r w:rsidRPr="00A84718">
        <w:rPr>
          <w:rFonts w:asciiTheme="minorHAnsi" w:hAnsiTheme="minorHAnsi"/>
          <w:smallCaps/>
          <w:sz w:val="24"/>
          <w:szCs w:val="24"/>
        </w:rPr>
        <w:t>quantum</w:t>
      </w:r>
      <w:r w:rsidRPr="00A84718">
        <w:rPr>
          <w:rFonts w:asciiTheme="minorHAnsi" w:hAnsiTheme="minorHAnsi"/>
          <w:sz w:val="24"/>
          <w:szCs w:val="24"/>
        </w:rPr>
        <w:t xml:space="preserve"> to be arbitrary for health club and reasoning, in part, that “[t]he absence of a connection between the term “quantum” and the plaintiff’s products is evidenced by the frequent use of the word by third parties in a variety of different, unrelated lines of business”).</w:t>
      </w:r>
    </w:p>
    <w:p w14:paraId="14FAF265" w14:textId="77777777" w:rsidR="00F31323" w:rsidRPr="00A84718" w:rsidRDefault="00F31323" w:rsidP="00F31323">
      <w:pPr>
        <w:pStyle w:val="NormalNoIndent"/>
        <w:numPr>
          <w:ilvl w:val="0"/>
          <w:numId w:val="4"/>
        </w:numPr>
        <w:rPr>
          <w:rFonts w:asciiTheme="minorHAnsi" w:hAnsiTheme="minorHAnsi"/>
          <w:sz w:val="24"/>
          <w:szCs w:val="24"/>
        </w:rPr>
      </w:pPr>
      <w:proofErr w:type="spellStart"/>
      <w:r w:rsidRPr="00A84718">
        <w:rPr>
          <w:rFonts w:asciiTheme="minorHAnsi" w:hAnsiTheme="minorHAnsi"/>
          <w:smallCaps/>
          <w:sz w:val="24"/>
          <w:szCs w:val="24"/>
        </w:rPr>
        <w:t>viagra</w:t>
      </w:r>
      <w:proofErr w:type="spellEnd"/>
      <w:r w:rsidRPr="00A84718">
        <w:rPr>
          <w:rFonts w:asciiTheme="minorHAnsi" w:hAnsiTheme="minorHAnsi"/>
          <w:sz w:val="24"/>
          <w:szCs w:val="24"/>
        </w:rPr>
        <w:t xml:space="preserve"> for an erectile dysfunction drug. </w:t>
      </w:r>
      <w:r w:rsidRPr="00A84718">
        <w:rPr>
          <w:rFonts w:asciiTheme="minorHAnsi" w:hAnsiTheme="minorHAnsi"/>
          <w:i/>
          <w:sz w:val="24"/>
          <w:szCs w:val="24"/>
        </w:rPr>
        <w:t>See</w:t>
      </w:r>
      <w:r w:rsidRPr="00A84718">
        <w:rPr>
          <w:rFonts w:asciiTheme="minorHAnsi" w:hAnsiTheme="minorHAnsi"/>
          <w:sz w:val="24"/>
          <w:szCs w:val="24"/>
        </w:rPr>
        <w:t xml:space="preserve"> </w:t>
      </w:r>
      <w:r w:rsidRPr="00A84718">
        <w:rPr>
          <w:rFonts w:asciiTheme="minorHAnsi" w:hAnsiTheme="minorHAnsi"/>
          <w:i/>
          <w:sz w:val="24"/>
          <w:szCs w:val="24"/>
        </w:rPr>
        <w:t>Pfizer Inc. v. Sachs</w:t>
      </w:r>
      <w:r w:rsidRPr="00A84718">
        <w:rPr>
          <w:rFonts w:asciiTheme="minorHAnsi" w:hAnsiTheme="minorHAnsi"/>
          <w:sz w:val="24"/>
          <w:szCs w:val="24"/>
        </w:rPr>
        <w:t>, 652 F. Supp. 2d 512, 520 (S.D.N.Y. 2009) (“The Viagra mark is fanciful, because the word “Viagra” was coined specifically for purposes of this trademark and has no meaning outside this context.”).</w:t>
      </w:r>
    </w:p>
    <w:p w14:paraId="619A83CF" w14:textId="59EC1F5F" w:rsidR="00EB3DF5" w:rsidRDefault="00F31323" w:rsidP="00A84718">
      <w:pPr>
        <w:pStyle w:val="NormalNoIndent"/>
        <w:numPr>
          <w:ilvl w:val="0"/>
          <w:numId w:val="4"/>
        </w:numPr>
      </w:pPr>
      <w:r w:rsidRPr="00A84718">
        <w:rPr>
          <w:rFonts w:asciiTheme="minorHAnsi" w:hAnsiTheme="minorHAnsi"/>
          <w:sz w:val="24"/>
          <w:szCs w:val="24"/>
        </w:rPr>
        <w:t>Each of</w:t>
      </w:r>
      <w:r w:rsidRPr="00A84718">
        <w:rPr>
          <w:rFonts w:asciiTheme="minorHAnsi" w:hAnsiTheme="minorHAnsi"/>
          <w:smallCaps/>
          <w:sz w:val="24"/>
          <w:szCs w:val="24"/>
        </w:rPr>
        <w:t xml:space="preserve"> 928, 924, 944, 911, 911S</w:t>
      </w:r>
      <w:r w:rsidRPr="00A84718">
        <w:rPr>
          <w:rFonts w:asciiTheme="minorHAnsi" w:hAnsiTheme="minorHAnsi"/>
          <w:sz w:val="24"/>
          <w:szCs w:val="24"/>
        </w:rPr>
        <w:t xml:space="preserve">, and </w:t>
      </w:r>
      <w:r w:rsidRPr="00A84718">
        <w:rPr>
          <w:rFonts w:asciiTheme="minorHAnsi" w:hAnsiTheme="minorHAnsi"/>
          <w:smallCaps/>
          <w:sz w:val="24"/>
          <w:szCs w:val="24"/>
        </w:rPr>
        <w:t>911SC</w:t>
      </w:r>
      <w:r w:rsidRPr="00A84718">
        <w:rPr>
          <w:rFonts w:asciiTheme="minorHAnsi" w:hAnsiTheme="minorHAnsi"/>
          <w:sz w:val="24"/>
          <w:szCs w:val="24"/>
        </w:rPr>
        <w:t xml:space="preserve"> for automobiles. </w:t>
      </w:r>
      <w:r w:rsidRPr="00A84718">
        <w:rPr>
          <w:rFonts w:asciiTheme="minorHAnsi" w:hAnsiTheme="minorHAnsi"/>
          <w:i/>
          <w:sz w:val="24"/>
          <w:szCs w:val="24"/>
        </w:rPr>
        <w:t>See</w:t>
      </w:r>
      <w:r w:rsidRPr="00A84718">
        <w:rPr>
          <w:rFonts w:asciiTheme="minorHAnsi" w:hAnsiTheme="minorHAnsi"/>
          <w:sz w:val="24"/>
          <w:szCs w:val="24"/>
        </w:rPr>
        <w:t xml:space="preserve"> </w:t>
      </w:r>
      <w:r w:rsidRPr="00A84718">
        <w:rPr>
          <w:rFonts w:asciiTheme="minorHAnsi" w:hAnsiTheme="minorHAnsi"/>
          <w:i/>
          <w:sz w:val="24"/>
          <w:szCs w:val="24"/>
        </w:rPr>
        <w:t>Porsche Cars N. Am., Inc. v. Lloyd Design Corp</w:t>
      </w:r>
      <w:r w:rsidRPr="00A84718">
        <w:rPr>
          <w:rFonts w:asciiTheme="minorHAnsi" w:hAnsiTheme="minorHAnsi"/>
          <w:sz w:val="24"/>
          <w:szCs w:val="24"/>
        </w:rPr>
        <w:t>., 2002 U.S. Dist. LEXIS 9612 (N.D. Ga. Mar. 26, 2002) (“[M]</w:t>
      </w:r>
      <w:proofErr w:type="spellStart"/>
      <w:r w:rsidRPr="00A84718">
        <w:rPr>
          <w:rFonts w:asciiTheme="minorHAnsi" w:hAnsiTheme="minorHAnsi"/>
          <w:sz w:val="24"/>
          <w:szCs w:val="24"/>
        </w:rPr>
        <w:t>ost</w:t>
      </w:r>
      <w:proofErr w:type="spellEnd"/>
      <w:r w:rsidRPr="00A84718">
        <w:rPr>
          <w:rFonts w:asciiTheme="minorHAnsi" w:hAnsiTheme="minorHAnsi"/>
          <w:sz w:val="24"/>
          <w:szCs w:val="24"/>
        </w:rPr>
        <w:t xml:space="preserve"> courts have held that model numbers, whether numbers or alphanumeric designations, are generally considered descriptive for the purposes of trademark protection. Although they may be “arbitrary” in the sense that they do not refer directly to a characteristic of the products, model numbers are generally intended merely to distinguish one specific product from another by a particular source, and are not intended to distinguish products from totally different sources.”).</w:t>
      </w:r>
    </w:p>
    <w:sectPr w:rsidR="00EB3DF5" w:rsidSect="00A84718">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1D2A" w14:textId="77777777" w:rsidR="00AD251B" w:rsidRDefault="00AD251B" w:rsidP="00F31323">
      <w:pPr>
        <w:spacing w:after="0" w:line="240" w:lineRule="auto"/>
      </w:pPr>
      <w:r>
        <w:separator/>
      </w:r>
    </w:p>
  </w:endnote>
  <w:endnote w:type="continuationSeparator" w:id="0">
    <w:p w14:paraId="1A3BACD6" w14:textId="77777777" w:rsidR="00AD251B" w:rsidRDefault="00AD251B" w:rsidP="00F3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F029" w14:textId="65E5917E" w:rsidR="00A84718" w:rsidRPr="004B7280" w:rsidRDefault="00A84718" w:rsidP="00A84718">
    <w:pPr>
      <w:pStyle w:val="Pagenumber"/>
      <w:rPr>
        <w:rFonts w:asciiTheme="minorHAnsi" w:hAnsiTheme="minorHAnsi"/>
        <w:noProof/>
      </w:rPr>
    </w:pPr>
    <w:r w:rsidRPr="004B7280">
      <w:rPr>
        <w:rFonts w:asciiTheme="minorHAnsi" w:hAnsiTheme="minorHAnsi"/>
      </w:rPr>
      <w:fldChar w:fldCharType="begin"/>
    </w:r>
    <w:r w:rsidRPr="004B7280">
      <w:rPr>
        <w:rFonts w:asciiTheme="minorHAnsi" w:hAnsiTheme="minorHAnsi"/>
      </w:rPr>
      <w:instrText xml:space="preserve"> PAGE   \* MERGEFORMAT </w:instrText>
    </w:r>
    <w:r w:rsidRPr="004B7280">
      <w:rPr>
        <w:rFonts w:asciiTheme="minorHAnsi" w:hAnsiTheme="minorHAnsi"/>
      </w:rPr>
      <w:fldChar w:fldCharType="separate"/>
    </w:r>
    <w:r w:rsidRPr="004B7280">
      <w:rPr>
        <w:rFonts w:asciiTheme="minorHAnsi" w:hAnsiTheme="minorHAnsi"/>
      </w:rPr>
      <w:t>3</w:t>
    </w:r>
    <w:r w:rsidRPr="004B7280">
      <w:rPr>
        <w:rFonts w:asciiTheme="minorHAnsi" w:hAnsiTheme="minorHAnsi"/>
        <w:noProof/>
      </w:rPr>
      <w:fldChar w:fldCharType="end"/>
    </w:r>
  </w:p>
  <w:p w14:paraId="4C168C8C" w14:textId="77777777" w:rsidR="00A84718" w:rsidRPr="00A84718" w:rsidRDefault="00A84718" w:rsidP="00A84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10A9" w14:textId="77777777" w:rsidR="00AD251B" w:rsidRDefault="00AD251B" w:rsidP="00F31323">
      <w:pPr>
        <w:spacing w:after="0" w:line="240" w:lineRule="auto"/>
      </w:pPr>
      <w:r>
        <w:separator/>
      </w:r>
    </w:p>
  </w:footnote>
  <w:footnote w:type="continuationSeparator" w:id="0">
    <w:p w14:paraId="3CDF18DB" w14:textId="77777777" w:rsidR="00AD251B" w:rsidRDefault="00AD251B" w:rsidP="00F3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7E24" w14:textId="77777777" w:rsidR="00A84718" w:rsidRPr="00546A59" w:rsidRDefault="00A84718" w:rsidP="00A84718">
    <w:pPr>
      <w:pStyle w:val="Header10"/>
      <w:rPr>
        <w:rFonts w:asciiTheme="minorHAnsi" w:hAnsiTheme="minorHAnsi"/>
      </w:rPr>
    </w:pPr>
    <w:r w:rsidRPr="00546A59">
      <w:rPr>
        <w:rFonts w:asciiTheme="minorHAnsi" w:hAnsiTheme="minorHAnsi"/>
      </w:rPr>
      <w:t>Beebe - Trademark Law: An Open-Access Casebook</w:t>
    </w:r>
  </w:p>
  <w:p w14:paraId="0F979F43" w14:textId="77777777" w:rsidR="00A84718" w:rsidRDefault="00A8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23"/>
    <w:rsid w:val="00056DE6"/>
    <w:rsid w:val="000626E3"/>
    <w:rsid w:val="000A4AD4"/>
    <w:rsid w:val="000C53B3"/>
    <w:rsid w:val="001405E0"/>
    <w:rsid w:val="004B7280"/>
    <w:rsid w:val="00A84718"/>
    <w:rsid w:val="00AD251B"/>
    <w:rsid w:val="00C3250E"/>
    <w:rsid w:val="00C632CF"/>
    <w:rsid w:val="00CE5F9E"/>
    <w:rsid w:val="00DC1D13"/>
    <w:rsid w:val="00EB3DF5"/>
    <w:rsid w:val="00F3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1076"/>
  <w15:chartTrackingRefBased/>
  <w15:docId w15:val="{316C93B5-405E-41F2-AC91-01DD9C1B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23"/>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F31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1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1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1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31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31323"/>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F31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1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1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31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31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31323"/>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F31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323"/>
    <w:rPr>
      <w:rFonts w:eastAsiaTheme="majorEastAsia" w:cstheme="majorBidi"/>
      <w:color w:val="272727" w:themeColor="text1" w:themeTint="D8"/>
    </w:rPr>
  </w:style>
  <w:style w:type="paragraph" w:styleId="Title">
    <w:name w:val="Title"/>
    <w:basedOn w:val="Normal"/>
    <w:next w:val="Normal"/>
    <w:link w:val="TitleChar"/>
    <w:uiPriority w:val="10"/>
    <w:qFormat/>
    <w:rsid w:val="00F31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323"/>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323"/>
    <w:pPr>
      <w:spacing w:before="160"/>
      <w:jc w:val="center"/>
    </w:pPr>
    <w:rPr>
      <w:i/>
      <w:iCs/>
      <w:color w:val="404040" w:themeColor="text1" w:themeTint="BF"/>
    </w:rPr>
  </w:style>
  <w:style w:type="character" w:customStyle="1" w:styleId="QuoteChar">
    <w:name w:val="Quote Char"/>
    <w:basedOn w:val="DefaultParagraphFont"/>
    <w:link w:val="Quote"/>
    <w:uiPriority w:val="29"/>
    <w:rsid w:val="00F31323"/>
    <w:rPr>
      <w:i/>
      <w:iCs/>
      <w:color w:val="404040" w:themeColor="text1" w:themeTint="BF"/>
    </w:rPr>
  </w:style>
  <w:style w:type="paragraph" w:styleId="ListParagraph">
    <w:name w:val="List Paragraph"/>
    <w:basedOn w:val="Normal"/>
    <w:uiPriority w:val="34"/>
    <w:qFormat/>
    <w:rsid w:val="00F31323"/>
    <w:pPr>
      <w:ind w:left="720"/>
      <w:contextualSpacing/>
    </w:pPr>
  </w:style>
  <w:style w:type="character" w:styleId="IntenseEmphasis">
    <w:name w:val="Intense Emphasis"/>
    <w:basedOn w:val="DefaultParagraphFont"/>
    <w:uiPriority w:val="21"/>
    <w:qFormat/>
    <w:rsid w:val="00F31323"/>
    <w:rPr>
      <w:i/>
      <w:iCs/>
      <w:color w:val="0F4761" w:themeColor="accent1" w:themeShade="BF"/>
    </w:rPr>
  </w:style>
  <w:style w:type="paragraph" w:styleId="IntenseQuote">
    <w:name w:val="Intense Quote"/>
    <w:basedOn w:val="Normal"/>
    <w:next w:val="Normal"/>
    <w:link w:val="IntenseQuoteChar"/>
    <w:uiPriority w:val="30"/>
    <w:qFormat/>
    <w:rsid w:val="00F3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323"/>
    <w:rPr>
      <w:i/>
      <w:iCs/>
      <w:color w:val="0F4761" w:themeColor="accent1" w:themeShade="BF"/>
    </w:rPr>
  </w:style>
  <w:style w:type="character" w:styleId="IntenseReference">
    <w:name w:val="Intense Reference"/>
    <w:basedOn w:val="DefaultParagraphFont"/>
    <w:uiPriority w:val="32"/>
    <w:qFormat/>
    <w:rsid w:val="00F31323"/>
    <w:rPr>
      <w:b/>
      <w:bCs/>
      <w:smallCaps/>
      <w:color w:val="0F4761" w:themeColor="accent1" w:themeShade="BF"/>
      <w:spacing w:val="5"/>
    </w:rPr>
  </w:style>
  <w:style w:type="paragraph" w:customStyle="1" w:styleId="OpinionCitation">
    <w:name w:val="Opinion Citation"/>
    <w:basedOn w:val="Normal"/>
    <w:link w:val="OpinionCitationChar"/>
    <w:qFormat/>
    <w:rsid w:val="00F31323"/>
    <w:pPr>
      <w:keepNext/>
      <w:spacing w:after="120"/>
      <w:ind w:firstLine="0"/>
    </w:pPr>
    <w:rPr>
      <w:b/>
    </w:rPr>
  </w:style>
  <w:style w:type="character" w:customStyle="1" w:styleId="OpinionCitationChar">
    <w:name w:val="Opinion Citation Char"/>
    <w:link w:val="OpinionCitation"/>
    <w:rsid w:val="00F31323"/>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F31323"/>
    <w:pPr>
      <w:ind w:left="576" w:right="576" w:firstLine="0"/>
    </w:pPr>
  </w:style>
  <w:style w:type="character" w:customStyle="1" w:styleId="BlockquoteChar">
    <w:name w:val="Blockquote Char"/>
    <w:link w:val="Blockquote"/>
    <w:rsid w:val="00F31323"/>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F31323"/>
    <w:rPr>
      <w:sz w:val="20"/>
    </w:rPr>
  </w:style>
  <w:style w:type="character" w:customStyle="1" w:styleId="FootnoteTextChar">
    <w:name w:val="Footnote Text Char"/>
    <w:basedOn w:val="DefaultParagraphFont"/>
    <w:link w:val="FootnoteText"/>
    <w:uiPriority w:val="99"/>
    <w:rsid w:val="00F31323"/>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F31323"/>
    <w:rPr>
      <w:vertAlign w:val="superscript"/>
    </w:rPr>
  </w:style>
  <w:style w:type="paragraph" w:styleId="BalloonText">
    <w:name w:val="Balloon Text"/>
    <w:basedOn w:val="Normal"/>
    <w:link w:val="BalloonTextChar"/>
    <w:uiPriority w:val="99"/>
    <w:semiHidden/>
    <w:unhideWhenUsed/>
    <w:rsid w:val="00F313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323"/>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F31323"/>
    <w:pPr>
      <w:ind w:firstLine="0"/>
    </w:pPr>
  </w:style>
  <w:style w:type="character" w:customStyle="1" w:styleId="NormalNoIndentChar">
    <w:name w:val="Normal No Indent Char"/>
    <w:link w:val="NormalNoIndent"/>
    <w:rsid w:val="00F31323"/>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F31323"/>
    <w:pPr>
      <w:tabs>
        <w:tab w:val="center" w:pos="4680"/>
        <w:tab w:val="right" w:pos="9360"/>
      </w:tabs>
    </w:pPr>
  </w:style>
  <w:style w:type="character" w:customStyle="1" w:styleId="HeaderChar">
    <w:name w:val="Header Char"/>
    <w:basedOn w:val="DefaultParagraphFont"/>
    <w:link w:val="Header"/>
    <w:uiPriority w:val="99"/>
    <w:rsid w:val="00F31323"/>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F31323"/>
    <w:pPr>
      <w:tabs>
        <w:tab w:val="center" w:pos="4680"/>
        <w:tab w:val="right" w:pos="9360"/>
      </w:tabs>
    </w:pPr>
  </w:style>
  <w:style w:type="character" w:customStyle="1" w:styleId="FooterChar">
    <w:name w:val="Footer Char"/>
    <w:basedOn w:val="DefaultParagraphFont"/>
    <w:link w:val="Footer"/>
    <w:uiPriority w:val="99"/>
    <w:rsid w:val="00F31323"/>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F31323"/>
    <w:pPr>
      <w:keepNext/>
      <w:spacing w:before="120" w:after="120"/>
      <w:ind w:firstLine="0"/>
      <w:jc w:val="center"/>
    </w:pPr>
    <w:rPr>
      <w:b/>
    </w:rPr>
  </w:style>
  <w:style w:type="character" w:customStyle="1" w:styleId="CommentsandQuestionsChar">
    <w:name w:val="Comments and Questions Char"/>
    <w:link w:val="CommentsandQuestions"/>
    <w:rsid w:val="00F31323"/>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F31323"/>
    <w:pPr>
      <w:numPr>
        <w:numId w:val="3"/>
      </w:numPr>
      <w:contextualSpacing/>
    </w:pPr>
  </w:style>
  <w:style w:type="paragraph" w:customStyle="1" w:styleId="Dashbreak">
    <w:name w:val="Dash break"/>
    <w:basedOn w:val="NormalNoIndent"/>
    <w:link w:val="DashbreakChar"/>
    <w:qFormat/>
    <w:rsid w:val="00F31323"/>
    <w:pPr>
      <w:spacing w:before="240" w:after="240"/>
      <w:jc w:val="center"/>
    </w:pPr>
  </w:style>
  <w:style w:type="character" w:customStyle="1" w:styleId="DashbreakChar">
    <w:name w:val="Dash break Char"/>
    <w:basedOn w:val="NormalNoIndentChar"/>
    <w:link w:val="Dashbreak"/>
    <w:rsid w:val="00F31323"/>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F31323"/>
    <w:pPr>
      <w:spacing w:after="120"/>
    </w:pPr>
  </w:style>
  <w:style w:type="character" w:customStyle="1" w:styleId="BodyTextChar">
    <w:name w:val="Body Text Char"/>
    <w:basedOn w:val="DefaultParagraphFont"/>
    <w:link w:val="BodyText"/>
    <w:uiPriority w:val="99"/>
    <w:semiHidden/>
    <w:rsid w:val="00F31323"/>
    <w:rPr>
      <w:rFonts w:ascii="Cambria" w:eastAsia="Calibri" w:hAnsi="Cambria" w:cs="Times New Roman"/>
      <w:kern w:val="0"/>
      <w:sz w:val="22"/>
      <w:szCs w:val="20"/>
      <w14:ligatures w14:val="none"/>
    </w:rPr>
  </w:style>
  <w:style w:type="paragraph" w:customStyle="1" w:styleId="ReferenceLine">
    <w:name w:val="Reference Line"/>
    <w:basedOn w:val="BodyText"/>
    <w:rsid w:val="00F31323"/>
  </w:style>
  <w:style w:type="character" w:styleId="Hyperlink">
    <w:name w:val="Hyperlink"/>
    <w:uiPriority w:val="99"/>
    <w:unhideWhenUsed/>
    <w:rsid w:val="00F31323"/>
    <w:rPr>
      <w:color w:val="0000FF"/>
      <w:u w:val="single"/>
    </w:rPr>
  </w:style>
  <w:style w:type="paragraph" w:styleId="EndnoteText">
    <w:name w:val="endnote text"/>
    <w:basedOn w:val="Normal"/>
    <w:link w:val="EndnoteTextChar"/>
    <w:uiPriority w:val="99"/>
    <w:semiHidden/>
    <w:unhideWhenUsed/>
    <w:rsid w:val="00F31323"/>
  </w:style>
  <w:style w:type="character" w:customStyle="1" w:styleId="EndnoteTextChar">
    <w:name w:val="Endnote Text Char"/>
    <w:basedOn w:val="DefaultParagraphFont"/>
    <w:link w:val="EndnoteText"/>
    <w:uiPriority w:val="99"/>
    <w:semiHidden/>
    <w:rsid w:val="00F31323"/>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F31323"/>
    <w:rPr>
      <w:vertAlign w:val="superscript"/>
    </w:rPr>
  </w:style>
  <w:style w:type="paragraph" w:styleId="TOCHeading">
    <w:name w:val="TOC Heading"/>
    <w:basedOn w:val="Heading1"/>
    <w:next w:val="Normal"/>
    <w:uiPriority w:val="39"/>
    <w:semiHidden/>
    <w:unhideWhenUsed/>
    <w:qFormat/>
    <w:rsid w:val="00F31323"/>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F31323"/>
    <w:pPr>
      <w:tabs>
        <w:tab w:val="right" w:leader="dot" w:pos="8784"/>
      </w:tabs>
      <w:ind w:left="270" w:hanging="270"/>
      <w:jc w:val="center"/>
    </w:pPr>
  </w:style>
  <w:style w:type="paragraph" w:styleId="TOC2">
    <w:name w:val="toc 2"/>
    <w:basedOn w:val="Normal"/>
    <w:next w:val="Normal"/>
    <w:autoRedefine/>
    <w:uiPriority w:val="39"/>
    <w:unhideWhenUsed/>
    <w:rsid w:val="00F31323"/>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F31323"/>
    <w:pPr>
      <w:tabs>
        <w:tab w:val="right" w:leader="dot" w:pos="8784"/>
      </w:tabs>
      <w:ind w:left="810" w:hanging="270"/>
    </w:pPr>
  </w:style>
  <w:style w:type="paragraph" w:styleId="TOC4">
    <w:name w:val="toc 4"/>
    <w:basedOn w:val="Normal"/>
    <w:next w:val="Normal"/>
    <w:autoRedefine/>
    <w:uiPriority w:val="39"/>
    <w:unhideWhenUsed/>
    <w:rsid w:val="00F31323"/>
    <w:pPr>
      <w:tabs>
        <w:tab w:val="right" w:leader="dot" w:pos="8784"/>
      </w:tabs>
      <w:ind w:left="1080" w:hanging="270"/>
    </w:pPr>
  </w:style>
  <w:style w:type="paragraph" w:styleId="TOC5">
    <w:name w:val="toc 5"/>
    <w:basedOn w:val="Normal"/>
    <w:next w:val="Normal"/>
    <w:autoRedefine/>
    <w:uiPriority w:val="39"/>
    <w:unhideWhenUsed/>
    <w:rsid w:val="00F31323"/>
    <w:pPr>
      <w:tabs>
        <w:tab w:val="right" w:leader="dot" w:pos="8784"/>
      </w:tabs>
      <w:ind w:left="1350" w:hanging="270"/>
    </w:pPr>
  </w:style>
  <w:style w:type="paragraph" w:styleId="TOC6">
    <w:name w:val="toc 6"/>
    <w:basedOn w:val="Normal"/>
    <w:next w:val="Normal"/>
    <w:autoRedefine/>
    <w:uiPriority w:val="39"/>
    <w:unhideWhenUsed/>
    <w:rsid w:val="00F31323"/>
    <w:pPr>
      <w:tabs>
        <w:tab w:val="left" w:pos="1710"/>
        <w:tab w:val="right" w:leader="dot" w:pos="8784"/>
      </w:tabs>
      <w:ind w:left="1710" w:hanging="360"/>
    </w:pPr>
  </w:style>
  <w:style w:type="character" w:styleId="LineNumber">
    <w:name w:val="line number"/>
    <w:uiPriority w:val="99"/>
    <w:semiHidden/>
    <w:unhideWhenUsed/>
    <w:rsid w:val="00F31323"/>
  </w:style>
  <w:style w:type="paragraph" w:customStyle="1" w:styleId="FootNote">
    <w:name w:val="_FootNote"/>
    <w:basedOn w:val="Normal"/>
    <w:link w:val="FootNoteChar"/>
    <w:rsid w:val="00F31323"/>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F31323"/>
    <w:rPr>
      <w:rFonts w:ascii="NewCenturySchlbk" w:eastAsia="Times New Roman" w:hAnsi="NewCenturySchlbk" w:cs="Times New Roman"/>
      <w:kern w:val="0"/>
      <w:sz w:val="16"/>
      <w14:ligatures w14:val="none"/>
    </w:rPr>
  </w:style>
  <w:style w:type="character" w:customStyle="1" w:styleId="NoterefInNote">
    <w:name w:val="_NoterefInNote"/>
    <w:rsid w:val="00F31323"/>
    <w:rPr>
      <w:rFonts w:ascii="NewCenturySchlbk" w:hAnsi="NewCenturySchlbk" w:hint="default"/>
      <w:sz w:val="16"/>
      <w:vertAlign w:val="baseline"/>
    </w:rPr>
  </w:style>
  <w:style w:type="paragraph" w:customStyle="1" w:styleId="Centered">
    <w:name w:val="Centered"/>
    <w:basedOn w:val="Normal"/>
    <w:link w:val="CenteredChar"/>
    <w:qFormat/>
    <w:rsid w:val="00F31323"/>
    <w:pPr>
      <w:ind w:firstLine="0"/>
      <w:jc w:val="center"/>
    </w:pPr>
    <w:rPr>
      <w:i/>
      <w:iCs/>
    </w:rPr>
  </w:style>
  <w:style w:type="character" w:customStyle="1" w:styleId="CenteredChar">
    <w:name w:val="Centered Char"/>
    <w:link w:val="Centered"/>
    <w:rsid w:val="00F31323"/>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F31323"/>
    <w:rPr>
      <w:i/>
    </w:rPr>
  </w:style>
  <w:style w:type="character" w:customStyle="1" w:styleId="OpinionheadingChar">
    <w:name w:val="Opinion heading Char"/>
    <w:link w:val="Opinionheading"/>
    <w:rsid w:val="00F31323"/>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F31323"/>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F31323"/>
    <w:pPr>
      <w:tabs>
        <w:tab w:val="right" w:leader="dot" w:pos="8784"/>
      </w:tabs>
      <w:ind w:left="1710" w:firstLine="0"/>
    </w:pPr>
    <w:rPr>
      <w:i/>
    </w:rPr>
  </w:style>
  <w:style w:type="paragraph" w:styleId="TOC9">
    <w:name w:val="toc 9"/>
    <w:basedOn w:val="Normal"/>
    <w:next w:val="Normal"/>
    <w:autoRedefine/>
    <w:uiPriority w:val="39"/>
    <w:unhideWhenUsed/>
    <w:rsid w:val="00F31323"/>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F31323"/>
    <w:pPr>
      <w:ind w:firstLine="432"/>
    </w:pPr>
  </w:style>
  <w:style w:type="character" w:customStyle="1" w:styleId="BlockquoteindentChar">
    <w:name w:val="Blockquote indent Char"/>
    <w:basedOn w:val="BlockquoteChar"/>
    <w:link w:val="Blockquoteindent"/>
    <w:rsid w:val="00F31323"/>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F31323"/>
    <w:pPr>
      <w:jc w:val="center"/>
    </w:pPr>
  </w:style>
  <w:style w:type="character" w:customStyle="1" w:styleId="Normal-CenteredChar">
    <w:name w:val="*Normal-Centered Char"/>
    <w:basedOn w:val="NormalNoIndentChar"/>
    <w:link w:val="Normal-Centered"/>
    <w:rsid w:val="00F31323"/>
    <w:rPr>
      <w:rFonts w:ascii="Cambria" w:eastAsia="Calibri" w:hAnsi="Cambria" w:cs="Times New Roman"/>
      <w:kern w:val="0"/>
      <w:sz w:val="22"/>
      <w:szCs w:val="20"/>
      <w14:ligatures w14:val="none"/>
    </w:rPr>
  </w:style>
  <w:style w:type="character" w:styleId="Emphasis">
    <w:name w:val="Emphasis"/>
    <w:uiPriority w:val="20"/>
    <w:qFormat/>
    <w:rsid w:val="00F31323"/>
    <w:rPr>
      <w:i/>
      <w:iCs/>
    </w:rPr>
  </w:style>
  <w:style w:type="character" w:customStyle="1" w:styleId="cosearchterm">
    <w:name w:val="co_searchterm"/>
    <w:rsid w:val="00F31323"/>
  </w:style>
  <w:style w:type="paragraph" w:customStyle="1" w:styleId="CommentsandQuestions0">
    <w:name w:val="CommentsandQuestions"/>
    <w:basedOn w:val="Normal-Centered"/>
    <w:rsid w:val="00F31323"/>
    <w:rPr>
      <w:b/>
    </w:rPr>
  </w:style>
  <w:style w:type="character" w:styleId="FollowedHyperlink">
    <w:name w:val="FollowedHyperlink"/>
    <w:uiPriority w:val="99"/>
    <w:semiHidden/>
    <w:unhideWhenUsed/>
    <w:rsid w:val="00F31323"/>
    <w:rPr>
      <w:color w:val="954F72"/>
      <w:u w:val="single"/>
    </w:rPr>
  </w:style>
  <w:style w:type="paragraph" w:customStyle="1" w:styleId="Dashedline">
    <w:name w:val="Dashed line"/>
    <w:basedOn w:val="CommentsandQuestions"/>
    <w:qFormat/>
    <w:rsid w:val="00F31323"/>
    <w:pPr>
      <w:spacing w:after="240"/>
    </w:pPr>
  </w:style>
  <w:style w:type="character" w:styleId="CommentReference">
    <w:name w:val="annotation reference"/>
    <w:semiHidden/>
    <w:rsid w:val="00F31323"/>
    <w:rPr>
      <w:sz w:val="16"/>
      <w:szCs w:val="16"/>
    </w:rPr>
  </w:style>
  <w:style w:type="paragraph" w:styleId="CommentText">
    <w:name w:val="annotation text"/>
    <w:basedOn w:val="Normal"/>
    <w:link w:val="CommentTextChar"/>
    <w:semiHidden/>
    <w:rsid w:val="00F31323"/>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F31323"/>
    <w:rPr>
      <w:rFonts w:ascii="Times New Roman" w:eastAsia="Times New Roman" w:hAnsi="Times New Roman" w:cs="Times New Roman"/>
      <w:kern w:val="0"/>
      <w:sz w:val="22"/>
      <w:szCs w:val="20"/>
      <w14:ligatures w14:val="none"/>
    </w:rPr>
  </w:style>
  <w:style w:type="character" w:customStyle="1" w:styleId="ptext-">
    <w:name w:val="ptext-"/>
    <w:rsid w:val="00F31323"/>
  </w:style>
  <w:style w:type="paragraph" w:customStyle="1" w:styleId="NormalCentered">
    <w:name w:val="NormalCentered"/>
    <w:basedOn w:val="Normal"/>
    <w:link w:val="NormalCenteredChar"/>
    <w:qFormat/>
    <w:rsid w:val="00F31323"/>
    <w:pPr>
      <w:ind w:firstLine="0"/>
      <w:jc w:val="center"/>
    </w:pPr>
  </w:style>
  <w:style w:type="character" w:customStyle="1" w:styleId="NormalCenteredChar">
    <w:name w:val="NormalCentered Char"/>
    <w:link w:val="NormalCentered"/>
    <w:rsid w:val="00F31323"/>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F31323"/>
    <w:pPr>
      <w:ind w:hanging="36"/>
    </w:pPr>
  </w:style>
  <w:style w:type="paragraph" w:customStyle="1" w:styleId="NormCntrItal">
    <w:name w:val="NormCntrItal"/>
    <w:basedOn w:val="NormalCentered"/>
    <w:qFormat/>
    <w:rsid w:val="00F31323"/>
    <w:pPr>
      <w:keepNext/>
      <w:keepLines/>
    </w:pPr>
    <w:rPr>
      <w:i/>
      <w:szCs w:val="22"/>
    </w:rPr>
  </w:style>
  <w:style w:type="character" w:customStyle="1" w:styleId="ssrfcpassagedeactivated">
    <w:name w:val="ss_rfcpassage_deactivated"/>
    <w:rsid w:val="00F31323"/>
  </w:style>
  <w:style w:type="character" w:customStyle="1" w:styleId="costarpage">
    <w:name w:val="co_starpage"/>
    <w:rsid w:val="00F31323"/>
  </w:style>
  <w:style w:type="paragraph" w:customStyle="1" w:styleId="CenteredBold">
    <w:name w:val="Centered Bold"/>
    <w:basedOn w:val="Centered"/>
    <w:link w:val="CenteredBoldChar"/>
    <w:qFormat/>
    <w:rsid w:val="00F31323"/>
    <w:rPr>
      <w:b/>
      <w:i w:val="0"/>
    </w:rPr>
  </w:style>
  <w:style w:type="character" w:customStyle="1" w:styleId="CenteredBoldChar">
    <w:name w:val="Centered Bold Char"/>
    <w:link w:val="CenteredBold"/>
    <w:rsid w:val="00F31323"/>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F31323"/>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F31323"/>
    <w:rPr>
      <w:rFonts w:ascii="Cambria" w:eastAsia="Calibri" w:hAnsi="Cambria" w:cs="Times New Roman"/>
      <w:b/>
      <w:bCs/>
      <w:kern w:val="0"/>
      <w:sz w:val="22"/>
      <w:szCs w:val="20"/>
      <w14:ligatures w14:val="none"/>
    </w:rPr>
  </w:style>
  <w:style w:type="paragraph" w:styleId="Revision">
    <w:name w:val="Revision"/>
    <w:hidden/>
    <w:uiPriority w:val="99"/>
    <w:semiHidden/>
    <w:rsid w:val="00F31323"/>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F31323"/>
    <w:pPr>
      <w:ind w:firstLine="0"/>
      <w:jc w:val="center"/>
    </w:pPr>
    <w:rPr>
      <w:noProof/>
    </w:rPr>
  </w:style>
  <w:style w:type="character" w:customStyle="1" w:styleId="cosearchdetaillevel1">
    <w:name w:val="co_search_detaillevel_1"/>
    <w:rsid w:val="00F31323"/>
  </w:style>
  <w:style w:type="table" w:styleId="TableGrid">
    <w:name w:val="Table Grid"/>
    <w:basedOn w:val="TableNormal"/>
    <w:uiPriority w:val="59"/>
    <w:rsid w:val="00F31323"/>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F31323"/>
    <w:pPr>
      <w:ind w:firstLine="432"/>
    </w:pPr>
  </w:style>
  <w:style w:type="paragraph" w:customStyle="1" w:styleId="doubleblockquote">
    <w:name w:val="doubleblockquote"/>
    <w:basedOn w:val="Blockquoteindent"/>
    <w:qFormat/>
    <w:rsid w:val="00F31323"/>
    <w:pPr>
      <w:ind w:left="1008" w:right="1008"/>
    </w:pPr>
  </w:style>
  <w:style w:type="paragraph" w:customStyle="1" w:styleId="CntrdNoItal">
    <w:name w:val="CntrdNoItal"/>
    <w:basedOn w:val="Centered"/>
    <w:qFormat/>
    <w:rsid w:val="00F31323"/>
    <w:rPr>
      <w:i w:val="0"/>
    </w:rPr>
  </w:style>
  <w:style w:type="paragraph" w:customStyle="1" w:styleId="NoIndentItalics">
    <w:name w:val="NoIndentItalics"/>
    <w:basedOn w:val="NormalNoIndent"/>
    <w:qFormat/>
    <w:rsid w:val="00F31323"/>
    <w:rPr>
      <w:i/>
      <w:iCs/>
    </w:rPr>
  </w:style>
  <w:style w:type="paragraph" w:customStyle="1" w:styleId="HalfBlock">
    <w:name w:val="HalfBlock"/>
    <w:basedOn w:val="NormalNoIndent"/>
    <w:qFormat/>
    <w:rsid w:val="00F31323"/>
    <w:pPr>
      <w:ind w:left="432"/>
    </w:pPr>
  </w:style>
  <w:style w:type="character" w:customStyle="1" w:styleId="ssleftalign">
    <w:name w:val="ss_leftalign"/>
    <w:rsid w:val="00F31323"/>
  </w:style>
  <w:style w:type="character" w:customStyle="1" w:styleId="UnresolvedMention1">
    <w:name w:val="Unresolved Mention1"/>
    <w:uiPriority w:val="99"/>
    <w:semiHidden/>
    <w:unhideWhenUsed/>
    <w:rsid w:val="00F31323"/>
    <w:rPr>
      <w:color w:val="605E5C"/>
      <w:shd w:val="clear" w:color="auto" w:fill="E1DFDD"/>
    </w:rPr>
  </w:style>
  <w:style w:type="paragraph" w:customStyle="1" w:styleId="Footer-V-Date">
    <w:name w:val="Footer-V-Date"/>
    <w:basedOn w:val="NormalNoIndent"/>
    <w:link w:val="Footer-V-DateChar"/>
    <w:qFormat/>
    <w:rsid w:val="00F31323"/>
    <w:rPr>
      <w:sz w:val="16"/>
      <w:szCs w:val="16"/>
    </w:rPr>
  </w:style>
  <w:style w:type="paragraph" w:customStyle="1" w:styleId="DoubleBlockQuote0">
    <w:name w:val="DoubleBlockQuote"/>
    <w:basedOn w:val="Blockquoteindent"/>
    <w:link w:val="DoubleBlockQuoteChar"/>
    <w:qFormat/>
    <w:rsid w:val="00F31323"/>
    <w:pPr>
      <w:ind w:left="1152" w:right="1152" w:firstLine="0"/>
    </w:pPr>
  </w:style>
  <w:style w:type="character" w:customStyle="1" w:styleId="Footer-V-DateChar">
    <w:name w:val="Footer-V-Date Char"/>
    <w:link w:val="Footer-V-Date"/>
    <w:rsid w:val="00F31323"/>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F31323"/>
    <w:pPr>
      <w:ind w:left="1008" w:firstLine="0"/>
    </w:pPr>
  </w:style>
  <w:style w:type="character" w:customStyle="1" w:styleId="DoubleBlockQuoteChar">
    <w:name w:val="DoubleBlockQuote Char"/>
    <w:basedOn w:val="BlockquoteindentChar"/>
    <w:link w:val="DoubleBlockQuote0"/>
    <w:rsid w:val="00F31323"/>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F31323"/>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F31323"/>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F31323"/>
    <w:pPr>
      <w:ind w:left="1350" w:hanging="774"/>
    </w:pPr>
  </w:style>
  <w:style w:type="character" w:customStyle="1" w:styleId="TimeProgressionChar">
    <w:name w:val="TimeProgression Char"/>
    <w:basedOn w:val="BlockquoteChar"/>
    <w:link w:val="TimeProgression"/>
    <w:rsid w:val="00F31323"/>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F31323"/>
    <w:rPr>
      <w:sz w:val="20"/>
    </w:rPr>
  </w:style>
  <w:style w:type="character" w:customStyle="1" w:styleId="PagenumberChar">
    <w:name w:val="Pagenumber Char"/>
    <w:basedOn w:val="Normal-CenteredChar"/>
    <w:link w:val="Pagenumber"/>
    <w:rsid w:val="00F31323"/>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F31323"/>
    <w:rPr>
      <w:sz w:val="20"/>
    </w:rPr>
  </w:style>
  <w:style w:type="character" w:customStyle="1" w:styleId="Header10Char">
    <w:name w:val="Header10 Char"/>
    <w:basedOn w:val="CenteredChar"/>
    <w:link w:val="Header10"/>
    <w:rsid w:val="00F31323"/>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F3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5653</Words>
  <Characters>32225</Characters>
  <Application>Microsoft Office Word</Application>
  <DocSecurity>0</DocSecurity>
  <Lines>268</Lines>
  <Paragraphs>75</Paragraphs>
  <ScaleCrop>false</ScaleCrop>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3</cp:revision>
  <dcterms:created xsi:type="dcterms:W3CDTF">2025-07-21T20:31:00Z</dcterms:created>
  <dcterms:modified xsi:type="dcterms:W3CDTF">2025-07-24T16:25:00Z</dcterms:modified>
</cp:coreProperties>
</file>