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4627" w14:textId="77777777" w:rsidR="00E008E9" w:rsidRDefault="00E008E9" w:rsidP="00E008E9">
      <w:pPr>
        <w:pStyle w:val="NormalCentered"/>
        <w:rPr>
          <w:sz w:val="44"/>
          <w:szCs w:val="44"/>
        </w:rPr>
      </w:pPr>
    </w:p>
    <w:p w14:paraId="26BDEBBB" w14:textId="7448E710" w:rsidR="00E008E9" w:rsidRPr="00FE3822" w:rsidRDefault="00E008E9" w:rsidP="00E008E9">
      <w:pPr>
        <w:pStyle w:val="NormalCentered"/>
        <w:rPr>
          <w:sz w:val="44"/>
          <w:szCs w:val="44"/>
        </w:rPr>
      </w:pPr>
      <w:r w:rsidRPr="00FE3822">
        <w:rPr>
          <w:sz w:val="44"/>
          <w:szCs w:val="44"/>
        </w:rPr>
        <w:t>An Open-Access Casebook</w:t>
      </w:r>
    </w:p>
    <w:p w14:paraId="5F0934F5" w14:textId="77777777" w:rsidR="00E008E9" w:rsidRDefault="00E008E9" w:rsidP="00E008E9">
      <w:pPr>
        <w:pStyle w:val="NormalCentered"/>
      </w:pPr>
    </w:p>
    <w:p w14:paraId="7F41748A" w14:textId="77777777" w:rsidR="00E008E9" w:rsidRDefault="00E008E9" w:rsidP="00E008E9">
      <w:pPr>
        <w:pStyle w:val="NormalCentered"/>
        <w:rPr>
          <w:sz w:val="32"/>
          <w:szCs w:val="32"/>
        </w:rPr>
      </w:pPr>
    </w:p>
    <w:p w14:paraId="0D20D4A9" w14:textId="77777777" w:rsidR="00E008E9" w:rsidRPr="00566252" w:rsidRDefault="00E008E9" w:rsidP="00E008E9">
      <w:pPr>
        <w:pStyle w:val="NormalCentered"/>
        <w:rPr>
          <w:caps/>
          <w:sz w:val="32"/>
          <w:szCs w:val="32"/>
        </w:rPr>
      </w:pPr>
    </w:p>
    <w:p w14:paraId="3F8B1B0E" w14:textId="77777777" w:rsidR="00E008E9" w:rsidRPr="000B428E" w:rsidRDefault="00E008E9" w:rsidP="00E008E9">
      <w:pPr>
        <w:pStyle w:val="NormalCentered"/>
        <w:rPr>
          <w:sz w:val="28"/>
          <w:szCs w:val="28"/>
          <w:lang w:val="de-DE"/>
        </w:rPr>
      </w:pPr>
      <w:r w:rsidRPr="000B428E">
        <w:rPr>
          <w:sz w:val="28"/>
          <w:szCs w:val="28"/>
          <w:lang w:val="de-DE"/>
        </w:rPr>
        <w:t>Version 12 (2025)</w:t>
      </w:r>
    </w:p>
    <w:p w14:paraId="5699C2C0" w14:textId="77777777" w:rsidR="00E008E9" w:rsidRPr="000B428E" w:rsidRDefault="00E008E9" w:rsidP="00E008E9">
      <w:pPr>
        <w:pStyle w:val="NormalCentered"/>
        <w:rPr>
          <w:sz w:val="28"/>
          <w:szCs w:val="28"/>
          <w:lang w:val="de-DE"/>
        </w:rPr>
      </w:pPr>
      <w:r w:rsidRPr="000B428E">
        <w:rPr>
          <w:sz w:val="28"/>
          <w:szCs w:val="28"/>
          <w:lang w:val="de-DE"/>
        </w:rPr>
        <w:t>Digital Edition</w:t>
      </w:r>
    </w:p>
    <w:p w14:paraId="63D11158" w14:textId="77777777" w:rsidR="00E008E9" w:rsidRPr="000B428E" w:rsidRDefault="00E008E9" w:rsidP="00E008E9">
      <w:pPr>
        <w:pStyle w:val="NormalCentered"/>
        <w:rPr>
          <w:sz w:val="28"/>
          <w:szCs w:val="28"/>
          <w:lang w:val="de-DE"/>
        </w:rPr>
      </w:pPr>
      <w:r w:rsidRPr="000B428E">
        <w:rPr>
          <w:sz w:val="28"/>
          <w:szCs w:val="28"/>
          <w:lang w:val="de-DE"/>
        </w:rPr>
        <w:t>www.tmcasebook.org</w:t>
      </w:r>
    </w:p>
    <w:p w14:paraId="669355C0" w14:textId="77777777" w:rsidR="00E008E9" w:rsidRDefault="00E008E9" w:rsidP="00E008E9">
      <w:pPr>
        <w:pStyle w:val="NormalCentered"/>
        <w:rPr>
          <w:sz w:val="32"/>
          <w:szCs w:val="32"/>
          <w:lang w:val="de-DE"/>
        </w:rPr>
      </w:pPr>
    </w:p>
    <w:p w14:paraId="3D4D9F76" w14:textId="77777777" w:rsidR="00E008E9" w:rsidRDefault="00E008E9" w:rsidP="00E008E9">
      <w:pPr>
        <w:pStyle w:val="NormalCentered"/>
        <w:rPr>
          <w:sz w:val="32"/>
          <w:szCs w:val="32"/>
          <w:lang w:val="de-DE"/>
        </w:rPr>
      </w:pPr>
    </w:p>
    <w:p w14:paraId="65EB3D3E" w14:textId="77777777" w:rsidR="00E008E9" w:rsidRPr="0065729C" w:rsidRDefault="00E008E9" w:rsidP="00E008E9">
      <w:pPr>
        <w:pStyle w:val="NormalCentered"/>
        <w:rPr>
          <w:sz w:val="32"/>
          <w:szCs w:val="32"/>
          <w:lang w:val="de-DE"/>
        </w:rPr>
      </w:pPr>
    </w:p>
    <w:p w14:paraId="0C996964" w14:textId="77777777" w:rsidR="00E008E9" w:rsidRPr="0065729C" w:rsidRDefault="00E008E9" w:rsidP="00E008E9">
      <w:pPr>
        <w:pStyle w:val="NormalCentered"/>
        <w:rPr>
          <w:sz w:val="32"/>
          <w:szCs w:val="32"/>
          <w:lang w:val="de-DE"/>
        </w:rPr>
      </w:pPr>
    </w:p>
    <w:p w14:paraId="746CCA16" w14:textId="77777777" w:rsidR="00E008E9" w:rsidRPr="000B428E" w:rsidRDefault="00E008E9" w:rsidP="00E008E9">
      <w:pPr>
        <w:pStyle w:val="NormalCentered"/>
        <w:rPr>
          <w:sz w:val="28"/>
          <w:szCs w:val="28"/>
        </w:rPr>
      </w:pPr>
      <w:r w:rsidRPr="000B428E">
        <w:rPr>
          <w:sz w:val="28"/>
          <w:szCs w:val="28"/>
        </w:rPr>
        <w:t>Barton Beebe</w:t>
      </w:r>
    </w:p>
    <w:p w14:paraId="0C91A701" w14:textId="77777777" w:rsidR="00E008E9" w:rsidRPr="000B428E" w:rsidRDefault="00E008E9" w:rsidP="00E008E9">
      <w:pPr>
        <w:pStyle w:val="NormalCentered"/>
        <w:rPr>
          <w:sz w:val="28"/>
          <w:szCs w:val="28"/>
        </w:rPr>
      </w:pPr>
      <w:r w:rsidRPr="000B428E">
        <w:rPr>
          <w:sz w:val="28"/>
          <w:szCs w:val="28"/>
        </w:rPr>
        <w:t>John M. Desmarais Professor of Intellectual Property Law</w:t>
      </w:r>
    </w:p>
    <w:p w14:paraId="4AC09253" w14:textId="77777777" w:rsidR="00E008E9" w:rsidRPr="0065729C" w:rsidRDefault="00E008E9" w:rsidP="00E008E9">
      <w:pPr>
        <w:pStyle w:val="NormalCentered"/>
        <w:rPr>
          <w:sz w:val="32"/>
          <w:szCs w:val="32"/>
        </w:rPr>
      </w:pPr>
      <w:r w:rsidRPr="000B428E">
        <w:rPr>
          <w:sz w:val="28"/>
          <w:szCs w:val="28"/>
        </w:rPr>
        <w:t>New York University School of Law</w:t>
      </w:r>
    </w:p>
    <w:p w14:paraId="58BA667F" w14:textId="77777777" w:rsidR="00E008E9" w:rsidRDefault="00E008E9" w:rsidP="00E008E9">
      <w:pPr>
        <w:pStyle w:val="TOC1"/>
      </w:pPr>
    </w:p>
    <w:p w14:paraId="01FB0902" w14:textId="77777777" w:rsidR="00E008E9" w:rsidRDefault="00E008E9" w:rsidP="00E008E9"/>
    <w:p w14:paraId="1695304D" w14:textId="77777777" w:rsidR="00E008E9" w:rsidRDefault="00E008E9" w:rsidP="00E008E9"/>
    <w:p w14:paraId="746AB1A5" w14:textId="77777777" w:rsidR="00E008E9" w:rsidRPr="00ED0B13" w:rsidRDefault="00E008E9" w:rsidP="00E008E9"/>
    <w:p w14:paraId="3C2DF636" w14:textId="77777777" w:rsidR="00E008E9" w:rsidRPr="00ED0B13" w:rsidRDefault="00E008E9" w:rsidP="00E008E9"/>
    <w:p w14:paraId="4A4B456A" w14:textId="77777777" w:rsidR="00E008E9" w:rsidRPr="00ED0B13" w:rsidRDefault="00E008E9" w:rsidP="00E008E9">
      <w:pPr>
        <w:pStyle w:val="TOC1"/>
      </w:pPr>
    </w:p>
    <w:p w14:paraId="44B2DE81" w14:textId="77777777" w:rsidR="00E008E9" w:rsidRDefault="00E008E9" w:rsidP="00E008E9">
      <w:pPr>
        <w:pStyle w:val="TOC1"/>
      </w:pPr>
      <w:r w:rsidRPr="00ED0B13">
        <w:t>This work is licensed under a Creative Commons Attribution-</w:t>
      </w:r>
      <w:proofErr w:type="spellStart"/>
      <w:r w:rsidRPr="00ED0B13">
        <w:t>NonCommercial</w:t>
      </w:r>
      <w:proofErr w:type="spellEnd"/>
      <w:r w:rsidRPr="00ED0B13">
        <w:t>-</w:t>
      </w:r>
    </w:p>
    <w:p w14:paraId="1D0EE364" w14:textId="77777777" w:rsidR="00E008E9" w:rsidRPr="00ED0B13" w:rsidRDefault="00E008E9" w:rsidP="00E008E9">
      <w:pPr>
        <w:pStyle w:val="TOC1"/>
      </w:pPr>
      <w:proofErr w:type="spellStart"/>
      <w:r w:rsidRPr="00ED0B13">
        <w:t>ShareAlike</w:t>
      </w:r>
      <w:proofErr w:type="spellEnd"/>
      <w:r w:rsidRPr="00ED0B13">
        <w:t xml:space="preserve"> 4.0 International License.</w:t>
      </w:r>
    </w:p>
    <w:p w14:paraId="181FE431" w14:textId="5F3635B7" w:rsidR="00E008E9" w:rsidRDefault="00E008E9" w:rsidP="00E008E9">
      <w:pPr>
        <w:spacing w:after="160" w:line="278" w:lineRule="auto"/>
        <w:ind w:firstLine="0"/>
        <w:jc w:val="center"/>
        <w:rPr>
          <w:rFonts w:asciiTheme="majorHAnsi" w:eastAsiaTheme="majorEastAsia" w:hAnsiTheme="majorHAnsi" w:cstheme="majorBidi"/>
          <w:color w:val="0F4761" w:themeColor="accent1" w:themeShade="BF"/>
          <w:sz w:val="32"/>
          <w:szCs w:val="32"/>
        </w:rPr>
      </w:pPr>
      <w:r>
        <w:rPr>
          <w:noProof/>
        </w:rPr>
        <w:drawing>
          <wp:inline distT="0" distB="0" distL="0" distR="0" wp14:anchorId="3DB784C6" wp14:editId="446D6ADC">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r>
        <w:br w:type="page"/>
      </w:r>
    </w:p>
    <w:p w14:paraId="133E3536" w14:textId="447A0508" w:rsidR="008E185D" w:rsidRPr="00E008E9" w:rsidRDefault="008E185D" w:rsidP="008E185D">
      <w:pPr>
        <w:pStyle w:val="Heading2"/>
        <w:ind w:firstLine="0"/>
        <w:rPr>
          <w:rFonts w:asciiTheme="minorHAnsi" w:hAnsiTheme="minorHAnsi"/>
          <w:sz w:val="40"/>
          <w:szCs w:val="40"/>
        </w:rPr>
      </w:pPr>
      <w:r w:rsidRPr="00E008E9">
        <w:rPr>
          <w:rFonts w:asciiTheme="minorHAnsi" w:hAnsiTheme="minorHAnsi"/>
          <w:sz w:val="40"/>
          <w:szCs w:val="40"/>
        </w:rPr>
        <w:lastRenderedPageBreak/>
        <w:t>Expressive Uses of Trademarks</w:t>
      </w:r>
    </w:p>
    <w:p w14:paraId="548C0473"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We use the term “expressive” to denote the great variety of unauthorized uses of marks for purposes such as parody, criticism, or social commentary, be they for profit or entirely non-commercial in nature. Unlike copyright law and its doctrine of copyright fair use, trademark law has no one-size-fits-all doctrine to address the permissibility of such expressive uses. </w:t>
      </w:r>
      <w:bookmarkStart w:id="0" w:name="_Hlk106084732"/>
      <w:r w:rsidRPr="00E008E9">
        <w:rPr>
          <w:rFonts w:asciiTheme="minorHAnsi" w:hAnsiTheme="minorHAnsi"/>
          <w:sz w:val="24"/>
          <w:szCs w:val="22"/>
        </w:rPr>
        <w:t>Further complicating matters is that any particular expressive use should be analyzed both (1) for the likelihood that the use will cause consumer confusion and (2), if the targeted mark qualifies for antidilution protection, for the likelihood that the use will cause trademark dilution.</w:t>
      </w:r>
      <w:bookmarkEnd w:id="0"/>
    </w:p>
    <w:p w14:paraId="1A939396" w14:textId="119DCC2B" w:rsidR="008E185D" w:rsidRPr="00E008E9" w:rsidRDefault="00DE4A91" w:rsidP="008E185D">
      <w:pPr>
        <w:rPr>
          <w:rFonts w:asciiTheme="minorHAnsi" w:hAnsiTheme="minorHAnsi"/>
          <w:sz w:val="24"/>
          <w:szCs w:val="22"/>
        </w:rPr>
      </w:pPr>
      <w:r>
        <w:rPr>
          <w:rFonts w:asciiTheme="minorHAnsi" w:hAnsiTheme="minorHAnsi"/>
          <w:sz w:val="24"/>
          <w:szCs w:val="22"/>
        </w:rPr>
        <w:t>W</w:t>
      </w:r>
      <w:r w:rsidR="008E185D" w:rsidRPr="00E008E9">
        <w:rPr>
          <w:rFonts w:asciiTheme="minorHAnsi" w:hAnsiTheme="minorHAnsi"/>
          <w:sz w:val="24"/>
          <w:szCs w:val="22"/>
        </w:rPr>
        <w:t xml:space="preserve">e turn first to a leading example of a court’s analysis of a for-profit parodic use both under the multifactor test for the likelihood of consumer confusion and the test under Lanham Act § 43(c), 15 U.S.C. § 1125(c), for the likelihood of </w:t>
      </w:r>
      <w:proofErr w:type="spellStart"/>
      <w:r w:rsidR="008E185D" w:rsidRPr="00E008E9">
        <w:rPr>
          <w:rFonts w:asciiTheme="minorHAnsi" w:hAnsiTheme="minorHAnsi"/>
          <w:sz w:val="24"/>
          <w:szCs w:val="22"/>
        </w:rPr>
        <w:t>tradebark</w:t>
      </w:r>
      <w:proofErr w:type="spellEnd"/>
      <w:r w:rsidR="008E185D" w:rsidRPr="00E008E9">
        <w:rPr>
          <w:rFonts w:asciiTheme="minorHAnsi" w:hAnsiTheme="minorHAnsi"/>
          <w:sz w:val="24"/>
          <w:szCs w:val="22"/>
        </w:rPr>
        <w:t xml:space="preserve"> blurring and </w:t>
      </w:r>
      <w:proofErr w:type="spellStart"/>
      <w:r w:rsidR="008E185D" w:rsidRPr="00E008E9">
        <w:rPr>
          <w:rFonts w:asciiTheme="minorHAnsi" w:hAnsiTheme="minorHAnsi"/>
          <w:sz w:val="24"/>
          <w:szCs w:val="22"/>
        </w:rPr>
        <w:t>tarnishment</w:t>
      </w:r>
      <w:proofErr w:type="spellEnd"/>
      <w:r w:rsidR="008E185D" w:rsidRPr="00E008E9">
        <w:rPr>
          <w:rFonts w:asciiTheme="minorHAnsi" w:hAnsiTheme="minorHAnsi"/>
          <w:sz w:val="24"/>
          <w:szCs w:val="22"/>
        </w:rPr>
        <w:t xml:space="preserve">. </w:t>
      </w:r>
      <w:r w:rsidR="008E185D" w:rsidRPr="00E008E9">
        <w:rPr>
          <w:rFonts w:asciiTheme="minorHAnsi" w:hAnsiTheme="minorHAnsi"/>
          <w:i/>
          <w:sz w:val="24"/>
          <w:szCs w:val="22"/>
        </w:rPr>
        <w:t xml:space="preserve">Louis Vuitton Malletier S.A. v. Haute </w:t>
      </w:r>
      <w:proofErr w:type="spellStart"/>
      <w:r w:rsidR="008E185D" w:rsidRPr="00E008E9">
        <w:rPr>
          <w:rFonts w:asciiTheme="minorHAnsi" w:hAnsiTheme="minorHAnsi"/>
          <w:i/>
          <w:sz w:val="24"/>
          <w:szCs w:val="22"/>
        </w:rPr>
        <w:t>Diggity</w:t>
      </w:r>
      <w:proofErr w:type="spellEnd"/>
      <w:r w:rsidR="008E185D" w:rsidRPr="00E008E9">
        <w:rPr>
          <w:rFonts w:asciiTheme="minorHAnsi" w:hAnsiTheme="minorHAnsi"/>
          <w:i/>
          <w:sz w:val="24"/>
          <w:szCs w:val="22"/>
        </w:rPr>
        <w:t xml:space="preserve"> Dog, LLC</w:t>
      </w:r>
      <w:r w:rsidR="008E185D" w:rsidRPr="00E008E9">
        <w:rPr>
          <w:rFonts w:asciiTheme="minorHAnsi" w:hAnsiTheme="minorHAnsi"/>
          <w:sz w:val="24"/>
          <w:szCs w:val="22"/>
        </w:rPr>
        <w:t xml:space="preserve">, 507 F.3d 252 (4th Cir. 2007), is a lengthy opinion that is presented here almost in full, but it may reward a thorough reading. Not all courts follow the example of the Fourth Circuit’s analysis in </w:t>
      </w:r>
      <w:r w:rsidR="008E185D" w:rsidRPr="00E008E9">
        <w:rPr>
          <w:rFonts w:asciiTheme="minorHAnsi" w:hAnsiTheme="minorHAnsi"/>
          <w:i/>
          <w:iCs/>
          <w:sz w:val="24"/>
          <w:szCs w:val="22"/>
        </w:rPr>
        <w:t xml:space="preserve">Haute </w:t>
      </w:r>
      <w:proofErr w:type="spellStart"/>
      <w:r w:rsidR="008E185D" w:rsidRPr="00E008E9">
        <w:rPr>
          <w:rFonts w:asciiTheme="minorHAnsi" w:hAnsiTheme="minorHAnsi"/>
          <w:i/>
          <w:iCs/>
          <w:sz w:val="24"/>
          <w:szCs w:val="22"/>
        </w:rPr>
        <w:t>Diggity</w:t>
      </w:r>
      <w:proofErr w:type="spellEnd"/>
      <w:r w:rsidR="008E185D" w:rsidRPr="00E008E9">
        <w:rPr>
          <w:rFonts w:asciiTheme="minorHAnsi" w:hAnsiTheme="minorHAnsi"/>
          <w:i/>
          <w:iCs/>
          <w:sz w:val="24"/>
          <w:szCs w:val="22"/>
        </w:rPr>
        <w:t xml:space="preserve"> Dog</w:t>
      </w:r>
      <w:r w:rsidR="008E185D" w:rsidRPr="00E008E9">
        <w:rPr>
          <w:rFonts w:asciiTheme="minorHAnsi" w:hAnsiTheme="minorHAnsi"/>
          <w:sz w:val="24"/>
          <w:szCs w:val="22"/>
        </w:rPr>
        <w:t xml:space="preserve">, however. Indeed, the case law on expressive uses and the likelihood of consumer confusion can be quite diverse. </w:t>
      </w:r>
      <w:r>
        <w:rPr>
          <w:rFonts w:asciiTheme="minorHAnsi" w:hAnsiTheme="minorHAnsi"/>
          <w:sz w:val="24"/>
          <w:szCs w:val="22"/>
        </w:rPr>
        <w:t xml:space="preserve">This </w:t>
      </w:r>
      <w:r w:rsidR="008E185D" w:rsidRPr="00E008E9">
        <w:rPr>
          <w:rFonts w:asciiTheme="minorHAnsi" w:hAnsiTheme="minorHAnsi"/>
          <w:sz w:val="24"/>
          <w:szCs w:val="22"/>
        </w:rPr>
        <w:t xml:space="preserve">Part also offers a brief summary of a minor case, </w:t>
      </w:r>
      <w:r w:rsidR="008E185D" w:rsidRPr="00E008E9">
        <w:rPr>
          <w:rFonts w:asciiTheme="minorHAnsi" w:hAnsiTheme="minorHAnsi"/>
          <w:i/>
          <w:sz w:val="24"/>
          <w:szCs w:val="22"/>
        </w:rPr>
        <w:t>MPS Entm’t, LLC v. Abercrombie &amp; Fitch Stores, Inc</w:t>
      </w:r>
      <w:r w:rsidR="008E185D" w:rsidRPr="00E008E9">
        <w:rPr>
          <w:rFonts w:asciiTheme="minorHAnsi" w:hAnsiTheme="minorHAnsi"/>
          <w:sz w:val="24"/>
          <w:szCs w:val="22"/>
        </w:rPr>
        <w:t>., No. 11 Civ. 24110, 2013 WL 3288039 (S.D. Fla. June 28, 2013), in which the court engaged in a routine use of the multifactor test for the likelihood of confusion (without any special attention to the issue of parody) and simply found no likelihood of confusion.</w:t>
      </w:r>
    </w:p>
    <w:p w14:paraId="2A9192DF" w14:textId="6DAE4B96"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We then turn to the </w:t>
      </w:r>
      <w:r w:rsidRPr="00E008E9">
        <w:rPr>
          <w:rFonts w:asciiTheme="minorHAnsi" w:hAnsiTheme="minorHAnsi"/>
          <w:i/>
          <w:sz w:val="24"/>
          <w:szCs w:val="22"/>
        </w:rPr>
        <w:t>Rogers v. Grimaldi</w:t>
      </w:r>
      <w:r w:rsidRPr="00E008E9">
        <w:rPr>
          <w:rFonts w:asciiTheme="minorHAnsi" w:hAnsiTheme="minorHAnsi"/>
          <w:sz w:val="24"/>
          <w:szCs w:val="22"/>
        </w:rPr>
        <w:t xml:space="preserve"> test for artistically relevant uses of trademarks. In recent years, this test has become increasingly influential as a replacement for the likelihood of confusion test in expressive use situations. However, in </w:t>
      </w:r>
      <w:r w:rsidRPr="00E008E9">
        <w:rPr>
          <w:rFonts w:asciiTheme="minorHAnsi" w:hAnsiTheme="minorHAnsi"/>
          <w:i/>
          <w:iCs/>
          <w:sz w:val="24"/>
          <w:szCs w:val="22"/>
        </w:rPr>
        <w:t>Jack Daniel’s Props. v. VIP Prods. LLC</w:t>
      </w:r>
      <w:r w:rsidRPr="00E008E9">
        <w:rPr>
          <w:rFonts w:asciiTheme="minorHAnsi" w:hAnsiTheme="minorHAnsi"/>
          <w:sz w:val="24"/>
          <w:szCs w:val="22"/>
        </w:rPr>
        <w:t xml:space="preserve">, 599 U.S. 140 (2023), the Supreme Court significantly limited the reach of the test. </w:t>
      </w:r>
    </w:p>
    <w:p w14:paraId="2DBC4363" w14:textId="7AF22E70"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Note also that the </w:t>
      </w:r>
      <w:r w:rsidRPr="00E008E9">
        <w:rPr>
          <w:rFonts w:asciiTheme="minorHAnsi" w:hAnsiTheme="minorHAnsi"/>
          <w:i/>
          <w:sz w:val="24"/>
          <w:szCs w:val="22"/>
        </w:rPr>
        <w:t>Rogers v. Grimaldi</w:t>
      </w:r>
      <w:r w:rsidRPr="00E008E9">
        <w:rPr>
          <w:rFonts w:asciiTheme="minorHAnsi" w:hAnsiTheme="minorHAnsi"/>
          <w:sz w:val="24"/>
          <w:szCs w:val="22"/>
        </w:rPr>
        <w:t xml:space="preserve"> test limits itself only to the question of consumer confusion. It does not address the additional question of whether the expressive use dilutes by blurring or </w:t>
      </w:r>
      <w:proofErr w:type="spellStart"/>
      <w:r w:rsidRPr="00E008E9">
        <w:rPr>
          <w:rFonts w:asciiTheme="minorHAnsi" w:hAnsiTheme="minorHAnsi"/>
          <w:sz w:val="24"/>
          <w:szCs w:val="22"/>
        </w:rPr>
        <w:t>tarnishment</w:t>
      </w:r>
      <w:proofErr w:type="spellEnd"/>
      <w:r w:rsidRPr="00E008E9">
        <w:rPr>
          <w:rFonts w:asciiTheme="minorHAnsi" w:hAnsiTheme="minorHAnsi"/>
          <w:sz w:val="24"/>
          <w:szCs w:val="22"/>
        </w:rPr>
        <w:t xml:space="preserve"> the targeted mark. On that issue, a typical defendant may seek to avail itself of the “Exclusions” from antidilution protection provided by Lanham Act § 43(c)(3), 15 U.S.C. 1125(c)(3). </w:t>
      </w:r>
      <w:r w:rsidR="00DE4A91">
        <w:rPr>
          <w:rFonts w:asciiTheme="minorHAnsi" w:hAnsiTheme="minorHAnsi"/>
          <w:sz w:val="24"/>
          <w:szCs w:val="22"/>
        </w:rPr>
        <w:t xml:space="preserve">The last </w:t>
      </w:r>
      <w:r w:rsidRPr="00E008E9">
        <w:rPr>
          <w:rFonts w:asciiTheme="minorHAnsi" w:hAnsiTheme="minorHAnsi"/>
          <w:sz w:val="24"/>
          <w:szCs w:val="22"/>
        </w:rPr>
        <w:t>Part focuses on expressive uses and trademark dilution and considers further aspects of the Lanham Act § 43(c)(3) exclusions.</w:t>
      </w:r>
    </w:p>
    <w:p w14:paraId="2A7206A8" w14:textId="07D621B5" w:rsidR="008E185D" w:rsidRPr="00E008E9" w:rsidRDefault="008E185D" w:rsidP="008E185D">
      <w:pPr>
        <w:rPr>
          <w:rFonts w:asciiTheme="minorHAnsi" w:hAnsiTheme="minorHAnsi"/>
          <w:sz w:val="24"/>
          <w:szCs w:val="22"/>
        </w:rPr>
      </w:pPr>
      <w:r w:rsidRPr="00E008E9">
        <w:rPr>
          <w:rFonts w:asciiTheme="minorHAnsi" w:hAnsiTheme="minorHAnsi"/>
          <w:sz w:val="24"/>
          <w:szCs w:val="22"/>
        </w:rPr>
        <w:t>One final preliminary comment going to the realities of the reading</w:t>
      </w:r>
      <w:r w:rsidR="00DE4A91">
        <w:rPr>
          <w:rFonts w:asciiTheme="minorHAnsi" w:hAnsiTheme="minorHAnsi"/>
          <w:sz w:val="24"/>
          <w:szCs w:val="22"/>
        </w:rPr>
        <w:t xml:space="preserve"> here:</w:t>
      </w:r>
      <w:r w:rsidRPr="00E008E9">
        <w:rPr>
          <w:rFonts w:asciiTheme="minorHAnsi" w:hAnsiTheme="minorHAnsi"/>
          <w:sz w:val="24"/>
          <w:szCs w:val="22"/>
        </w:rPr>
        <w:t xml:space="preserve"> for all of the elaborate doctrine that is meant to limit plaintiffs’ trademark rights and allow defendants’ expressive uses, the fact is that defendants often cannot afford to benefit from these limits. They often settle rather than bankrupt themselves through litigation. Consider one example of this sad reality:</w:t>
      </w:r>
    </w:p>
    <w:p w14:paraId="73761EC3" w14:textId="77777777" w:rsidR="008E185D" w:rsidRPr="00E008E9" w:rsidRDefault="008E185D" w:rsidP="008E185D">
      <w:pPr>
        <w:pStyle w:val="Blockquote"/>
        <w:rPr>
          <w:rFonts w:asciiTheme="minorHAnsi" w:hAnsiTheme="minorHAnsi"/>
          <w:sz w:val="24"/>
          <w:szCs w:val="22"/>
        </w:rPr>
      </w:pPr>
      <w:r w:rsidRPr="00E008E9">
        <w:rPr>
          <w:rFonts w:asciiTheme="minorHAnsi" w:hAnsiTheme="minorHAnsi"/>
          <w:sz w:val="24"/>
          <w:szCs w:val="22"/>
        </w:rPr>
        <w:lastRenderedPageBreak/>
        <w:t>Seal Press, a small book publisher that specializes in non-fiction and fiction by women writers, published a book, “Adios, Barbie,” that examined body image from a feminist perspective {image of first edition book cover shown below on left}. Seal was sued by Mattel for dilution. Commenting on the suit, the Seal Press publisher said “[w]e thought the First Amendment provided us with every right to evoke the outrageousness of tall, thin, and white being the only widely accepted body type.” But Mattel overwhelmed the small press. In a settlement, Seal agreed to remove Barbie’s name from the book’s title and to remove images of the doll’s clothing and accoutrements from its cover. “We are a small publisher,” said the publisher. “We’re not insured for the costs associated with this type of lawsuit.”</w:t>
      </w:r>
    </w:p>
    <w:p w14:paraId="158726D6" w14:textId="77777777" w:rsidR="008E185D" w:rsidRPr="00E008E9" w:rsidRDefault="008E185D" w:rsidP="008E185D">
      <w:pPr>
        <w:pStyle w:val="NormalNoIndent"/>
        <w:rPr>
          <w:rFonts w:asciiTheme="minorHAnsi" w:hAnsiTheme="minorHAnsi"/>
          <w:sz w:val="24"/>
          <w:szCs w:val="22"/>
        </w:rPr>
      </w:pPr>
      <w:r w:rsidRPr="00E008E9">
        <w:rPr>
          <w:rFonts w:asciiTheme="minorHAnsi" w:hAnsiTheme="minorHAnsi"/>
          <w:sz w:val="24"/>
          <w:szCs w:val="22"/>
        </w:rPr>
        <w:t xml:space="preserve">Julie Zando-Denis, </w:t>
      </w:r>
      <w:r w:rsidRPr="00E008E9">
        <w:rPr>
          <w:rFonts w:asciiTheme="minorHAnsi" w:hAnsiTheme="minorHAnsi"/>
          <w:i/>
          <w:iCs/>
          <w:sz w:val="24"/>
          <w:szCs w:val="22"/>
        </w:rPr>
        <w:t>Not Playing Around: The Chilling Power of the Federal Trademark Dilution Act of 1995</w:t>
      </w:r>
      <w:r w:rsidRPr="00E008E9">
        <w:rPr>
          <w:rFonts w:asciiTheme="minorHAnsi" w:hAnsiTheme="minorHAnsi"/>
          <w:sz w:val="24"/>
          <w:szCs w:val="22"/>
        </w:rPr>
        <w:t xml:space="preserve">, 11 </w:t>
      </w:r>
      <w:r w:rsidRPr="00E008E9">
        <w:rPr>
          <w:rFonts w:asciiTheme="minorHAnsi" w:hAnsiTheme="minorHAnsi"/>
          <w:smallCaps/>
          <w:sz w:val="24"/>
          <w:szCs w:val="22"/>
        </w:rPr>
        <w:t>Cardozo Women’s L.J</w:t>
      </w:r>
      <w:r w:rsidRPr="00E008E9">
        <w:rPr>
          <w:rFonts w:asciiTheme="minorHAnsi" w:hAnsiTheme="minorHAnsi"/>
          <w:sz w:val="24"/>
          <w:szCs w:val="22"/>
        </w:rPr>
        <w:t>. 599, 614 (2005) (footnotes omitted).</w:t>
      </w:r>
    </w:p>
    <w:p w14:paraId="7CE9AD4A" w14:textId="77777777" w:rsidR="008E185D" w:rsidRPr="00E008E9" w:rsidRDefault="008E185D" w:rsidP="008E185D">
      <w:pPr>
        <w:pStyle w:val="NormalNoIndent"/>
        <w:rPr>
          <w:rFonts w:asciiTheme="minorHAnsi" w:hAnsiTheme="minorHAnsi"/>
        </w:rPr>
      </w:pPr>
    </w:p>
    <w:p w14:paraId="2BA9F003" w14:textId="77777777" w:rsidR="008E185D" w:rsidRPr="00E008E9" w:rsidRDefault="008E185D" w:rsidP="008E185D">
      <w:pPr>
        <w:pStyle w:val="Normal-centered0"/>
        <w:rPr>
          <w:rFonts w:asciiTheme="minorHAnsi" w:hAnsiTheme="minorHAnsi"/>
        </w:rPr>
      </w:pPr>
      <w:r w:rsidRPr="00E008E9">
        <w:rPr>
          <w:rFonts w:asciiTheme="minorHAnsi" w:hAnsiTheme="minorHAnsi"/>
        </w:rPr>
        <w:drawing>
          <wp:inline distT="0" distB="0" distL="0" distR="0" wp14:anchorId="553D235B" wp14:editId="15B7CD33">
            <wp:extent cx="2130457" cy="3322416"/>
            <wp:effectExtent l="0" t="0" r="3175" b="0"/>
            <wp:docPr id="140" name="Picture 47" descr="A book cover of a barb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47" descr="A book cover of a barbi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5807" cy="3346355"/>
                    </a:xfrm>
                    <a:prstGeom prst="rect">
                      <a:avLst/>
                    </a:prstGeom>
                    <a:noFill/>
                    <a:ln>
                      <a:noFill/>
                    </a:ln>
                  </pic:spPr>
                </pic:pic>
              </a:graphicData>
            </a:graphic>
          </wp:inline>
        </w:drawing>
      </w:r>
      <w:r w:rsidRPr="00E008E9">
        <w:rPr>
          <w:rFonts w:asciiTheme="minorHAnsi" w:hAnsiTheme="minorHAnsi"/>
        </w:rPr>
        <w:t xml:space="preserve">   </w:t>
      </w:r>
      <w:r w:rsidRPr="00E008E9">
        <w:rPr>
          <w:rFonts w:asciiTheme="minorHAnsi" w:hAnsiTheme="minorHAnsi"/>
        </w:rPr>
        <w:drawing>
          <wp:inline distT="0" distB="0" distL="0" distR="0" wp14:anchorId="0DB1FFE1" wp14:editId="00B20DB2">
            <wp:extent cx="2224726" cy="3337435"/>
            <wp:effectExtent l="0" t="0" r="4445" b="0"/>
            <wp:docPr id="141" name="Picture 11" descr="bodyoutl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dyoutlaw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746" cy="3382470"/>
                    </a:xfrm>
                    <a:prstGeom prst="rect">
                      <a:avLst/>
                    </a:prstGeom>
                    <a:noFill/>
                    <a:ln>
                      <a:noFill/>
                    </a:ln>
                  </pic:spPr>
                </pic:pic>
              </a:graphicData>
            </a:graphic>
          </wp:inline>
        </w:drawing>
      </w:r>
    </w:p>
    <w:p w14:paraId="31696DF2" w14:textId="77777777" w:rsidR="008E185D" w:rsidRPr="00E008E9" w:rsidRDefault="008E185D" w:rsidP="008E185D">
      <w:pPr>
        <w:pStyle w:val="Normal-centered0"/>
        <w:rPr>
          <w:rFonts w:asciiTheme="minorHAnsi" w:hAnsiTheme="minorHAnsi"/>
        </w:rPr>
      </w:pPr>
    </w:p>
    <w:p w14:paraId="34ABA200"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There is simply no question that if Seal Press had had the resources to litigate the matter, it would have prevailed with respect to both confusion and dilution against Mattel — whose reputation for scorched-earth litigation tactics was matched at the time only by its reputation for almost always losing in court against those who stood up to its bullying. </w:t>
      </w:r>
      <w:r w:rsidRPr="00E008E9">
        <w:rPr>
          <w:rFonts w:asciiTheme="minorHAnsi" w:hAnsiTheme="minorHAnsi"/>
          <w:i/>
          <w:sz w:val="24"/>
          <w:szCs w:val="22"/>
        </w:rPr>
        <w:t>See, e.g</w:t>
      </w:r>
      <w:r w:rsidRPr="00E008E9">
        <w:rPr>
          <w:rFonts w:asciiTheme="minorHAnsi" w:hAnsiTheme="minorHAnsi"/>
          <w:sz w:val="24"/>
          <w:szCs w:val="22"/>
        </w:rPr>
        <w:t xml:space="preserve">., </w:t>
      </w:r>
      <w:r w:rsidRPr="00E008E9">
        <w:rPr>
          <w:rFonts w:asciiTheme="minorHAnsi" w:hAnsiTheme="minorHAnsi"/>
          <w:i/>
          <w:sz w:val="24"/>
          <w:szCs w:val="22"/>
        </w:rPr>
        <w:t>Mattel Inc. v. Walking Mountain Productions</w:t>
      </w:r>
      <w:r w:rsidRPr="00E008E9">
        <w:rPr>
          <w:rFonts w:asciiTheme="minorHAnsi" w:hAnsiTheme="minorHAnsi"/>
          <w:sz w:val="24"/>
          <w:szCs w:val="22"/>
        </w:rPr>
        <w:t xml:space="preserve">, 353 F.3d 792 (9th Cir. 2003); </w:t>
      </w:r>
      <w:r w:rsidRPr="00E008E9">
        <w:rPr>
          <w:rFonts w:asciiTheme="minorHAnsi" w:hAnsiTheme="minorHAnsi"/>
          <w:i/>
          <w:sz w:val="24"/>
          <w:szCs w:val="22"/>
        </w:rPr>
        <w:t>Mattel, Inc. v. Pitt</w:t>
      </w:r>
      <w:r w:rsidRPr="00E008E9">
        <w:rPr>
          <w:rFonts w:asciiTheme="minorHAnsi" w:hAnsiTheme="minorHAnsi"/>
          <w:sz w:val="24"/>
          <w:szCs w:val="22"/>
        </w:rPr>
        <w:t xml:space="preserve">, 229 F. Supp. 2d 315, 318 (S.D.N.Y. 2002). For more on the degree to which the mere threat of litigation can produce very strong “chilling effects” on expressive uses of </w:t>
      </w:r>
      <w:r w:rsidRPr="00E008E9">
        <w:rPr>
          <w:rFonts w:asciiTheme="minorHAnsi" w:hAnsiTheme="minorHAnsi"/>
          <w:sz w:val="24"/>
          <w:szCs w:val="22"/>
        </w:rPr>
        <w:lastRenderedPageBreak/>
        <w:t xml:space="preserve">trademarks, see Leah Chan </w:t>
      </w:r>
      <w:proofErr w:type="spellStart"/>
      <w:r w:rsidRPr="00E008E9">
        <w:rPr>
          <w:rFonts w:asciiTheme="minorHAnsi" w:hAnsiTheme="minorHAnsi"/>
          <w:sz w:val="24"/>
          <w:szCs w:val="22"/>
        </w:rPr>
        <w:t>Grinvald</w:t>
      </w:r>
      <w:proofErr w:type="spellEnd"/>
      <w:r w:rsidRPr="00E008E9">
        <w:rPr>
          <w:rFonts w:asciiTheme="minorHAnsi" w:hAnsiTheme="minorHAnsi"/>
          <w:sz w:val="24"/>
          <w:szCs w:val="22"/>
        </w:rPr>
        <w:t xml:space="preserve">, </w:t>
      </w:r>
      <w:r w:rsidRPr="00E008E9">
        <w:rPr>
          <w:rFonts w:asciiTheme="minorHAnsi" w:hAnsiTheme="minorHAnsi"/>
          <w:i/>
          <w:sz w:val="24"/>
          <w:szCs w:val="22"/>
        </w:rPr>
        <w:t>Shaming Trademark Bullies</w:t>
      </w:r>
      <w:r w:rsidRPr="00E008E9">
        <w:rPr>
          <w:rFonts w:asciiTheme="minorHAnsi" w:hAnsiTheme="minorHAnsi"/>
          <w:sz w:val="24"/>
          <w:szCs w:val="22"/>
        </w:rPr>
        <w:t xml:space="preserve">, 2011 </w:t>
      </w:r>
      <w:r w:rsidRPr="00E008E9">
        <w:rPr>
          <w:rFonts w:asciiTheme="minorHAnsi" w:hAnsiTheme="minorHAnsi"/>
          <w:smallCaps/>
          <w:sz w:val="24"/>
          <w:szCs w:val="22"/>
        </w:rPr>
        <w:t>Wisc. L. Rev</w:t>
      </w:r>
      <w:r w:rsidRPr="00E008E9">
        <w:rPr>
          <w:rFonts w:asciiTheme="minorHAnsi" w:hAnsiTheme="minorHAnsi"/>
          <w:sz w:val="24"/>
          <w:szCs w:val="22"/>
        </w:rPr>
        <w:t>. 625 (2011).</w:t>
      </w:r>
    </w:p>
    <w:p w14:paraId="37729F9C" w14:textId="77777777" w:rsidR="008E185D" w:rsidRPr="00E008E9" w:rsidRDefault="008E185D" w:rsidP="008E185D">
      <w:pPr>
        <w:pStyle w:val="Heading3"/>
        <w:rPr>
          <w:rFonts w:asciiTheme="minorHAnsi" w:hAnsiTheme="minorHAnsi"/>
        </w:rPr>
      </w:pPr>
      <w:bookmarkStart w:id="1" w:name="_Toc519683154"/>
      <w:bookmarkStart w:id="2" w:name="_Toc201424445"/>
      <w:r w:rsidRPr="00E008E9">
        <w:rPr>
          <w:rFonts w:asciiTheme="minorHAnsi" w:hAnsiTheme="minorHAnsi"/>
        </w:rPr>
        <w:t>1.</w:t>
      </w:r>
      <w:r w:rsidRPr="00E008E9">
        <w:rPr>
          <w:rFonts w:asciiTheme="minorHAnsi" w:hAnsiTheme="minorHAnsi"/>
        </w:rPr>
        <w:tab/>
        <w:t>Expressive Uses and the Tests for Confusion and Dilution</w:t>
      </w:r>
      <w:bookmarkEnd w:id="1"/>
      <w:bookmarkEnd w:id="2"/>
    </w:p>
    <w:p w14:paraId="4361F3B2" w14:textId="18D3D906" w:rsidR="008E185D" w:rsidRPr="00E008E9" w:rsidRDefault="008E185D" w:rsidP="008E185D">
      <w:pPr>
        <w:pStyle w:val="Normal-centered0"/>
        <w:rPr>
          <w:rFonts w:asciiTheme="minorHAnsi" w:hAnsiTheme="minorHAnsi"/>
          <w:sz w:val="24"/>
          <w:szCs w:val="22"/>
        </w:rPr>
      </w:pPr>
    </w:p>
    <w:p w14:paraId="5BA3200D" w14:textId="7F34CE62" w:rsidR="008E185D" w:rsidRPr="00E008E9" w:rsidRDefault="008E185D" w:rsidP="008E185D">
      <w:pPr>
        <w:pStyle w:val="Heading7"/>
        <w:rPr>
          <w:rFonts w:asciiTheme="minorHAnsi" w:hAnsiTheme="minorHAnsi"/>
          <w:color w:val="FF0000"/>
          <w:sz w:val="24"/>
          <w:szCs w:val="22"/>
        </w:rPr>
      </w:pPr>
      <w:bookmarkStart w:id="3" w:name="_Toc519683155"/>
      <w:bookmarkStart w:id="4" w:name="_Toc201424446"/>
      <w:r w:rsidRPr="00E008E9">
        <w:rPr>
          <w:rFonts w:asciiTheme="minorHAnsi" w:hAnsiTheme="minorHAnsi"/>
          <w:color w:val="FF0000"/>
          <w:sz w:val="24"/>
          <w:szCs w:val="22"/>
        </w:rPr>
        <w:t>[</w:t>
      </w:r>
      <w:r w:rsidR="00E008E9" w:rsidRPr="00E008E9">
        <w:rPr>
          <w:rFonts w:asciiTheme="minorHAnsi" w:hAnsiTheme="minorHAnsi"/>
          <w:color w:val="FF0000"/>
          <w:sz w:val="24"/>
          <w:szCs w:val="22"/>
        </w:rPr>
        <w:t xml:space="preserve">The opinion in </w:t>
      </w:r>
      <w:r w:rsidRPr="00E008E9">
        <w:rPr>
          <w:rFonts w:asciiTheme="minorHAnsi" w:hAnsiTheme="minorHAnsi"/>
          <w:i/>
          <w:iCs/>
          <w:color w:val="FF0000"/>
          <w:sz w:val="24"/>
          <w:szCs w:val="22"/>
        </w:rPr>
        <w:t xml:space="preserve">Louis Vuitton Malletier S.A. v. Haute </w:t>
      </w:r>
      <w:proofErr w:type="spellStart"/>
      <w:r w:rsidRPr="00E008E9">
        <w:rPr>
          <w:rFonts w:asciiTheme="minorHAnsi" w:hAnsiTheme="minorHAnsi"/>
          <w:i/>
          <w:iCs/>
          <w:color w:val="FF0000"/>
          <w:sz w:val="24"/>
          <w:szCs w:val="22"/>
        </w:rPr>
        <w:t>Diggity</w:t>
      </w:r>
      <w:proofErr w:type="spellEnd"/>
      <w:r w:rsidRPr="00E008E9">
        <w:rPr>
          <w:rFonts w:asciiTheme="minorHAnsi" w:hAnsiTheme="minorHAnsi"/>
          <w:i/>
          <w:iCs/>
          <w:color w:val="FF0000"/>
          <w:sz w:val="24"/>
          <w:szCs w:val="22"/>
        </w:rPr>
        <w:t xml:space="preserve"> Dog, LLC</w:t>
      </w:r>
      <w:bookmarkEnd w:id="3"/>
      <w:bookmarkEnd w:id="4"/>
      <w:r w:rsidR="00E008E9" w:rsidRPr="00E008E9">
        <w:rPr>
          <w:rFonts w:asciiTheme="minorHAnsi" w:hAnsiTheme="minorHAnsi"/>
          <w:color w:val="FF0000"/>
          <w:sz w:val="24"/>
          <w:szCs w:val="22"/>
        </w:rPr>
        <w:t xml:space="preserve"> is available separately.</w:t>
      </w:r>
      <w:r w:rsidRPr="00E008E9">
        <w:rPr>
          <w:rFonts w:asciiTheme="minorHAnsi" w:hAnsiTheme="minorHAnsi"/>
          <w:color w:val="FF0000"/>
          <w:sz w:val="24"/>
          <w:szCs w:val="22"/>
        </w:rPr>
        <w:t>]</w:t>
      </w:r>
    </w:p>
    <w:p w14:paraId="7F405B80" w14:textId="77777777" w:rsidR="008E185D" w:rsidRPr="00E008E9" w:rsidRDefault="008E185D" w:rsidP="008E185D">
      <w:pPr>
        <w:rPr>
          <w:rFonts w:asciiTheme="minorHAnsi" w:hAnsiTheme="minorHAnsi"/>
          <w:color w:val="FF0000"/>
          <w:sz w:val="24"/>
          <w:szCs w:val="22"/>
        </w:rPr>
      </w:pPr>
    </w:p>
    <w:p w14:paraId="3842AC8D" w14:textId="17673A8B" w:rsidR="008E185D" w:rsidRPr="00E008E9" w:rsidRDefault="008E185D" w:rsidP="00E008E9">
      <w:pPr>
        <w:pStyle w:val="NormalNoIndent"/>
        <w:ind w:firstLine="432"/>
        <w:rPr>
          <w:rFonts w:asciiTheme="minorHAnsi" w:hAnsiTheme="minorHAnsi"/>
          <w:color w:val="FF0000"/>
          <w:sz w:val="24"/>
          <w:szCs w:val="22"/>
        </w:rPr>
      </w:pPr>
      <w:r w:rsidRPr="00E008E9">
        <w:rPr>
          <w:rFonts w:asciiTheme="minorHAnsi" w:hAnsiTheme="minorHAnsi"/>
          <w:color w:val="FF0000"/>
          <w:sz w:val="24"/>
          <w:szCs w:val="22"/>
        </w:rPr>
        <w:t>[</w:t>
      </w:r>
      <w:bookmarkStart w:id="5" w:name="_Toc519683163"/>
      <w:bookmarkStart w:id="6" w:name="_Toc201424447"/>
      <w:r w:rsidR="00E008E9" w:rsidRPr="00E008E9">
        <w:rPr>
          <w:rFonts w:asciiTheme="minorHAnsi" w:hAnsiTheme="minorHAnsi"/>
          <w:color w:val="FF0000"/>
          <w:sz w:val="24"/>
          <w:szCs w:val="22"/>
        </w:rPr>
        <w:t xml:space="preserve">The opinion in </w:t>
      </w:r>
      <w:r w:rsidRPr="00E008E9">
        <w:rPr>
          <w:rFonts w:asciiTheme="minorHAnsi" w:hAnsiTheme="minorHAnsi"/>
          <w:i/>
          <w:iCs/>
          <w:color w:val="FF0000"/>
          <w:sz w:val="24"/>
          <w:szCs w:val="22"/>
        </w:rPr>
        <w:t>MPS Entm’t, LLC v. Abercrombie &amp; Fitch Stores, Inc.</w:t>
      </w:r>
      <w:bookmarkEnd w:id="5"/>
      <w:bookmarkEnd w:id="6"/>
      <w:r w:rsidR="00E008E9" w:rsidRPr="00E008E9">
        <w:rPr>
          <w:rFonts w:asciiTheme="minorHAnsi" w:hAnsiTheme="minorHAnsi"/>
          <w:color w:val="FF0000"/>
          <w:sz w:val="24"/>
          <w:szCs w:val="22"/>
        </w:rPr>
        <w:t xml:space="preserve"> is available separately.</w:t>
      </w:r>
      <w:r w:rsidRPr="00E008E9">
        <w:rPr>
          <w:rFonts w:asciiTheme="minorHAnsi" w:hAnsiTheme="minorHAnsi"/>
          <w:color w:val="FF0000"/>
          <w:sz w:val="24"/>
          <w:szCs w:val="22"/>
        </w:rPr>
        <w:t>]</w:t>
      </w:r>
    </w:p>
    <w:p w14:paraId="6D1CB30A" w14:textId="77777777" w:rsidR="008E185D" w:rsidRPr="00E008E9" w:rsidRDefault="008E185D" w:rsidP="008E185D">
      <w:pPr>
        <w:pStyle w:val="OpinionCitation"/>
        <w:rPr>
          <w:rFonts w:asciiTheme="minorHAnsi" w:hAnsiTheme="minorHAnsi"/>
        </w:rPr>
      </w:pPr>
    </w:p>
    <w:p w14:paraId="39307317" w14:textId="77777777" w:rsidR="008E185D" w:rsidRPr="00E008E9" w:rsidRDefault="008E185D" w:rsidP="008E185D">
      <w:pPr>
        <w:pStyle w:val="Heading3"/>
        <w:rPr>
          <w:rFonts w:asciiTheme="minorHAnsi" w:hAnsiTheme="minorHAnsi"/>
        </w:rPr>
      </w:pPr>
      <w:bookmarkStart w:id="7" w:name="_Toc519683156"/>
      <w:bookmarkStart w:id="8" w:name="_Toc201424448"/>
      <w:r w:rsidRPr="00E008E9">
        <w:rPr>
          <w:rFonts w:asciiTheme="minorHAnsi" w:hAnsiTheme="minorHAnsi"/>
        </w:rPr>
        <w:t>2.</w:t>
      </w:r>
      <w:r w:rsidRPr="00E008E9">
        <w:rPr>
          <w:rFonts w:asciiTheme="minorHAnsi" w:hAnsiTheme="minorHAnsi"/>
        </w:rPr>
        <w:tab/>
        <w:t xml:space="preserve">The </w:t>
      </w:r>
      <w:r w:rsidRPr="00E008E9">
        <w:rPr>
          <w:rFonts w:asciiTheme="minorHAnsi" w:hAnsiTheme="minorHAnsi"/>
          <w:i/>
        </w:rPr>
        <w:t>Rogers v. Grimaldi</w:t>
      </w:r>
      <w:r w:rsidRPr="00E008E9">
        <w:rPr>
          <w:rFonts w:asciiTheme="minorHAnsi" w:hAnsiTheme="minorHAnsi"/>
        </w:rPr>
        <w:t xml:space="preserve"> Test for Unauthorized “Artistic” Uses</w:t>
      </w:r>
      <w:bookmarkEnd w:id="7"/>
      <w:bookmarkEnd w:id="8"/>
    </w:p>
    <w:p w14:paraId="5C038B4E" w14:textId="77777777" w:rsidR="00E008E9" w:rsidRPr="00E008E9" w:rsidRDefault="00E008E9" w:rsidP="00E008E9">
      <w:pPr>
        <w:rPr>
          <w:rFonts w:asciiTheme="minorHAnsi" w:hAnsiTheme="minorHAnsi"/>
        </w:rPr>
      </w:pPr>
    </w:p>
    <w:p w14:paraId="12BC0376"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In </w:t>
      </w:r>
      <w:r w:rsidRPr="00E008E9">
        <w:rPr>
          <w:rFonts w:asciiTheme="minorHAnsi" w:hAnsiTheme="minorHAnsi"/>
          <w:i/>
          <w:sz w:val="24"/>
          <w:szCs w:val="22"/>
        </w:rPr>
        <w:t>Rogers v. Grimaldi</w:t>
      </w:r>
      <w:r w:rsidRPr="00E008E9">
        <w:rPr>
          <w:rFonts w:asciiTheme="minorHAnsi" w:hAnsiTheme="minorHAnsi"/>
          <w:sz w:val="24"/>
          <w:szCs w:val="22"/>
        </w:rPr>
        <w:t xml:space="preserve">, 875 F.2d 994 (2d Cir. 1989), Ginger Rogers (of the dance duo with Fred Astaire) sued the producers of the Federico Fellini film </w:t>
      </w:r>
      <w:r w:rsidRPr="00E008E9">
        <w:rPr>
          <w:rFonts w:asciiTheme="minorHAnsi" w:hAnsiTheme="minorHAnsi"/>
          <w:i/>
          <w:sz w:val="24"/>
          <w:szCs w:val="22"/>
        </w:rPr>
        <w:t>Ginger and Fred</w:t>
      </w:r>
      <w:r w:rsidRPr="00E008E9">
        <w:rPr>
          <w:rFonts w:asciiTheme="minorHAnsi" w:hAnsiTheme="minorHAnsi"/>
          <w:sz w:val="24"/>
          <w:szCs w:val="22"/>
        </w:rPr>
        <w:t xml:space="preserve"> for using her name in the film’s title. “The film tells the story of two fictional Italian cabaret performers, Pippo and Amelia, who, in their heyday, imitated Rogers and Astaire and became known in Italy as ‘Ginger and Fred.’ The film focuses on a televised reunion of Pippo and Amelia, many years after their retirement. Appellees describe the film as the bittersweet story of these two fictional dancers and as a satire of contemporary television variety shows.” </w:t>
      </w:r>
      <w:r w:rsidRPr="00E008E9">
        <w:rPr>
          <w:rFonts w:asciiTheme="minorHAnsi" w:hAnsiTheme="minorHAnsi"/>
          <w:i/>
          <w:sz w:val="24"/>
          <w:szCs w:val="22"/>
        </w:rPr>
        <w:t>Id</w:t>
      </w:r>
      <w:r w:rsidRPr="00E008E9">
        <w:rPr>
          <w:rFonts w:asciiTheme="minorHAnsi" w:hAnsiTheme="minorHAnsi"/>
          <w:sz w:val="24"/>
          <w:szCs w:val="22"/>
        </w:rPr>
        <w:t xml:space="preserve">. at 996-97. The district court noted that “Rogers has submitted a market research survey dated July 1986 which reports that based on approximately 200 interviews in Boston and New York (Staten Island) 43% of those exposed to the Film's title only connected the Film with Rogers and that 27% of those exposed to the Film's advertisement connected the Film with Rogers.” </w:t>
      </w:r>
      <w:r w:rsidRPr="00E008E9">
        <w:rPr>
          <w:rFonts w:asciiTheme="minorHAnsi" w:hAnsiTheme="minorHAnsi"/>
          <w:i/>
          <w:iCs/>
          <w:sz w:val="24"/>
          <w:szCs w:val="22"/>
        </w:rPr>
        <w:t>Rogers v. Grimaldi</w:t>
      </w:r>
      <w:r w:rsidRPr="00E008E9">
        <w:rPr>
          <w:rFonts w:asciiTheme="minorHAnsi" w:hAnsiTheme="minorHAnsi"/>
          <w:sz w:val="24"/>
          <w:szCs w:val="22"/>
        </w:rPr>
        <w:t xml:space="preserve">, 695 F. Supp. 112, 115 (S.D.N.Y. 1988). Nevertheless, the district court granted the defendants’ motion for summary judgment and the Second Circuit affirmed. </w:t>
      </w:r>
    </w:p>
    <w:p w14:paraId="51DD91FE"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In finding no violation of Rogers’ Lanham Act § 43(a) rights, the Second Circuit sought to strike a balance between two competing policy objectives and in the process gave birth to the </w:t>
      </w:r>
      <w:r w:rsidRPr="00E008E9">
        <w:rPr>
          <w:rFonts w:asciiTheme="minorHAnsi" w:hAnsiTheme="minorHAnsi"/>
          <w:i/>
          <w:sz w:val="24"/>
          <w:szCs w:val="22"/>
        </w:rPr>
        <w:t>Rogers v. Grimaldi</w:t>
      </w:r>
      <w:r w:rsidRPr="00E008E9">
        <w:rPr>
          <w:rFonts w:asciiTheme="minorHAnsi" w:hAnsiTheme="minorHAnsi"/>
          <w:sz w:val="24"/>
          <w:szCs w:val="22"/>
        </w:rPr>
        <w:t xml:space="preserve"> test:</w:t>
      </w:r>
    </w:p>
    <w:p w14:paraId="3C36AC18" w14:textId="77777777" w:rsidR="008E185D" w:rsidRPr="00E008E9" w:rsidRDefault="008E185D" w:rsidP="008E185D">
      <w:pPr>
        <w:pStyle w:val="Blockquote"/>
        <w:rPr>
          <w:rFonts w:asciiTheme="minorHAnsi" w:hAnsiTheme="minorHAnsi"/>
          <w:sz w:val="24"/>
          <w:szCs w:val="22"/>
        </w:rPr>
      </w:pPr>
      <w:r w:rsidRPr="00E008E9">
        <w:rPr>
          <w:rFonts w:asciiTheme="minorHAnsi" w:hAnsiTheme="minorHAnsi"/>
          <w:sz w:val="24"/>
          <w:szCs w:val="22"/>
        </w:rPr>
        <w:t>We believe that in general the {Lanham} Act should be construed to apply to artistic works only where the public interest in avoiding consumer confusion outweighs the public interest in free expression. In the context of allegedly misleading titles using a celebrity’s name, that balance will normally not support application of the Act unless the title has no artistic relevance to the underlying work whatsoever, or, if it has some artistic relevance, unless the title explicitly misleads as to the source or the content of the work.</w:t>
      </w:r>
    </w:p>
    <w:p w14:paraId="1874E100" w14:textId="77777777" w:rsidR="008E185D" w:rsidRPr="00E008E9" w:rsidRDefault="008E185D" w:rsidP="008E185D">
      <w:pPr>
        <w:pStyle w:val="NormalNoIndent"/>
        <w:rPr>
          <w:rFonts w:asciiTheme="minorHAnsi" w:hAnsiTheme="minorHAnsi"/>
          <w:sz w:val="24"/>
          <w:szCs w:val="22"/>
        </w:rPr>
      </w:pPr>
      <w:r w:rsidRPr="00E008E9">
        <w:rPr>
          <w:rFonts w:asciiTheme="minorHAnsi" w:hAnsiTheme="minorHAnsi"/>
          <w:i/>
          <w:sz w:val="24"/>
          <w:szCs w:val="22"/>
        </w:rPr>
        <w:t>Id</w:t>
      </w:r>
      <w:r w:rsidRPr="00E008E9">
        <w:rPr>
          <w:rFonts w:asciiTheme="minorHAnsi" w:hAnsiTheme="minorHAnsi"/>
          <w:sz w:val="24"/>
          <w:szCs w:val="22"/>
        </w:rPr>
        <w:t>. at 999.</w:t>
      </w:r>
    </w:p>
    <w:p w14:paraId="56E86D07"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lastRenderedPageBreak/>
        <w:t xml:space="preserve">In the first opinion that follows, </w:t>
      </w:r>
      <w:r w:rsidRPr="00E008E9">
        <w:rPr>
          <w:rFonts w:asciiTheme="minorHAnsi" w:hAnsiTheme="minorHAnsi"/>
          <w:i/>
          <w:sz w:val="24"/>
          <w:szCs w:val="22"/>
        </w:rPr>
        <w:t>Gordon v. Drape Creative</w:t>
      </w:r>
      <w:r w:rsidRPr="00E008E9">
        <w:rPr>
          <w:rFonts w:asciiTheme="minorHAnsi" w:hAnsiTheme="minorHAnsi"/>
          <w:sz w:val="24"/>
          <w:szCs w:val="22"/>
        </w:rPr>
        <w:t xml:space="preserve">, 909 F.3d 257 (9th Cir. Nov. 20, 2018), we consider a controversial application of the </w:t>
      </w:r>
      <w:r w:rsidRPr="00E008E9">
        <w:rPr>
          <w:rFonts w:asciiTheme="minorHAnsi" w:hAnsiTheme="minorHAnsi"/>
          <w:i/>
          <w:sz w:val="24"/>
          <w:szCs w:val="22"/>
        </w:rPr>
        <w:t>Rogers</w:t>
      </w:r>
      <w:r w:rsidRPr="00E008E9">
        <w:rPr>
          <w:rFonts w:asciiTheme="minorHAnsi" w:hAnsiTheme="minorHAnsi"/>
          <w:sz w:val="24"/>
          <w:szCs w:val="22"/>
        </w:rPr>
        <w:t xml:space="preserve"> test involving the meme “Honey Badger Don’t Care.” The Ninth Circuit had initially issued its opinion in </w:t>
      </w:r>
      <w:r w:rsidRPr="00E008E9">
        <w:rPr>
          <w:rFonts w:asciiTheme="minorHAnsi" w:hAnsiTheme="minorHAnsi"/>
          <w:i/>
          <w:sz w:val="24"/>
          <w:szCs w:val="22"/>
        </w:rPr>
        <w:t>Gordon</w:t>
      </w:r>
      <w:r w:rsidRPr="00E008E9">
        <w:rPr>
          <w:rFonts w:asciiTheme="minorHAnsi" w:hAnsiTheme="minorHAnsi"/>
          <w:sz w:val="24"/>
          <w:szCs w:val="22"/>
        </w:rPr>
        <w:t xml:space="preserve"> in July 2018, but largely in response to an amicus brief filed by a group of intellectual property law professors, the court withdrew that opinion four months later and issued the opinion below, which represents a slight modification (too slight, some would say) of the previous opinion. Most previous applications of the </w:t>
      </w:r>
      <w:r w:rsidRPr="00E008E9">
        <w:rPr>
          <w:rFonts w:asciiTheme="minorHAnsi" w:hAnsiTheme="minorHAnsi"/>
          <w:i/>
          <w:sz w:val="24"/>
          <w:szCs w:val="22"/>
        </w:rPr>
        <w:t>Rogers</w:t>
      </w:r>
      <w:r w:rsidRPr="00E008E9">
        <w:rPr>
          <w:rFonts w:asciiTheme="minorHAnsi" w:hAnsiTheme="minorHAnsi"/>
          <w:sz w:val="24"/>
          <w:szCs w:val="22"/>
        </w:rPr>
        <w:t xml:space="preserve"> test that are reviewed in </w:t>
      </w:r>
      <w:r w:rsidRPr="00E008E9">
        <w:rPr>
          <w:rFonts w:asciiTheme="minorHAnsi" w:hAnsiTheme="minorHAnsi"/>
          <w:i/>
          <w:sz w:val="24"/>
          <w:szCs w:val="22"/>
        </w:rPr>
        <w:t>Gordon</w:t>
      </w:r>
      <w:r w:rsidRPr="00E008E9">
        <w:rPr>
          <w:rFonts w:asciiTheme="minorHAnsi" w:hAnsiTheme="minorHAnsi"/>
          <w:sz w:val="24"/>
          <w:szCs w:val="22"/>
        </w:rPr>
        <w:t xml:space="preserve"> were basically easy cases in which the defendant clearly should have prevailed. </w:t>
      </w:r>
      <w:r w:rsidRPr="00E008E9">
        <w:rPr>
          <w:rFonts w:asciiTheme="minorHAnsi" w:hAnsiTheme="minorHAnsi"/>
          <w:i/>
          <w:sz w:val="24"/>
          <w:szCs w:val="22"/>
        </w:rPr>
        <w:t>Gordon</w:t>
      </w:r>
      <w:r w:rsidRPr="00E008E9">
        <w:rPr>
          <w:rFonts w:asciiTheme="minorHAnsi" w:hAnsiTheme="minorHAnsi"/>
          <w:sz w:val="24"/>
          <w:szCs w:val="22"/>
        </w:rPr>
        <w:t xml:space="preserve"> is significant because it presented a substantially harder set of facts, one involving a defendant arguably acting in bad faith and without artistic motive to misappropriate the plaintiff’s trademark.</w:t>
      </w:r>
    </w:p>
    <w:p w14:paraId="2DAB8FF1"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In the second opinion, </w:t>
      </w:r>
      <w:r w:rsidRPr="00E008E9">
        <w:rPr>
          <w:rFonts w:asciiTheme="minorHAnsi" w:hAnsiTheme="minorHAnsi"/>
          <w:i/>
          <w:iCs/>
          <w:sz w:val="24"/>
          <w:szCs w:val="22"/>
        </w:rPr>
        <w:t>Jack Daniel’s Props. v. VIP Prods. LLC</w:t>
      </w:r>
      <w:r w:rsidRPr="00E008E9">
        <w:rPr>
          <w:rFonts w:asciiTheme="minorHAnsi" w:hAnsiTheme="minorHAnsi"/>
          <w:sz w:val="24"/>
          <w:szCs w:val="22"/>
        </w:rPr>
        <w:t xml:space="preserve">, 599 U.S. 140 (2023), the Supreme Court established a significant limitation on the applicability of the </w:t>
      </w:r>
      <w:r w:rsidRPr="00E008E9">
        <w:rPr>
          <w:rFonts w:asciiTheme="minorHAnsi" w:hAnsiTheme="minorHAnsi"/>
          <w:i/>
          <w:iCs/>
          <w:sz w:val="24"/>
          <w:szCs w:val="22"/>
        </w:rPr>
        <w:t>Rogers v. Grimaldi</w:t>
      </w:r>
      <w:r w:rsidRPr="00E008E9">
        <w:rPr>
          <w:rFonts w:asciiTheme="minorHAnsi" w:hAnsiTheme="minorHAnsi"/>
          <w:sz w:val="24"/>
          <w:szCs w:val="22"/>
        </w:rPr>
        <w:t xml:space="preserve"> test. Did the Court reach the right result?</w:t>
      </w:r>
    </w:p>
    <w:p w14:paraId="0D937CEE" w14:textId="77777777" w:rsidR="008E185D" w:rsidRPr="00E008E9" w:rsidRDefault="008E185D" w:rsidP="008E185D">
      <w:pPr>
        <w:pStyle w:val="Centered"/>
        <w:jc w:val="both"/>
        <w:rPr>
          <w:rFonts w:asciiTheme="minorHAnsi" w:hAnsiTheme="minorHAnsi"/>
          <w:sz w:val="24"/>
          <w:szCs w:val="22"/>
        </w:rPr>
      </w:pPr>
    </w:p>
    <w:p w14:paraId="6E2C64D7" w14:textId="38DE944D" w:rsidR="008E185D" w:rsidRPr="00E008E9" w:rsidRDefault="008E185D" w:rsidP="008E185D">
      <w:pPr>
        <w:pStyle w:val="Heading7"/>
        <w:rPr>
          <w:rFonts w:asciiTheme="minorHAnsi" w:hAnsiTheme="minorHAnsi"/>
          <w:color w:val="FF0000"/>
          <w:sz w:val="24"/>
          <w:szCs w:val="22"/>
        </w:rPr>
      </w:pPr>
      <w:bookmarkStart w:id="9" w:name="_Toc201424449"/>
      <w:r w:rsidRPr="00E008E9">
        <w:rPr>
          <w:rFonts w:asciiTheme="minorHAnsi" w:hAnsiTheme="minorHAnsi"/>
          <w:color w:val="FF0000"/>
          <w:sz w:val="24"/>
          <w:szCs w:val="22"/>
        </w:rPr>
        <w:t>[</w:t>
      </w:r>
      <w:r w:rsidR="00E008E9" w:rsidRPr="00E008E9">
        <w:rPr>
          <w:rFonts w:asciiTheme="minorHAnsi" w:hAnsiTheme="minorHAnsi"/>
          <w:color w:val="FF0000"/>
          <w:sz w:val="24"/>
          <w:szCs w:val="22"/>
        </w:rPr>
        <w:t xml:space="preserve">The opinion in </w:t>
      </w:r>
      <w:r w:rsidRPr="00E008E9">
        <w:rPr>
          <w:rFonts w:asciiTheme="minorHAnsi" w:hAnsiTheme="minorHAnsi"/>
          <w:i/>
          <w:iCs/>
          <w:color w:val="FF0000"/>
          <w:sz w:val="24"/>
          <w:szCs w:val="22"/>
        </w:rPr>
        <w:t>Gordon v. Drape Creative, Inc.</w:t>
      </w:r>
      <w:bookmarkEnd w:id="9"/>
      <w:r w:rsidR="00E008E9" w:rsidRPr="00E008E9">
        <w:rPr>
          <w:rFonts w:asciiTheme="minorHAnsi" w:hAnsiTheme="minorHAnsi"/>
          <w:color w:val="FF0000"/>
          <w:sz w:val="24"/>
          <w:szCs w:val="22"/>
        </w:rPr>
        <w:t xml:space="preserve"> is available separately.</w:t>
      </w:r>
      <w:r w:rsidRPr="00E008E9">
        <w:rPr>
          <w:rFonts w:asciiTheme="minorHAnsi" w:hAnsiTheme="minorHAnsi"/>
          <w:color w:val="FF0000"/>
          <w:sz w:val="24"/>
          <w:szCs w:val="22"/>
        </w:rPr>
        <w:t>]</w:t>
      </w:r>
    </w:p>
    <w:p w14:paraId="5A8E91CA" w14:textId="01427072" w:rsidR="008E185D" w:rsidRPr="00E008E9" w:rsidRDefault="008E185D" w:rsidP="008E185D">
      <w:pPr>
        <w:rPr>
          <w:rFonts w:asciiTheme="minorHAnsi" w:hAnsiTheme="minorHAnsi"/>
          <w:sz w:val="24"/>
          <w:szCs w:val="22"/>
        </w:rPr>
      </w:pPr>
    </w:p>
    <w:p w14:paraId="2A7BD4B1" w14:textId="2FBC23C4" w:rsidR="008E185D" w:rsidRPr="00E008E9" w:rsidRDefault="008E185D" w:rsidP="008E185D">
      <w:pPr>
        <w:pStyle w:val="CommentsandQuestions"/>
        <w:rPr>
          <w:rFonts w:asciiTheme="minorHAnsi" w:hAnsiTheme="minorHAnsi"/>
          <w:b w:val="0"/>
          <w:bCs/>
          <w:sz w:val="24"/>
          <w:szCs w:val="22"/>
        </w:rPr>
      </w:pPr>
      <w:r w:rsidRPr="00E008E9">
        <w:rPr>
          <w:rStyle w:val="CommentsandQuestionsChar"/>
          <w:rFonts w:asciiTheme="minorHAnsi" w:hAnsiTheme="minorHAnsi"/>
          <w:b/>
          <w:bCs/>
          <w:sz w:val="24"/>
          <w:szCs w:val="22"/>
        </w:rPr>
        <w:t>Questions and C</w:t>
      </w:r>
      <w:r w:rsidR="00E008E9" w:rsidRPr="00E008E9">
        <w:rPr>
          <w:rStyle w:val="CommentsandQuestionsChar"/>
          <w:rFonts w:asciiTheme="minorHAnsi" w:hAnsiTheme="minorHAnsi"/>
          <w:b/>
          <w:bCs/>
          <w:sz w:val="24"/>
          <w:szCs w:val="22"/>
        </w:rPr>
        <w:t>omments</w:t>
      </w:r>
    </w:p>
    <w:p w14:paraId="6B9B49C3"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1. </w:t>
      </w:r>
      <w:r w:rsidRPr="00E008E9">
        <w:rPr>
          <w:rFonts w:asciiTheme="minorHAnsi" w:hAnsiTheme="minorHAnsi"/>
          <w:i/>
          <w:iCs/>
          <w:sz w:val="24"/>
          <w:szCs w:val="22"/>
        </w:rPr>
        <w:t xml:space="preserve">Do the trademarks in </w:t>
      </w:r>
      <w:r w:rsidRPr="00E008E9">
        <w:rPr>
          <w:rFonts w:asciiTheme="minorHAnsi" w:hAnsiTheme="minorHAnsi"/>
          <w:sz w:val="24"/>
          <w:szCs w:val="22"/>
        </w:rPr>
        <w:t>Gordon</w:t>
      </w:r>
      <w:r w:rsidRPr="00E008E9">
        <w:rPr>
          <w:rFonts w:asciiTheme="minorHAnsi" w:hAnsiTheme="minorHAnsi"/>
          <w:i/>
          <w:iCs/>
          <w:sz w:val="24"/>
          <w:szCs w:val="22"/>
        </w:rPr>
        <w:t xml:space="preserve"> deserve protection?</w:t>
      </w:r>
      <w:r w:rsidRPr="00E008E9">
        <w:rPr>
          <w:rFonts w:asciiTheme="minorHAnsi" w:hAnsiTheme="minorHAnsi"/>
          <w:sz w:val="24"/>
          <w:szCs w:val="22"/>
        </w:rPr>
        <w:t xml:space="preserve"> The protectability of Gordon’s mark was never seriously in question in the case, but as a policy matter, are you persuaded that </w:t>
      </w:r>
      <w:r w:rsidRPr="00E008E9">
        <w:rPr>
          <w:rFonts w:asciiTheme="minorHAnsi" w:hAnsiTheme="minorHAnsi"/>
          <w:smallCaps/>
          <w:sz w:val="24"/>
          <w:szCs w:val="22"/>
        </w:rPr>
        <w:t>honey badger don’t care</w:t>
      </w:r>
      <w:r w:rsidRPr="00E008E9">
        <w:rPr>
          <w:rFonts w:asciiTheme="minorHAnsi" w:hAnsiTheme="minorHAnsi"/>
          <w:sz w:val="24"/>
          <w:szCs w:val="22"/>
        </w:rPr>
        <w:t xml:space="preserve"> should qualify as a protectable trademark for greeting cards?</w:t>
      </w:r>
    </w:p>
    <w:p w14:paraId="3F69B846"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2. Rogers’ </w:t>
      </w:r>
      <w:r w:rsidRPr="00E008E9">
        <w:rPr>
          <w:rFonts w:asciiTheme="minorHAnsi" w:hAnsiTheme="minorHAnsi"/>
          <w:i/>
          <w:iCs/>
          <w:sz w:val="24"/>
          <w:szCs w:val="22"/>
        </w:rPr>
        <w:t>second prong</w:t>
      </w:r>
      <w:r w:rsidRPr="00E008E9">
        <w:rPr>
          <w:rFonts w:asciiTheme="minorHAnsi" w:hAnsiTheme="minorHAnsi"/>
          <w:sz w:val="24"/>
          <w:szCs w:val="22"/>
        </w:rPr>
        <w:t xml:space="preserve">. Much of the controversy surrounding the </w:t>
      </w:r>
      <w:r w:rsidRPr="00E008E9">
        <w:rPr>
          <w:rFonts w:asciiTheme="minorHAnsi" w:hAnsiTheme="minorHAnsi"/>
          <w:i/>
          <w:iCs/>
          <w:sz w:val="24"/>
          <w:szCs w:val="22"/>
        </w:rPr>
        <w:t>Gordon</w:t>
      </w:r>
      <w:r w:rsidRPr="00E008E9">
        <w:rPr>
          <w:rFonts w:asciiTheme="minorHAnsi" w:hAnsiTheme="minorHAnsi"/>
          <w:sz w:val="24"/>
          <w:szCs w:val="22"/>
        </w:rPr>
        <w:t xml:space="preserve"> opinion is focused on its treatment of the second prong of the </w:t>
      </w:r>
      <w:r w:rsidRPr="00E008E9">
        <w:rPr>
          <w:rFonts w:asciiTheme="minorHAnsi" w:hAnsiTheme="minorHAnsi"/>
          <w:i/>
          <w:iCs/>
          <w:sz w:val="24"/>
          <w:szCs w:val="22"/>
        </w:rPr>
        <w:t>Rogers</w:t>
      </w:r>
      <w:r w:rsidRPr="00E008E9">
        <w:rPr>
          <w:rFonts w:asciiTheme="minorHAnsi" w:hAnsiTheme="minorHAnsi"/>
          <w:sz w:val="24"/>
          <w:szCs w:val="22"/>
        </w:rPr>
        <w:t xml:space="preserve"> test, going to whether the defendant’s conduct “explicitly misleads as to the source . . . of the work.” Previous case law had adopted an exceedingly defendant-friendly approach to this prong. For example, in </w:t>
      </w:r>
      <w:r w:rsidRPr="00E008E9">
        <w:rPr>
          <w:rFonts w:asciiTheme="minorHAnsi" w:hAnsiTheme="minorHAnsi"/>
          <w:i/>
          <w:iCs/>
          <w:sz w:val="24"/>
          <w:szCs w:val="22"/>
        </w:rPr>
        <w:t>Brown v. Electronic Arts</w:t>
      </w:r>
      <w:r w:rsidRPr="00E008E9">
        <w:rPr>
          <w:rFonts w:asciiTheme="minorHAnsi" w:hAnsiTheme="minorHAnsi"/>
          <w:sz w:val="24"/>
          <w:szCs w:val="22"/>
        </w:rPr>
        <w:t>, 724 F.3d 1235 (9th Cir. 2013), the case involving the video game maker’s use of Jim Brown’s likeness, the Ninth Circuit explained that even persuasive survey evidence showing consumer confusion would not be enough to satisfy the prong:</w:t>
      </w:r>
    </w:p>
    <w:p w14:paraId="55CF27C6" w14:textId="77777777" w:rsidR="008E185D" w:rsidRPr="00E008E9" w:rsidRDefault="008E185D" w:rsidP="008E185D">
      <w:pPr>
        <w:pStyle w:val="Blockquote"/>
        <w:rPr>
          <w:rFonts w:asciiTheme="minorHAnsi" w:hAnsiTheme="minorHAnsi"/>
          <w:sz w:val="24"/>
          <w:szCs w:val="22"/>
        </w:rPr>
      </w:pPr>
      <w:r w:rsidRPr="00E008E9">
        <w:rPr>
          <w:rFonts w:asciiTheme="minorHAnsi" w:hAnsiTheme="minorHAnsi"/>
          <w:sz w:val="24"/>
          <w:szCs w:val="22"/>
        </w:rPr>
        <w:t xml:space="preserve">The test requires that the use be </w:t>
      </w:r>
      <w:r w:rsidRPr="00E008E9">
        <w:rPr>
          <w:rFonts w:asciiTheme="minorHAnsi" w:hAnsiTheme="minorHAnsi"/>
          <w:i/>
          <w:iCs/>
          <w:sz w:val="24"/>
          <w:szCs w:val="22"/>
        </w:rPr>
        <w:t>explicitly</w:t>
      </w:r>
      <w:r w:rsidRPr="00E008E9">
        <w:rPr>
          <w:rFonts w:asciiTheme="minorHAnsi" w:hAnsiTheme="minorHAnsi"/>
          <w:sz w:val="24"/>
          <w:szCs w:val="22"/>
        </w:rPr>
        <w:t xml:space="preserve"> misleading to consumers. To be relevant, evidence must relate to the nature of the behavior of the identifying material’s user, not the impact of the use. Even if Brown could offer a survey demonstrating that consumers of the Madden NFL series believed that Brown endorsed the game, that would not support the claim that the use was explicitly misleading to consumers.</w:t>
      </w:r>
    </w:p>
    <w:p w14:paraId="0735C8AD" w14:textId="77777777" w:rsidR="008E185D" w:rsidRPr="00E008E9" w:rsidRDefault="008E185D" w:rsidP="008E185D">
      <w:pPr>
        <w:pStyle w:val="NormalNoIndent"/>
        <w:rPr>
          <w:rFonts w:asciiTheme="minorHAnsi" w:hAnsiTheme="minorHAnsi"/>
          <w:sz w:val="24"/>
          <w:szCs w:val="22"/>
        </w:rPr>
      </w:pPr>
      <w:r w:rsidRPr="00E008E9">
        <w:rPr>
          <w:rFonts w:asciiTheme="minorHAnsi" w:hAnsiTheme="minorHAnsi"/>
          <w:i/>
          <w:iCs/>
          <w:sz w:val="24"/>
          <w:szCs w:val="22"/>
        </w:rPr>
        <w:t>Id</w:t>
      </w:r>
      <w:r w:rsidRPr="00E008E9">
        <w:rPr>
          <w:rFonts w:asciiTheme="minorHAnsi" w:hAnsiTheme="minorHAnsi"/>
          <w:sz w:val="24"/>
          <w:szCs w:val="22"/>
        </w:rPr>
        <w:t xml:space="preserve">. at 1245-46 (emphasis in original). </w:t>
      </w:r>
      <w:r w:rsidRPr="00E008E9">
        <w:rPr>
          <w:rFonts w:asciiTheme="minorHAnsi" w:hAnsiTheme="minorHAnsi"/>
          <w:i/>
          <w:iCs/>
          <w:sz w:val="24"/>
          <w:szCs w:val="22"/>
        </w:rPr>
        <w:t>Gordon</w:t>
      </w:r>
      <w:r w:rsidRPr="00E008E9">
        <w:rPr>
          <w:rFonts w:asciiTheme="minorHAnsi" w:hAnsiTheme="minorHAnsi"/>
          <w:sz w:val="24"/>
          <w:szCs w:val="22"/>
        </w:rPr>
        <w:t xml:space="preserve"> significantly modifies </w:t>
      </w:r>
      <w:r w:rsidRPr="00E008E9">
        <w:rPr>
          <w:rFonts w:asciiTheme="minorHAnsi" w:hAnsiTheme="minorHAnsi"/>
          <w:i/>
          <w:iCs/>
          <w:sz w:val="24"/>
          <w:szCs w:val="22"/>
        </w:rPr>
        <w:t>Rogers</w:t>
      </w:r>
      <w:r w:rsidRPr="00E008E9">
        <w:rPr>
          <w:rFonts w:asciiTheme="minorHAnsi" w:hAnsiTheme="minorHAnsi"/>
          <w:sz w:val="24"/>
          <w:szCs w:val="22"/>
        </w:rPr>
        <w:t xml:space="preserve">’ second prong by adding two “consideration[s]”, first, whether “the junior user uses the mark in the same way as the senior user,” and second, “the extent to which the junior user has added his or her own expressive content to the work beyond the mark itself.” If persuasive survey evidence </w:t>
      </w:r>
      <w:r w:rsidRPr="00E008E9">
        <w:rPr>
          <w:rFonts w:asciiTheme="minorHAnsi" w:hAnsiTheme="minorHAnsi"/>
          <w:sz w:val="24"/>
          <w:szCs w:val="22"/>
        </w:rPr>
        <w:lastRenderedPageBreak/>
        <w:t xml:space="preserve">showing consumer confusion is not enough to satisfy the “explicitly misleading” standard, then why would the defendant’s use “in the same way” or in a non-additive manner satisfy the standard? Do these considerations address the question of whether the defendant’s conduct explicitly misleads or are they ultimately concerned with other goals? Keep in mind that the </w:t>
      </w:r>
      <w:r w:rsidRPr="00E008E9">
        <w:rPr>
          <w:rFonts w:asciiTheme="minorHAnsi" w:hAnsiTheme="minorHAnsi"/>
          <w:i/>
          <w:iCs/>
          <w:sz w:val="24"/>
          <w:szCs w:val="22"/>
        </w:rPr>
        <w:t>Rogers</w:t>
      </w:r>
      <w:r w:rsidRPr="00E008E9">
        <w:rPr>
          <w:rFonts w:asciiTheme="minorHAnsi" w:hAnsiTheme="minorHAnsi"/>
          <w:sz w:val="24"/>
          <w:szCs w:val="22"/>
        </w:rPr>
        <w:t xml:space="preserve">’ test was originally designed as a balancing test intended to determine when “the public interest in avoiding consumer confusion outweighs the public interest in free expression.” </w:t>
      </w:r>
      <w:r w:rsidRPr="00E008E9">
        <w:rPr>
          <w:rFonts w:asciiTheme="minorHAnsi" w:hAnsiTheme="minorHAnsi"/>
          <w:i/>
          <w:iCs/>
          <w:sz w:val="24"/>
          <w:szCs w:val="22"/>
        </w:rPr>
        <w:t>Rogers v. Grimaldi</w:t>
      </w:r>
      <w:r w:rsidRPr="00E008E9">
        <w:rPr>
          <w:rFonts w:asciiTheme="minorHAnsi" w:hAnsiTheme="minorHAnsi"/>
          <w:sz w:val="24"/>
          <w:szCs w:val="22"/>
        </w:rPr>
        <w:t>, 875 F.2d 994, 999 (2d Cir. 1989).</w:t>
      </w:r>
    </w:p>
    <w:p w14:paraId="35603DFC"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3. </w:t>
      </w:r>
      <w:r w:rsidRPr="00E008E9">
        <w:rPr>
          <w:rFonts w:asciiTheme="minorHAnsi" w:hAnsiTheme="minorHAnsi"/>
          <w:i/>
          <w:sz w:val="24"/>
          <w:szCs w:val="22"/>
        </w:rPr>
        <w:t>The</w:t>
      </w:r>
      <w:r w:rsidRPr="00E008E9">
        <w:rPr>
          <w:rFonts w:asciiTheme="minorHAnsi" w:hAnsiTheme="minorHAnsi"/>
          <w:sz w:val="24"/>
          <w:szCs w:val="22"/>
        </w:rPr>
        <w:t xml:space="preserve"> Rogers </w:t>
      </w:r>
      <w:r w:rsidRPr="00E008E9">
        <w:rPr>
          <w:rFonts w:asciiTheme="minorHAnsi" w:hAnsiTheme="minorHAnsi"/>
          <w:i/>
          <w:sz w:val="24"/>
          <w:szCs w:val="22"/>
        </w:rPr>
        <w:t xml:space="preserve">test and merchandising </w:t>
      </w:r>
      <w:proofErr w:type="gramStart"/>
      <w:r w:rsidRPr="00E008E9">
        <w:rPr>
          <w:rFonts w:asciiTheme="minorHAnsi" w:hAnsiTheme="minorHAnsi"/>
          <w:i/>
          <w:sz w:val="24"/>
          <w:szCs w:val="22"/>
        </w:rPr>
        <w:t>uses</w:t>
      </w:r>
      <w:proofErr w:type="gramEnd"/>
      <w:r w:rsidRPr="00E008E9">
        <w:rPr>
          <w:rFonts w:asciiTheme="minorHAnsi" w:hAnsiTheme="minorHAnsi"/>
          <w:i/>
          <w:sz w:val="24"/>
          <w:szCs w:val="22"/>
        </w:rPr>
        <w:t xml:space="preserve"> by the defendant</w:t>
      </w:r>
      <w:r w:rsidRPr="00E008E9">
        <w:rPr>
          <w:rFonts w:asciiTheme="minorHAnsi" w:hAnsiTheme="minorHAnsi"/>
          <w:sz w:val="24"/>
          <w:szCs w:val="22"/>
        </w:rPr>
        <w:t xml:space="preserve">. In </w:t>
      </w:r>
      <w:r w:rsidRPr="00E008E9">
        <w:rPr>
          <w:rFonts w:asciiTheme="minorHAnsi" w:hAnsiTheme="minorHAnsi"/>
          <w:i/>
          <w:sz w:val="24"/>
          <w:szCs w:val="22"/>
        </w:rPr>
        <w:t xml:space="preserve">Twentieth </w:t>
      </w:r>
      <w:proofErr w:type="gramStart"/>
      <w:r w:rsidRPr="00E008E9">
        <w:rPr>
          <w:rFonts w:asciiTheme="minorHAnsi" w:hAnsiTheme="minorHAnsi"/>
          <w:i/>
          <w:sz w:val="24"/>
          <w:szCs w:val="22"/>
        </w:rPr>
        <w:t>Century Fox</w:t>
      </w:r>
      <w:proofErr w:type="gramEnd"/>
      <w:r w:rsidRPr="00E008E9">
        <w:rPr>
          <w:rFonts w:asciiTheme="minorHAnsi" w:hAnsiTheme="minorHAnsi"/>
          <w:i/>
          <w:sz w:val="24"/>
          <w:szCs w:val="22"/>
        </w:rPr>
        <w:t xml:space="preserve"> Television v. Empire </w:t>
      </w:r>
      <w:proofErr w:type="spellStart"/>
      <w:r w:rsidRPr="00E008E9">
        <w:rPr>
          <w:rFonts w:asciiTheme="minorHAnsi" w:hAnsiTheme="minorHAnsi"/>
          <w:i/>
          <w:sz w:val="24"/>
          <w:szCs w:val="22"/>
        </w:rPr>
        <w:t>Distrib</w:t>
      </w:r>
      <w:proofErr w:type="spellEnd"/>
      <w:r w:rsidRPr="00E008E9">
        <w:rPr>
          <w:rFonts w:asciiTheme="minorHAnsi" w:hAnsiTheme="minorHAnsi"/>
          <w:i/>
          <w:sz w:val="24"/>
          <w:szCs w:val="22"/>
        </w:rPr>
        <w:t>., Inc</w:t>
      </w:r>
      <w:r w:rsidRPr="00E008E9">
        <w:rPr>
          <w:rFonts w:asciiTheme="minorHAnsi" w:hAnsiTheme="minorHAnsi"/>
          <w:sz w:val="24"/>
          <w:szCs w:val="22"/>
        </w:rPr>
        <w:t xml:space="preserve">., 875 F.3d 1192 (9th Cir. 2017), the plaintiff Empire Distribution was a “well-known and respected record label that records and releases albums in the urban music genre.” </w:t>
      </w:r>
      <w:r w:rsidRPr="00E008E9">
        <w:rPr>
          <w:rFonts w:asciiTheme="minorHAnsi" w:hAnsiTheme="minorHAnsi"/>
          <w:i/>
          <w:sz w:val="24"/>
          <w:szCs w:val="22"/>
        </w:rPr>
        <w:t>Id</w:t>
      </w:r>
      <w:r w:rsidRPr="00E008E9">
        <w:rPr>
          <w:rFonts w:asciiTheme="minorHAnsi" w:hAnsiTheme="minorHAnsi"/>
          <w:sz w:val="24"/>
          <w:szCs w:val="22"/>
        </w:rPr>
        <w:t xml:space="preserve">. at 1195. Not mentioned in </w:t>
      </w:r>
      <w:r w:rsidRPr="00E008E9">
        <w:rPr>
          <w:rFonts w:asciiTheme="minorHAnsi" w:hAnsiTheme="minorHAnsi"/>
          <w:i/>
          <w:sz w:val="24"/>
          <w:szCs w:val="22"/>
        </w:rPr>
        <w:t>Gordon</w:t>
      </w:r>
      <w:r w:rsidRPr="00E008E9">
        <w:rPr>
          <w:rFonts w:asciiTheme="minorHAnsi" w:hAnsiTheme="minorHAnsi"/>
          <w:sz w:val="24"/>
          <w:szCs w:val="22"/>
        </w:rPr>
        <w:t xml:space="preserve">’s review of </w:t>
      </w:r>
      <w:r w:rsidRPr="00E008E9">
        <w:rPr>
          <w:rFonts w:asciiTheme="minorHAnsi" w:hAnsiTheme="minorHAnsi"/>
          <w:i/>
          <w:sz w:val="24"/>
          <w:szCs w:val="22"/>
        </w:rPr>
        <w:t>Empire</w:t>
      </w:r>
      <w:r w:rsidRPr="00E008E9">
        <w:rPr>
          <w:rFonts w:asciiTheme="minorHAnsi" w:hAnsiTheme="minorHAnsi"/>
          <w:sz w:val="24"/>
          <w:szCs w:val="22"/>
        </w:rPr>
        <w:t xml:space="preserve"> was the fact that “</w:t>
      </w:r>
      <w:r w:rsidRPr="00E008E9">
        <w:rPr>
          <w:rFonts w:asciiTheme="minorHAnsi" w:hAnsiTheme="minorHAnsi"/>
          <w:color w:val="000000"/>
          <w:sz w:val="24"/>
          <w:szCs w:val="22"/>
        </w:rPr>
        <w:t xml:space="preserve">Fox has also promoted the </w:t>
      </w:r>
      <w:r w:rsidRPr="00E008E9">
        <w:rPr>
          <w:rFonts w:asciiTheme="minorHAnsi" w:hAnsiTheme="minorHAnsi"/>
          <w:i/>
          <w:iCs/>
          <w:color w:val="000000"/>
          <w:sz w:val="24"/>
          <w:szCs w:val="22"/>
        </w:rPr>
        <w:t>Empire</w:t>
      </w:r>
      <w:r w:rsidRPr="00E008E9">
        <w:rPr>
          <w:rFonts w:asciiTheme="minorHAnsi" w:hAnsiTheme="minorHAnsi"/>
          <w:color w:val="000000"/>
          <w:sz w:val="24"/>
          <w:szCs w:val="22"/>
        </w:rPr>
        <w:t xml:space="preserve"> show and its associated music through live musical performances, radio play, and consumer goods such as shirts and champagne glasses bearing the show’s ‘Empire’ brand.” </w:t>
      </w:r>
      <w:r w:rsidRPr="00E008E9">
        <w:rPr>
          <w:rFonts w:asciiTheme="minorHAnsi" w:hAnsiTheme="minorHAnsi"/>
          <w:i/>
          <w:color w:val="000000"/>
          <w:sz w:val="24"/>
          <w:szCs w:val="22"/>
        </w:rPr>
        <w:t>Id</w:t>
      </w:r>
      <w:r w:rsidRPr="00E008E9">
        <w:rPr>
          <w:rFonts w:asciiTheme="minorHAnsi" w:hAnsiTheme="minorHAnsi"/>
          <w:color w:val="000000"/>
          <w:sz w:val="24"/>
          <w:szCs w:val="22"/>
        </w:rPr>
        <w:t xml:space="preserve">. </w:t>
      </w:r>
      <w:r w:rsidRPr="00E008E9">
        <w:rPr>
          <w:rFonts w:asciiTheme="minorHAnsi" w:hAnsiTheme="minorHAnsi"/>
          <w:sz w:val="24"/>
          <w:szCs w:val="22"/>
        </w:rPr>
        <w:t xml:space="preserve">Empire Distribution asserted that this conduct should not be protected by </w:t>
      </w:r>
      <w:r w:rsidRPr="00E008E9">
        <w:rPr>
          <w:rFonts w:asciiTheme="minorHAnsi" w:hAnsiTheme="minorHAnsi"/>
          <w:i/>
          <w:sz w:val="24"/>
          <w:szCs w:val="22"/>
        </w:rPr>
        <w:t>Rogers</w:t>
      </w:r>
      <w:r w:rsidRPr="00E008E9">
        <w:rPr>
          <w:rFonts w:asciiTheme="minorHAnsi" w:hAnsiTheme="minorHAnsi"/>
          <w:sz w:val="24"/>
          <w:szCs w:val="22"/>
        </w:rPr>
        <w:t>. The Ninth Circuit disagreed:</w:t>
      </w:r>
    </w:p>
    <w:p w14:paraId="4836BBAC" w14:textId="77777777" w:rsidR="008E185D" w:rsidRPr="00E008E9" w:rsidRDefault="008E185D" w:rsidP="008E185D">
      <w:pPr>
        <w:pStyle w:val="Blockquote"/>
        <w:rPr>
          <w:rFonts w:asciiTheme="minorHAnsi" w:hAnsiTheme="minorHAnsi"/>
          <w:sz w:val="24"/>
          <w:szCs w:val="22"/>
        </w:rPr>
      </w:pPr>
      <w:r w:rsidRPr="00E008E9">
        <w:rPr>
          <w:rFonts w:asciiTheme="minorHAnsi" w:hAnsiTheme="minorHAnsi"/>
          <w:sz w:val="24"/>
          <w:szCs w:val="22"/>
        </w:rPr>
        <w:t xml:space="preserve">Although it is true that these promotional efforts technically fall outside the title or body of an expressive work, it requires only a minor logical extension of the reasoning </w:t>
      </w:r>
      <w:bookmarkStart w:id="10" w:name="co_pp_sp_506_1197_1"/>
      <w:bookmarkEnd w:id="10"/>
      <w:r w:rsidRPr="00E008E9">
        <w:rPr>
          <w:rFonts w:asciiTheme="minorHAnsi" w:hAnsiTheme="minorHAnsi"/>
          <w:sz w:val="24"/>
          <w:szCs w:val="22"/>
        </w:rPr>
        <w:t xml:space="preserve">of </w:t>
      </w:r>
      <w:r w:rsidRPr="00E008E9">
        <w:rPr>
          <w:rFonts w:asciiTheme="minorHAnsi" w:hAnsiTheme="minorHAnsi"/>
          <w:i/>
          <w:iCs/>
          <w:sz w:val="24"/>
          <w:szCs w:val="22"/>
        </w:rPr>
        <w:t>Rogers</w:t>
      </w:r>
      <w:r w:rsidRPr="00E008E9">
        <w:rPr>
          <w:rFonts w:asciiTheme="minorHAnsi" w:hAnsiTheme="minorHAnsi"/>
          <w:sz w:val="24"/>
          <w:szCs w:val="22"/>
        </w:rPr>
        <w:t xml:space="preserve"> to hold that works protected under its test may be advertised and marketed by name, and we so hold. Indeed, the </w:t>
      </w:r>
      <w:r w:rsidRPr="00E008E9">
        <w:rPr>
          <w:rFonts w:asciiTheme="minorHAnsi" w:hAnsiTheme="minorHAnsi"/>
          <w:i/>
          <w:iCs/>
          <w:sz w:val="24"/>
          <w:szCs w:val="22"/>
        </w:rPr>
        <w:t>Rogers</w:t>
      </w:r>
      <w:r w:rsidRPr="00E008E9">
        <w:rPr>
          <w:rFonts w:asciiTheme="minorHAnsi" w:hAnsiTheme="minorHAnsi"/>
          <w:sz w:val="24"/>
          <w:szCs w:val="22"/>
        </w:rPr>
        <w:t xml:space="preserve"> case itself concerned both a movie with an allegedly infringing title and its advertising and promotion, although the majority opinion did not deal separately with the latter aspect. </w:t>
      </w:r>
      <w:r w:rsidRPr="00E008E9">
        <w:rPr>
          <w:rFonts w:asciiTheme="minorHAnsi" w:hAnsiTheme="minorHAnsi"/>
          <w:i/>
          <w:iCs/>
          <w:sz w:val="24"/>
          <w:szCs w:val="22"/>
        </w:rPr>
        <w:t>See Rogers</w:t>
      </w:r>
      <w:r w:rsidRPr="00E008E9">
        <w:rPr>
          <w:rFonts w:asciiTheme="minorHAnsi" w:hAnsiTheme="minorHAnsi"/>
          <w:sz w:val="24"/>
          <w:szCs w:val="22"/>
        </w:rPr>
        <w:t xml:space="preserve">, 875 F.2d at 1005 (Griesa, J., concurring in the judgment). The balance of First Amendment interests struck in </w:t>
      </w:r>
      <w:r w:rsidRPr="00E008E9">
        <w:rPr>
          <w:rFonts w:asciiTheme="minorHAnsi" w:hAnsiTheme="minorHAnsi"/>
          <w:i/>
          <w:iCs/>
          <w:sz w:val="24"/>
          <w:szCs w:val="22"/>
        </w:rPr>
        <w:t>Rogers</w:t>
      </w:r>
      <w:r w:rsidRPr="00E008E9">
        <w:rPr>
          <w:rFonts w:asciiTheme="minorHAnsi" w:hAnsiTheme="minorHAnsi"/>
          <w:sz w:val="24"/>
          <w:szCs w:val="22"/>
        </w:rPr>
        <w:t xml:space="preserve"> and </w:t>
      </w:r>
      <w:r w:rsidRPr="00E008E9">
        <w:rPr>
          <w:rFonts w:asciiTheme="minorHAnsi" w:hAnsiTheme="minorHAnsi"/>
          <w:i/>
          <w:iCs/>
          <w:sz w:val="24"/>
          <w:szCs w:val="22"/>
        </w:rPr>
        <w:t>Mattel</w:t>
      </w:r>
      <w:r w:rsidRPr="00E008E9">
        <w:rPr>
          <w:rFonts w:asciiTheme="minorHAnsi" w:hAnsiTheme="minorHAnsi"/>
          <w:sz w:val="24"/>
          <w:szCs w:val="22"/>
        </w:rPr>
        <w:t xml:space="preserve"> could be destabilized if the titles of expressive works were protected but could not be used to promote those works. In response, Empire Distribution raises the specter of a pretextual expressive work meant only to disguise a business profiting from another’s trademark, but the record in this case makes clear that the </w:t>
      </w:r>
      <w:r w:rsidRPr="00E008E9">
        <w:rPr>
          <w:rFonts w:asciiTheme="minorHAnsi" w:hAnsiTheme="minorHAnsi"/>
          <w:i/>
          <w:iCs/>
          <w:sz w:val="24"/>
          <w:szCs w:val="22"/>
        </w:rPr>
        <w:t>Empire</w:t>
      </w:r>
      <w:r w:rsidRPr="00E008E9">
        <w:rPr>
          <w:rFonts w:asciiTheme="minorHAnsi" w:hAnsiTheme="minorHAnsi"/>
          <w:sz w:val="24"/>
          <w:szCs w:val="22"/>
        </w:rPr>
        <w:t xml:space="preserve"> show is no such thing. Fox’s promotional activities, including those that generate revenue, are auxiliary to the television show and music releases, which lie at the heart of its “Empire” brand.</w:t>
      </w:r>
    </w:p>
    <w:p w14:paraId="76CA8821" w14:textId="77777777" w:rsidR="008E185D" w:rsidRPr="00E008E9" w:rsidRDefault="008E185D" w:rsidP="008E185D">
      <w:pPr>
        <w:pStyle w:val="NormalNoIndent"/>
        <w:rPr>
          <w:rFonts w:asciiTheme="minorHAnsi" w:hAnsiTheme="minorHAnsi"/>
          <w:sz w:val="24"/>
          <w:szCs w:val="22"/>
        </w:rPr>
      </w:pPr>
      <w:r w:rsidRPr="00E008E9">
        <w:rPr>
          <w:rFonts w:asciiTheme="minorHAnsi" w:hAnsiTheme="minorHAnsi"/>
          <w:i/>
          <w:sz w:val="24"/>
          <w:szCs w:val="22"/>
        </w:rPr>
        <w:t xml:space="preserve">Empire </w:t>
      </w:r>
      <w:proofErr w:type="spellStart"/>
      <w:r w:rsidRPr="00E008E9">
        <w:rPr>
          <w:rFonts w:asciiTheme="minorHAnsi" w:hAnsiTheme="minorHAnsi"/>
          <w:i/>
          <w:sz w:val="24"/>
          <w:szCs w:val="22"/>
        </w:rPr>
        <w:t>Distrib</w:t>
      </w:r>
      <w:proofErr w:type="spellEnd"/>
      <w:r w:rsidRPr="00E008E9">
        <w:rPr>
          <w:rFonts w:asciiTheme="minorHAnsi" w:hAnsiTheme="minorHAnsi"/>
          <w:sz w:val="24"/>
          <w:szCs w:val="22"/>
        </w:rPr>
        <w:t>., 875 F.3d at 1196-97.</w:t>
      </w:r>
    </w:p>
    <w:p w14:paraId="52D5413D"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Is this reasoning persuasive? Should Fox be allowed to sell music from its show under “its ‘Empire’ brand”?</w:t>
      </w:r>
    </w:p>
    <w:p w14:paraId="5A34A6B0"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4. </w:t>
      </w:r>
      <w:r w:rsidRPr="00E008E9">
        <w:rPr>
          <w:rFonts w:asciiTheme="minorHAnsi" w:hAnsiTheme="minorHAnsi"/>
          <w:i/>
          <w:sz w:val="24"/>
          <w:szCs w:val="22"/>
        </w:rPr>
        <w:t>Virtual reality and trademark rights</w:t>
      </w:r>
      <w:r w:rsidRPr="00E008E9">
        <w:rPr>
          <w:rFonts w:asciiTheme="minorHAnsi" w:hAnsiTheme="minorHAnsi"/>
          <w:sz w:val="24"/>
          <w:szCs w:val="22"/>
        </w:rPr>
        <w:t>. Game designers seeking to accurately simulate non-virtual reality face significant challenges as this reality consists more and more of valuable intellectual properties, whether they take the form of public advertisements incorporating trademarks, distinctive product designs, well-known human personalities, or other embodiments. A number of trademark cases have sought, not always consistently, to determine when the unauthorized simulation of a trademark—or purported trademark—</w:t>
      </w:r>
      <w:r w:rsidRPr="00E008E9">
        <w:rPr>
          <w:rFonts w:asciiTheme="minorHAnsi" w:hAnsiTheme="minorHAnsi"/>
          <w:sz w:val="24"/>
          <w:szCs w:val="22"/>
        </w:rPr>
        <w:lastRenderedPageBreak/>
        <w:t xml:space="preserve">constitutes infringement. The two most significant, both referenced in </w:t>
      </w:r>
      <w:r w:rsidRPr="00E008E9">
        <w:rPr>
          <w:rFonts w:asciiTheme="minorHAnsi" w:hAnsiTheme="minorHAnsi"/>
          <w:i/>
          <w:sz w:val="24"/>
          <w:szCs w:val="22"/>
        </w:rPr>
        <w:t>Gordon</w:t>
      </w:r>
      <w:r w:rsidRPr="00E008E9">
        <w:rPr>
          <w:rFonts w:asciiTheme="minorHAnsi" w:hAnsiTheme="minorHAnsi"/>
          <w:sz w:val="24"/>
          <w:szCs w:val="22"/>
        </w:rPr>
        <w:t xml:space="preserve">, are </w:t>
      </w:r>
      <w:r w:rsidRPr="00E008E9">
        <w:rPr>
          <w:rFonts w:asciiTheme="minorHAnsi" w:hAnsiTheme="minorHAnsi"/>
          <w:i/>
          <w:sz w:val="24"/>
          <w:szCs w:val="22"/>
        </w:rPr>
        <w:t>E.S.S. Entertainment 2000, Inc. v. Rock Star Videos, Inc</w:t>
      </w:r>
      <w:r w:rsidRPr="00E008E9">
        <w:rPr>
          <w:rFonts w:asciiTheme="minorHAnsi" w:hAnsiTheme="minorHAnsi"/>
          <w:sz w:val="24"/>
          <w:szCs w:val="22"/>
        </w:rPr>
        <w:t xml:space="preserve">., 547 F.3d 1095 (9th Cir. 2008), and </w:t>
      </w:r>
      <w:r w:rsidRPr="00E008E9">
        <w:rPr>
          <w:rFonts w:asciiTheme="minorHAnsi" w:hAnsiTheme="minorHAnsi"/>
          <w:i/>
          <w:sz w:val="24"/>
          <w:szCs w:val="22"/>
        </w:rPr>
        <w:t>Brown v. Electronic Arts</w:t>
      </w:r>
      <w:r w:rsidRPr="00E008E9">
        <w:rPr>
          <w:rFonts w:asciiTheme="minorHAnsi" w:hAnsiTheme="minorHAnsi"/>
          <w:sz w:val="24"/>
          <w:szCs w:val="22"/>
        </w:rPr>
        <w:t xml:space="preserve">, 724 F.3d 1235 (9th Cir. 2013). </w:t>
      </w:r>
      <w:r w:rsidRPr="00E008E9">
        <w:rPr>
          <w:rFonts w:asciiTheme="minorHAnsi" w:hAnsiTheme="minorHAnsi"/>
          <w:i/>
          <w:iCs/>
          <w:sz w:val="24"/>
          <w:szCs w:val="22"/>
        </w:rPr>
        <w:t>See also</w:t>
      </w:r>
      <w:r w:rsidRPr="00E008E9">
        <w:rPr>
          <w:rFonts w:asciiTheme="minorHAnsi" w:hAnsiTheme="minorHAnsi"/>
          <w:sz w:val="24"/>
          <w:szCs w:val="22"/>
        </w:rPr>
        <w:t xml:space="preserve"> </w:t>
      </w:r>
      <w:r w:rsidRPr="00E008E9">
        <w:rPr>
          <w:rFonts w:asciiTheme="minorHAnsi" w:hAnsiTheme="minorHAnsi"/>
          <w:i/>
          <w:iCs/>
          <w:sz w:val="24"/>
          <w:szCs w:val="22"/>
        </w:rPr>
        <w:t>AM Gen. LLC v. Activision Blizzard, Inc</w:t>
      </w:r>
      <w:r w:rsidRPr="00E008E9">
        <w:rPr>
          <w:rFonts w:asciiTheme="minorHAnsi" w:hAnsiTheme="minorHAnsi"/>
          <w:sz w:val="24"/>
          <w:szCs w:val="22"/>
        </w:rPr>
        <w:t xml:space="preserve">., 450 F. Supp. 3d 467 (S.D.N.Y. 2020) (in granting summary judgment to defendant, finding that the depiction of Humvee vehicles in various </w:t>
      </w:r>
      <w:r w:rsidRPr="00E008E9">
        <w:rPr>
          <w:rFonts w:asciiTheme="minorHAnsi" w:hAnsiTheme="minorHAnsi"/>
          <w:i/>
          <w:iCs/>
          <w:sz w:val="24"/>
          <w:szCs w:val="22"/>
        </w:rPr>
        <w:t>Call of Duty</w:t>
      </w:r>
      <w:r w:rsidRPr="00E008E9">
        <w:rPr>
          <w:rFonts w:asciiTheme="minorHAnsi" w:hAnsiTheme="minorHAnsi"/>
          <w:sz w:val="24"/>
          <w:szCs w:val="22"/>
        </w:rPr>
        <w:t xml:space="preserve"> games did not infringe plaintiff’s trademark rights related to the vehicle); </w:t>
      </w:r>
      <w:r w:rsidRPr="00E008E9">
        <w:rPr>
          <w:rFonts w:asciiTheme="minorHAnsi" w:hAnsiTheme="minorHAnsi"/>
          <w:i/>
          <w:iCs/>
          <w:sz w:val="24"/>
          <w:szCs w:val="22"/>
        </w:rPr>
        <w:t>VIRAG, S.R.L. v. Sony Computer Entm’t Am. LLC</w:t>
      </w:r>
      <w:r w:rsidRPr="00E008E9">
        <w:rPr>
          <w:rFonts w:asciiTheme="minorHAnsi" w:hAnsiTheme="minorHAnsi"/>
          <w:sz w:val="24"/>
          <w:szCs w:val="22"/>
        </w:rPr>
        <w:t xml:space="preserve">, No. 15 Civ. 01729, 2015 WL 5000102 (N.D. Cal. Aug. 21, 2015), aff’d, 699 F. </w:t>
      </w:r>
      <w:proofErr w:type="spellStart"/>
      <w:r w:rsidRPr="00E008E9">
        <w:rPr>
          <w:rFonts w:asciiTheme="minorHAnsi" w:hAnsiTheme="minorHAnsi"/>
          <w:sz w:val="24"/>
          <w:szCs w:val="22"/>
        </w:rPr>
        <w:t>App’x</w:t>
      </w:r>
      <w:proofErr w:type="spellEnd"/>
      <w:r w:rsidRPr="00E008E9">
        <w:rPr>
          <w:rFonts w:asciiTheme="minorHAnsi" w:hAnsiTheme="minorHAnsi"/>
          <w:sz w:val="24"/>
          <w:szCs w:val="22"/>
        </w:rPr>
        <w:t xml:space="preserve"> 667 (9th Cir. 2017) (dismissing plaintiff’s trademark infringement claim on ground that defendant’s </w:t>
      </w:r>
      <w:r w:rsidRPr="00E008E9">
        <w:rPr>
          <w:rFonts w:asciiTheme="minorHAnsi" w:hAnsiTheme="minorHAnsi"/>
          <w:i/>
          <w:iCs/>
          <w:sz w:val="24"/>
          <w:szCs w:val="22"/>
        </w:rPr>
        <w:t>Gran Turismo</w:t>
      </w:r>
      <w:r w:rsidRPr="00E008E9">
        <w:rPr>
          <w:rFonts w:asciiTheme="minorHAnsi" w:hAnsiTheme="minorHAnsi"/>
          <w:sz w:val="24"/>
          <w:szCs w:val="22"/>
        </w:rPr>
        <w:t xml:space="preserve"> racing simulation games’ depiction of plaintiff’s racetrack advertising was permissible under </w:t>
      </w:r>
      <w:r w:rsidRPr="00E008E9">
        <w:rPr>
          <w:rFonts w:asciiTheme="minorHAnsi" w:hAnsiTheme="minorHAnsi"/>
          <w:i/>
          <w:iCs/>
          <w:sz w:val="24"/>
          <w:szCs w:val="22"/>
        </w:rPr>
        <w:t>Rogers</w:t>
      </w:r>
      <w:r w:rsidRPr="00E008E9">
        <w:rPr>
          <w:rFonts w:asciiTheme="minorHAnsi" w:hAnsiTheme="minorHAnsi"/>
          <w:sz w:val="24"/>
          <w:szCs w:val="22"/>
        </w:rPr>
        <w:t xml:space="preserve">); </w:t>
      </w:r>
      <w:r w:rsidRPr="00E008E9">
        <w:rPr>
          <w:rFonts w:asciiTheme="minorHAnsi" w:hAnsiTheme="minorHAnsi"/>
          <w:i/>
          <w:sz w:val="24"/>
          <w:szCs w:val="22"/>
        </w:rPr>
        <w:t>Mil-Spec Monkey, Inc. v. Activision Blizzard, Inc</w:t>
      </w:r>
      <w:r w:rsidRPr="00E008E9">
        <w:rPr>
          <w:rFonts w:asciiTheme="minorHAnsi" w:hAnsiTheme="minorHAnsi"/>
          <w:sz w:val="24"/>
          <w:szCs w:val="22"/>
        </w:rPr>
        <w:t xml:space="preserve">., No. 14 Civ. 02361, 2014 WL 6655844 (N.D. Cal. Nov. 24, 2014) (finding to be non-infringing defendant’s use of plaintiff’s “angry monkey” trademark in defendant’s combat simulation </w:t>
      </w:r>
      <w:r w:rsidRPr="00E008E9">
        <w:rPr>
          <w:rFonts w:asciiTheme="minorHAnsi" w:hAnsiTheme="minorHAnsi"/>
          <w:i/>
          <w:sz w:val="24"/>
          <w:szCs w:val="22"/>
        </w:rPr>
        <w:t>Call of Duty: Ghosts</w:t>
      </w:r>
      <w:r w:rsidRPr="00E008E9">
        <w:rPr>
          <w:rFonts w:asciiTheme="minorHAnsi" w:hAnsiTheme="minorHAnsi"/>
          <w:sz w:val="24"/>
          <w:szCs w:val="22"/>
        </w:rPr>
        <w:t xml:space="preserve">); </w:t>
      </w:r>
      <w:r w:rsidRPr="00E008E9">
        <w:rPr>
          <w:rFonts w:asciiTheme="minorHAnsi" w:hAnsiTheme="minorHAnsi"/>
          <w:i/>
          <w:sz w:val="24"/>
          <w:szCs w:val="22"/>
        </w:rPr>
        <w:t>Electronic Arts, Inc. v. Textron Inc</w:t>
      </w:r>
      <w:r w:rsidRPr="00E008E9">
        <w:rPr>
          <w:rFonts w:asciiTheme="minorHAnsi" w:hAnsiTheme="minorHAnsi"/>
          <w:sz w:val="24"/>
          <w:szCs w:val="22"/>
        </w:rPr>
        <w:t xml:space="preserve">., 12 Civ. 00118, 2012 WL 3042668 (N.D. Cal. July 25, 2012) (denying declaratory plaintiff’s motion to dismiss in dispute over plaintiff’s depiction of defendant’s helicopter designs in plaintiff’s combat simulation </w:t>
      </w:r>
      <w:r w:rsidRPr="00E008E9">
        <w:rPr>
          <w:rFonts w:asciiTheme="minorHAnsi" w:hAnsiTheme="minorHAnsi"/>
          <w:i/>
          <w:sz w:val="24"/>
          <w:szCs w:val="22"/>
        </w:rPr>
        <w:t>Battlefield 3</w:t>
      </w:r>
      <w:r w:rsidRPr="00E008E9">
        <w:rPr>
          <w:rFonts w:asciiTheme="minorHAnsi" w:hAnsiTheme="minorHAnsi"/>
          <w:sz w:val="24"/>
          <w:szCs w:val="22"/>
        </w:rPr>
        <w:t xml:space="preserve">); </w:t>
      </w:r>
      <w:r w:rsidRPr="00E008E9">
        <w:rPr>
          <w:rFonts w:asciiTheme="minorHAnsi" w:hAnsiTheme="minorHAnsi"/>
          <w:i/>
          <w:sz w:val="24"/>
          <w:szCs w:val="22"/>
        </w:rPr>
        <w:t>Dillinger, LLC v. Electronic Arts, Inc</w:t>
      </w:r>
      <w:r w:rsidRPr="00E008E9">
        <w:rPr>
          <w:rFonts w:asciiTheme="minorHAnsi" w:hAnsiTheme="minorHAnsi"/>
          <w:sz w:val="24"/>
          <w:szCs w:val="22"/>
        </w:rPr>
        <w:t xml:space="preserve">., 09 Civ. 1236, 2011 WL 2457678 (S.D. Ind. June 16, 2011) (finding to be non-infringing defendant’s use of term “Dillinger” in reference to weapons in organized crime simulations </w:t>
      </w:r>
      <w:r w:rsidRPr="00E008E9">
        <w:rPr>
          <w:rFonts w:asciiTheme="minorHAnsi" w:hAnsiTheme="minorHAnsi"/>
          <w:i/>
          <w:sz w:val="24"/>
          <w:szCs w:val="22"/>
        </w:rPr>
        <w:t>The Godfather</w:t>
      </w:r>
      <w:r w:rsidRPr="00E008E9">
        <w:rPr>
          <w:rFonts w:asciiTheme="minorHAnsi" w:hAnsiTheme="minorHAnsi"/>
          <w:sz w:val="24"/>
          <w:szCs w:val="22"/>
        </w:rPr>
        <w:t xml:space="preserve"> and </w:t>
      </w:r>
      <w:r w:rsidRPr="00E008E9">
        <w:rPr>
          <w:rFonts w:asciiTheme="minorHAnsi" w:hAnsiTheme="minorHAnsi"/>
          <w:i/>
          <w:sz w:val="24"/>
          <w:szCs w:val="22"/>
        </w:rPr>
        <w:t>The Godfather II</w:t>
      </w:r>
      <w:r w:rsidRPr="00E008E9">
        <w:rPr>
          <w:rFonts w:asciiTheme="minorHAnsi" w:hAnsiTheme="minorHAnsi"/>
          <w:sz w:val="24"/>
          <w:szCs w:val="22"/>
        </w:rPr>
        <w:t xml:space="preserve">). </w:t>
      </w:r>
      <w:r w:rsidRPr="00E008E9">
        <w:rPr>
          <w:rFonts w:asciiTheme="minorHAnsi" w:hAnsiTheme="minorHAnsi"/>
          <w:i/>
          <w:sz w:val="24"/>
          <w:szCs w:val="22"/>
        </w:rPr>
        <w:t>Cf</w:t>
      </w:r>
      <w:r w:rsidRPr="00E008E9">
        <w:rPr>
          <w:rFonts w:asciiTheme="minorHAnsi" w:hAnsiTheme="minorHAnsi"/>
          <w:sz w:val="24"/>
          <w:szCs w:val="22"/>
        </w:rPr>
        <w:t xml:space="preserve">. </w:t>
      </w:r>
      <w:r w:rsidRPr="00E008E9">
        <w:rPr>
          <w:rFonts w:asciiTheme="minorHAnsi" w:hAnsiTheme="minorHAnsi"/>
          <w:i/>
          <w:sz w:val="24"/>
          <w:szCs w:val="22"/>
        </w:rPr>
        <w:t>In re NCAA Student–Athlete Name &amp; Likeness Licensing Litigation</w:t>
      </w:r>
      <w:r w:rsidRPr="00E008E9">
        <w:rPr>
          <w:rFonts w:asciiTheme="minorHAnsi" w:hAnsiTheme="minorHAnsi"/>
          <w:sz w:val="24"/>
          <w:szCs w:val="22"/>
        </w:rPr>
        <w:t>, 724 F.3d 1268 (9th Cir. 2013).</w:t>
      </w:r>
    </w:p>
    <w:p w14:paraId="5779C6D1" w14:textId="4F6841CB" w:rsidR="008E185D" w:rsidRPr="00E008E9" w:rsidRDefault="008E185D" w:rsidP="008E185D">
      <w:pPr>
        <w:pStyle w:val="Heading7"/>
        <w:rPr>
          <w:rFonts w:asciiTheme="minorHAnsi" w:hAnsiTheme="minorHAnsi"/>
          <w:color w:val="FF0000"/>
          <w:sz w:val="24"/>
          <w:szCs w:val="22"/>
        </w:rPr>
      </w:pPr>
      <w:bookmarkStart w:id="11" w:name="_Toc201424450"/>
      <w:bookmarkStart w:id="12" w:name="_Hlk170938626"/>
      <w:r w:rsidRPr="00E008E9">
        <w:rPr>
          <w:rFonts w:asciiTheme="minorHAnsi" w:hAnsiTheme="minorHAnsi"/>
          <w:color w:val="FF0000"/>
          <w:sz w:val="24"/>
          <w:szCs w:val="22"/>
        </w:rPr>
        <w:t>[</w:t>
      </w:r>
      <w:r w:rsidR="00E008E9" w:rsidRPr="00E008E9">
        <w:rPr>
          <w:rFonts w:asciiTheme="minorHAnsi" w:hAnsiTheme="minorHAnsi"/>
          <w:color w:val="FF0000"/>
          <w:sz w:val="24"/>
          <w:szCs w:val="22"/>
        </w:rPr>
        <w:t xml:space="preserve">The opinion in </w:t>
      </w:r>
      <w:r w:rsidRPr="00E008E9">
        <w:rPr>
          <w:rFonts w:asciiTheme="minorHAnsi" w:hAnsiTheme="minorHAnsi"/>
          <w:i/>
          <w:iCs/>
          <w:color w:val="FF0000"/>
          <w:sz w:val="24"/>
          <w:szCs w:val="22"/>
        </w:rPr>
        <w:t>Jack Daniel’s Props. v. VIP Prods. LLC</w:t>
      </w:r>
      <w:bookmarkEnd w:id="11"/>
      <w:r w:rsidR="00E008E9" w:rsidRPr="00E008E9">
        <w:rPr>
          <w:rFonts w:asciiTheme="minorHAnsi" w:hAnsiTheme="minorHAnsi"/>
          <w:color w:val="FF0000"/>
          <w:sz w:val="24"/>
          <w:szCs w:val="22"/>
        </w:rPr>
        <w:t xml:space="preserve"> is available separately.</w:t>
      </w:r>
      <w:r w:rsidRPr="00E008E9">
        <w:rPr>
          <w:rFonts w:asciiTheme="minorHAnsi" w:hAnsiTheme="minorHAnsi"/>
          <w:color w:val="FF0000"/>
          <w:sz w:val="24"/>
          <w:szCs w:val="22"/>
        </w:rPr>
        <w:t>]</w:t>
      </w:r>
    </w:p>
    <w:bookmarkEnd w:id="12"/>
    <w:p w14:paraId="58A7E1D6" w14:textId="77777777" w:rsidR="008E185D" w:rsidRPr="00E008E9" w:rsidRDefault="008E185D" w:rsidP="008E185D">
      <w:pPr>
        <w:pStyle w:val="CommentsandQuestions"/>
        <w:rPr>
          <w:rFonts w:asciiTheme="minorHAnsi" w:hAnsiTheme="minorHAnsi"/>
          <w:sz w:val="24"/>
          <w:szCs w:val="22"/>
        </w:rPr>
      </w:pPr>
      <w:r w:rsidRPr="00E008E9">
        <w:rPr>
          <w:rFonts w:asciiTheme="minorHAnsi" w:hAnsiTheme="minorHAnsi"/>
          <w:sz w:val="24"/>
          <w:szCs w:val="22"/>
        </w:rPr>
        <w:t>Comments and Questions</w:t>
      </w:r>
    </w:p>
    <w:p w14:paraId="3B8FB518"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1. </w:t>
      </w:r>
      <w:r w:rsidRPr="00E008E9">
        <w:rPr>
          <w:rFonts w:asciiTheme="minorHAnsi" w:hAnsiTheme="minorHAnsi"/>
          <w:i/>
          <w:iCs/>
          <w:sz w:val="24"/>
          <w:szCs w:val="22"/>
        </w:rPr>
        <w:t xml:space="preserve">The </w:t>
      </w:r>
      <w:r w:rsidRPr="00E008E9">
        <w:rPr>
          <w:rFonts w:asciiTheme="minorHAnsi" w:hAnsiTheme="minorHAnsi"/>
          <w:sz w:val="24"/>
          <w:szCs w:val="22"/>
        </w:rPr>
        <w:t>Jack Daniel’s</w:t>
      </w:r>
      <w:r w:rsidRPr="00E008E9">
        <w:rPr>
          <w:rFonts w:asciiTheme="minorHAnsi" w:hAnsiTheme="minorHAnsi"/>
          <w:i/>
          <w:iCs/>
          <w:sz w:val="24"/>
          <w:szCs w:val="22"/>
        </w:rPr>
        <w:t xml:space="preserve"> Circularity</w:t>
      </w:r>
      <w:r w:rsidRPr="00E008E9">
        <w:rPr>
          <w:rFonts w:asciiTheme="minorHAnsi" w:hAnsiTheme="minorHAnsi"/>
          <w:sz w:val="24"/>
          <w:szCs w:val="22"/>
        </w:rPr>
        <w:t xml:space="preserve">. Is the following a fair summary of </w:t>
      </w:r>
      <w:r w:rsidRPr="00E008E9">
        <w:rPr>
          <w:rFonts w:asciiTheme="minorHAnsi" w:hAnsiTheme="minorHAnsi"/>
          <w:i/>
          <w:iCs/>
          <w:sz w:val="24"/>
          <w:szCs w:val="22"/>
        </w:rPr>
        <w:t>Jack Daniel’s</w:t>
      </w:r>
      <w:r w:rsidRPr="00E008E9">
        <w:rPr>
          <w:rFonts w:asciiTheme="minorHAnsi" w:hAnsiTheme="minorHAnsi"/>
          <w:sz w:val="24"/>
          <w:szCs w:val="22"/>
        </w:rPr>
        <w:t xml:space="preserve">? </w:t>
      </w:r>
      <w:r w:rsidRPr="00E008E9">
        <w:rPr>
          <w:rFonts w:asciiTheme="minorHAnsi" w:hAnsiTheme="minorHAnsi"/>
          <w:i/>
          <w:iCs/>
          <w:sz w:val="24"/>
          <w:szCs w:val="22"/>
        </w:rPr>
        <w:t>Jack Daniel’s</w:t>
      </w:r>
      <w:r w:rsidRPr="00E008E9">
        <w:rPr>
          <w:rFonts w:asciiTheme="minorHAnsi" w:hAnsiTheme="minorHAnsi"/>
          <w:sz w:val="24"/>
          <w:szCs w:val="22"/>
        </w:rPr>
        <w:t xml:space="preserve"> held that the </w:t>
      </w:r>
      <w:r w:rsidRPr="00E008E9">
        <w:rPr>
          <w:rFonts w:asciiTheme="minorHAnsi" w:hAnsiTheme="minorHAnsi"/>
          <w:i/>
          <w:iCs/>
          <w:sz w:val="24"/>
          <w:szCs w:val="22"/>
        </w:rPr>
        <w:t>Rogers</w:t>
      </w:r>
      <w:r w:rsidRPr="00E008E9">
        <w:rPr>
          <w:rFonts w:asciiTheme="minorHAnsi" w:hAnsiTheme="minorHAnsi"/>
          <w:sz w:val="24"/>
          <w:szCs w:val="22"/>
        </w:rPr>
        <w:t xml:space="preserve"> test may be applied only when the defendant is making a “non-trademark use” of the plaintiff’s mark, i.e., only when the defendant is using the plaintiff’s mark in a way that does not lead consumers to believe that the mark is identifying the source of the defendant’s goods. But if the defendant’s use is therefore not causing confusion as to the source of its goods, doesn’t that alone resolve the likelihood of confusion issue? What does </w:t>
      </w:r>
      <w:r w:rsidRPr="00E008E9">
        <w:rPr>
          <w:rFonts w:asciiTheme="minorHAnsi" w:hAnsiTheme="minorHAnsi"/>
          <w:i/>
          <w:iCs/>
          <w:sz w:val="24"/>
          <w:szCs w:val="22"/>
        </w:rPr>
        <w:t>Rogers</w:t>
      </w:r>
      <w:r w:rsidRPr="00E008E9">
        <w:rPr>
          <w:rFonts w:asciiTheme="minorHAnsi" w:hAnsiTheme="minorHAnsi"/>
          <w:sz w:val="24"/>
          <w:szCs w:val="22"/>
        </w:rPr>
        <w:t xml:space="preserve"> add in such a situation? Has the Supreme Court made a mistake akin to the Ninth Circuit’s in </w:t>
      </w:r>
      <w:r w:rsidRPr="00E008E9">
        <w:rPr>
          <w:rFonts w:asciiTheme="minorHAnsi" w:hAnsiTheme="minorHAnsi"/>
          <w:i/>
          <w:iCs/>
          <w:sz w:val="24"/>
          <w:szCs w:val="22"/>
        </w:rPr>
        <w:t>KP Permanent</w:t>
      </w:r>
      <w:r w:rsidRPr="00E008E9">
        <w:rPr>
          <w:rFonts w:asciiTheme="minorHAnsi" w:hAnsiTheme="minorHAnsi"/>
          <w:sz w:val="24"/>
          <w:szCs w:val="22"/>
        </w:rPr>
        <w:t xml:space="preserve">, that the only scenario in which the </w:t>
      </w:r>
      <w:r w:rsidRPr="00E008E9">
        <w:rPr>
          <w:rFonts w:asciiTheme="minorHAnsi" w:hAnsiTheme="minorHAnsi"/>
          <w:i/>
          <w:iCs/>
          <w:sz w:val="24"/>
          <w:szCs w:val="22"/>
        </w:rPr>
        <w:t>Rogers</w:t>
      </w:r>
      <w:r w:rsidRPr="00E008E9">
        <w:rPr>
          <w:rFonts w:asciiTheme="minorHAnsi" w:hAnsiTheme="minorHAnsi"/>
          <w:sz w:val="24"/>
          <w:szCs w:val="22"/>
        </w:rPr>
        <w:t xml:space="preserve"> test </w:t>
      </w:r>
      <w:proofErr w:type="gramStart"/>
      <w:r w:rsidRPr="00E008E9">
        <w:rPr>
          <w:rFonts w:asciiTheme="minorHAnsi" w:hAnsiTheme="minorHAnsi"/>
          <w:sz w:val="24"/>
          <w:szCs w:val="22"/>
        </w:rPr>
        <w:t>may be now be</w:t>
      </w:r>
      <w:proofErr w:type="gramEnd"/>
      <w:r w:rsidRPr="00E008E9">
        <w:rPr>
          <w:rFonts w:asciiTheme="minorHAnsi" w:hAnsiTheme="minorHAnsi"/>
          <w:sz w:val="24"/>
          <w:szCs w:val="22"/>
        </w:rPr>
        <w:t xml:space="preserve"> applied are scenarios in which the test is not even necessary?</w:t>
      </w:r>
    </w:p>
    <w:p w14:paraId="13233835"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Considered differently, the Supreme Court’s reasoning in </w:t>
      </w:r>
      <w:r w:rsidRPr="00E008E9">
        <w:rPr>
          <w:rFonts w:asciiTheme="minorHAnsi" w:hAnsiTheme="minorHAnsi"/>
          <w:i/>
          <w:iCs/>
          <w:sz w:val="24"/>
          <w:szCs w:val="22"/>
        </w:rPr>
        <w:t>Jack Daniel’s</w:t>
      </w:r>
      <w:r w:rsidRPr="00E008E9">
        <w:rPr>
          <w:rFonts w:asciiTheme="minorHAnsi" w:hAnsiTheme="minorHAnsi"/>
          <w:sz w:val="24"/>
          <w:szCs w:val="22"/>
        </w:rPr>
        <w:t xml:space="preserve"> appears to assume that there are scenarios in which a defendant’s “non-trademark use,” i.e., a non-source-identifying use of a mark, may nevertheless cause confusion as to source. </w:t>
      </w:r>
      <w:proofErr w:type="gramStart"/>
      <w:r w:rsidRPr="00E008E9">
        <w:rPr>
          <w:rFonts w:asciiTheme="minorHAnsi" w:hAnsiTheme="minorHAnsi"/>
          <w:sz w:val="24"/>
          <w:szCs w:val="22"/>
        </w:rPr>
        <w:t>Otherwise</w:t>
      </w:r>
      <w:proofErr w:type="gramEnd"/>
      <w:r w:rsidRPr="00E008E9">
        <w:rPr>
          <w:rFonts w:asciiTheme="minorHAnsi" w:hAnsiTheme="minorHAnsi"/>
          <w:sz w:val="24"/>
          <w:szCs w:val="22"/>
        </w:rPr>
        <w:t xml:space="preserve"> there would be no need for the special </w:t>
      </w:r>
      <w:r w:rsidRPr="00E008E9">
        <w:rPr>
          <w:rFonts w:asciiTheme="minorHAnsi" w:hAnsiTheme="minorHAnsi"/>
          <w:i/>
          <w:iCs/>
          <w:sz w:val="24"/>
          <w:szCs w:val="22"/>
        </w:rPr>
        <w:t>Rogers</w:t>
      </w:r>
      <w:r w:rsidRPr="00E008E9">
        <w:rPr>
          <w:rFonts w:asciiTheme="minorHAnsi" w:hAnsiTheme="minorHAnsi"/>
          <w:sz w:val="24"/>
          <w:szCs w:val="22"/>
        </w:rPr>
        <w:t xml:space="preserve"> test to address those scenarios. But what might such scenarios look like?</w:t>
      </w:r>
    </w:p>
    <w:p w14:paraId="492FFE9A"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2. Jack Daniel’s</w:t>
      </w:r>
      <w:r w:rsidRPr="00E008E9">
        <w:rPr>
          <w:rFonts w:asciiTheme="minorHAnsi" w:hAnsiTheme="minorHAnsi"/>
          <w:i/>
          <w:iCs/>
          <w:sz w:val="24"/>
          <w:szCs w:val="22"/>
        </w:rPr>
        <w:t xml:space="preserve"> on remand</w:t>
      </w:r>
      <w:r w:rsidRPr="00E008E9">
        <w:rPr>
          <w:rFonts w:asciiTheme="minorHAnsi" w:hAnsiTheme="minorHAnsi"/>
          <w:sz w:val="24"/>
          <w:szCs w:val="22"/>
        </w:rPr>
        <w:t xml:space="preserve">. On remand to the District of Arizona, the district court found no likelihood of consumer confusion. </w:t>
      </w:r>
      <w:r w:rsidRPr="00E008E9">
        <w:rPr>
          <w:rFonts w:asciiTheme="minorHAnsi" w:hAnsiTheme="minorHAnsi"/>
          <w:i/>
          <w:iCs/>
          <w:sz w:val="24"/>
          <w:szCs w:val="22"/>
        </w:rPr>
        <w:t>VIP Prods. LLC v. Jack Daniel's Props. Inc</w:t>
      </w:r>
      <w:r w:rsidRPr="00E008E9">
        <w:rPr>
          <w:rFonts w:asciiTheme="minorHAnsi" w:hAnsiTheme="minorHAnsi"/>
          <w:sz w:val="24"/>
          <w:szCs w:val="22"/>
        </w:rPr>
        <w:t xml:space="preserve">., No. 14 Civ. 02057, 2025 WL 275909, at *25 (D. Ariz. Jan. 23, 2025). In reaching this conclusion, the district court first followed the example of the Fourth Circuit in </w:t>
      </w:r>
      <w:r w:rsidRPr="00E008E9">
        <w:rPr>
          <w:rFonts w:asciiTheme="minorHAnsi" w:hAnsiTheme="minorHAnsi"/>
          <w:i/>
          <w:iCs/>
          <w:sz w:val="24"/>
          <w:szCs w:val="22"/>
        </w:rPr>
        <w:t xml:space="preserve">Louis Vuitton Malletier S.A. </w:t>
      </w:r>
      <w:r w:rsidRPr="00E008E9">
        <w:rPr>
          <w:rFonts w:asciiTheme="minorHAnsi" w:hAnsiTheme="minorHAnsi"/>
          <w:i/>
          <w:iCs/>
          <w:sz w:val="24"/>
          <w:szCs w:val="22"/>
        </w:rPr>
        <w:lastRenderedPageBreak/>
        <w:t xml:space="preserve">v. Haute </w:t>
      </w:r>
      <w:proofErr w:type="spellStart"/>
      <w:r w:rsidRPr="00E008E9">
        <w:rPr>
          <w:rFonts w:asciiTheme="minorHAnsi" w:hAnsiTheme="minorHAnsi"/>
          <w:i/>
          <w:iCs/>
          <w:sz w:val="24"/>
          <w:szCs w:val="22"/>
        </w:rPr>
        <w:t>Diggity</w:t>
      </w:r>
      <w:proofErr w:type="spellEnd"/>
      <w:r w:rsidRPr="00E008E9">
        <w:rPr>
          <w:rFonts w:asciiTheme="minorHAnsi" w:hAnsiTheme="minorHAnsi"/>
          <w:i/>
          <w:iCs/>
          <w:sz w:val="24"/>
          <w:szCs w:val="22"/>
        </w:rPr>
        <w:t xml:space="preserve"> Dog, LLC</w:t>
      </w:r>
      <w:r w:rsidRPr="00E008E9">
        <w:rPr>
          <w:rFonts w:asciiTheme="minorHAnsi" w:hAnsiTheme="minorHAnsi"/>
          <w:sz w:val="24"/>
          <w:szCs w:val="22"/>
        </w:rPr>
        <w:t xml:space="preserve">, 507 F.3d 252, 260 (4th Cir. 2007), and found that VIP’s dog toy “succeeds as a parody.” </w:t>
      </w:r>
      <w:r w:rsidRPr="00E008E9">
        <w:rPr>
          <w:rFonts w:asciiTheme="minorHAnsi" w:hAnsiTheme="minorHAnsi"/>
          <w:i/>
          <w:iCs/>
          <w:sz w:val="24"/>
          <w:szCs w:val="22"/>
        </w:rPr>
        <w:t>VIP Prods. LLC v. Jack Daniel's Props. Inc.</w:t>
      </w:r>
      <w:r w:rsidRPr="00E008E9">
        <w:rPr>
          <w:rFonts w:asciiTheme="minorHAnsi" w:hAnsiTheme="minorHAnsi"/>
          <w:sz w:val="24"/>
          <w:szCs w:val="22"/>
        </w:rPr>
        <w:t xml:space="preserve">, 2025 WL 275909, at *22. The district court then applied the Ninth Circuit’s </w:t>
      </w:r>
      <w:proofErr w:type="spellStart"/>
      <w:r w:rsidRPr="00E008E9">
        <w:rPr>
          <w:rFonts w:asciiTheme="minorHAnsi" w:hAnsiTheme="minorHAnsi"/>
          <w:i/>
          <w:iCs/>
          <w:sz w:val="24"/>
          <w:szCs w:val="22"/>
        </w:rPr>
        <w:t>Sleekcraft</w:t>
      </w:r>
      <w:proofErr w:type="spellEnd"/>
      <w:r w:rsidRPr="00E008E9">
        <w:rPr>
          <w:rFonts w:asciiTheme="minorHAnsi" w:hAnsiTheme="minorHAnsi"/>
          <w:sz w:val="24"/>
          <w:szCs w:val="22"/>
        </w:rPr>
        <w:t xml:space="preserve"> multifactor test for the likelihood of consumer confusion, from </w:t>
      </w:r>
      <w:r w:rsidRPr="00E008E9">
        <w:rPr>
          <w:rFonts w:asciiTheme="minorHAnsi" w:hAnsiTheme="minorHAnsi"/>
          <w:i/>
          <w:iCs/>
          <w:sz w:val="24"/>
          <w:szCs w:val="22"/>
        </w:rPr>
        <w:t xml:space="preserve">AMF Inc. v. </w:t>
      </w:r>
      <w:proofErr w:type="spellStart"/>
      <w:r w:rsidRPr="00E008E9">
        <w:rPr>
          <w:rFonts w:asciiTheme="minorHAnsi" w:hAnsiTheme="minorHAnsi"/>
          <w:i/>
          <w:iCs/>
          <w:sz w:val="24"/>
          <w:szCs w:val="22"/>
        </w:rPr>
        <w:t>Sleekcraft</w:t>
      </w:r>
      <w:proofErr w:type="spellEnd"/>
      <w:r w:rsidRPr="00E008E9">
        <w:rPr>
          <w:rFonts w:asciiTheme="minorHAnsi" w:hAnsiTheme="minorHAnsi"/>
          <w:i/>
          <w:iCs/>
          <w:sz w:val="24"/>
          <w:szCs w:val="22"/>
        </w:rPr>
        <w:t xml:space="preserve"> Boats</w:t>
      </w:r>
      <w:r w:rsidRPr="00E008E9">
        <w:rPr>
          <w:rFonts w:asciiTheme="minorHAnsi" w:hAnsiTheme="minorHAnsi"/>
          <w:sz w:val="24"/>
          <w:szCs w:val="22"/>
        </w:rPr>
        <w:t xml:space="preserve">, 599 F.2d 341, 348 (9th Cir. 1979). The court’s analysis of the </w:t>
      </w:r>
      <w:proofErr w:type="spellStart"/>
      <w:r w:rsidRPr="00E008E9">
        <w:rPr>
          <w:rFonts w:asciiTheme="minorHAnsi" w:hAnsiTheme="minorHAnsi"/>
          <w:i/>
          <w:iCs/>
          <w:sz w:val="24"/>
          <w:szCs w:val="22"/>
        </w:rPr>
        <w:t>Sleekcraft</w:t>
      </w:r>
      <w:proofErr w:type="spellEnd"/>
      <w:r w:rsidRPr="00E008E9">
        <w:rPr>
          <w:rFonts w:asciiTheme="minorHAnsi" w:hAnsiTheme="minorHAnsi"/>
          <w:sz w:val="24"/>
          <w:szCs w:val="22"/>
        </w:rPr>
        <w:t xml:space="preserve"> factors was heavily influenced by its finding that VIP’s parody was a “successful parody.” </w:t>
      </w:r>
      <w:r w:rsidRPr="00E008E9">
        <w:rPr>
          <w:rFonts w:asciiTheme="minorHAnsi" w:hAnsiTheme="minorHAnsi"/>
          <w:i/>
          <w:iCs/>
          <w:sz w:val="24"/>
          <w:szCs w:val="22"/>
        </w:rPr>
        <w:t>VIP Prods. LLC v. Jack Daniel's Props. Inc.</w:t>
      </w:r>
      <w:r w:rsidRPr="00E008E9">
        <w:rPr>
          <w:rFonts w:asciiTheme="minorHAnsi" w:hAnsiTheme="minorHAnsi"/>
          <w:sz w:val="24"/>
          <w:szCs w:val="22"/>
        </w:rPr>
        <w:t xml:space="preserve">, 2025 WL 275909, at *20. </w:t>
      </w:r>
    </w:p>
    <w:p w14:paraId="5147405F"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 xml:space="preserve">However, the district court found a likelihood of </w:t>
      </w:r>
      <w:proofErr w:type="spellStart"/>
      <w:r w:rsidRPr="00E008E9">
        <w:rPr>
          <w:rFonts w:asciiTheme="minorHAnsi" w:hAnsiTheme="minorHAnsi"/>
          <w:sz w:val="24"/>
          <w:szCs w:val="22"/>
        </w:rPr>
        <w:t>tarnishment</w:t>
      </w:r>
      <w:proofErr w:type="spellEnd"/>
      <w:r w:rsidRPr="00E008E9">
        <w:rPr>
          <w:rFonts w:asciiTheme="minorHAnsi" w:hAnsiTheme="minorHAnsi"/>
          <w:sz w:val="24"/>
          <w:szCs w:val="22"/>
        </w:rPr>
        <w:t xml:space="preserve">. </w:t>
      </w:r>
      <w:r w:rsidRPr="00E008E9">
        <w:rPr>
          <w:rFonts w:asciiTheme="minorHAnsi" w:hAnsiTheme="minorHAnsi"/>
          <w:i/>
          <w:iCs/>
          <w:sz w:val="24"/>
          <w:szCs w:val="22"/>
        </w:rPr>
        <w:t>VIP Prods. LLC v. Jack Daniel's Props. Inc.</w:t>
      </w:r>
      <w:r w:rsidRPr="00E008E9">
        <w:rPr>
          <w:rFonts w:asciiTheme="minorHAnsi" w:hAnsiTheme="minorHAnsi"/>
          <w:sz w:val="24"/>
          <w:szCs w:val="22"/>
        </w:rPr>
        <w:t>, 2025 WL 275909, at *19. The district court declined to consider whether the Lanham Act’s anti-</w:t>
      </w:r>
      <w:proofErr w:type="spellStart"/>
      <w:r w:rsidRPr="00E008E9">
        <w:rPr>
          <w:rFonts w:asciiTheme="minorHAnsi" w:hAnsiTheme="minorHAnsi"/>
          <w:sz w:val="24"/>
          <w:szCs w:val="22"/>
        </w:rPr>
        <w:t>tarnishment</w:t>
      </w:r>
      <w:proofErr w:type="spellEnd"/>
      <w:r w:rsidRPr="00E008E9">
        <w:rPr>
          <w:rFonts w:asciiTheme="minorHAnsi" w:hAnsiTheme="minorHAnsi"/>
          <w:sz w:val="24"/>
          <w:szCs w:val="22"/>
        </w:rPr>
        <w:t xml:space="preserve"> provision violated the Free Speech Clause of the First Amendment because VIP did not raise the issue in its pleadings. </w:t>
      </w:r>
      <w:r w:rsidRPr="00E008E9">
        <w:rPr>
          <w:rFonts w:asciiTheme="minorHAnsi" w:hAnsiTheme="minorHAnsi"/>
          <w:i/>
          <w:iCs/>
          <w:sz w:val="24"/>
          <w:szCs w:val="22"/>
        </w:rPr>
        <w:t>Id</w:t>
      </w:r>
      <w:r w:rsidRPr="00E008E9">
        <w:rPr>
          <w:rFonts w:asciiTheme="minorHAnsi" w:hAnsiTheme="minorHAnsi"/>
          <w:sz w:val="24"/>
          <w:szCs w:val="22"/>
        </w:rPr>
        <w:t>. at *15.</w:t>
      </w:r>
    </w:p>
    <w:p w14:paraId="357D61F7" w14:textId="77777777" w:rsidR="008E185D" w:rsidRPr="00E008E9" w:rsidRDefault="008E185D" w:rsidP="008E185D">
      <w:pPr>
        <w:rPr>
          <w:rFonts w:asciiTheme="minorHAnsi" w:hAnsiTheme="minorHAnsi"/>
          <w:sz w:val="24"/>
          <w:szCs w:val="22"/>
        </w:rPr>
      </w:pPr>
      <w:bookmarkStart w:id="13" w:name="_Hlk199931996"/>
      <w:r w:rsidRPr="00E008E9">
        <w:rPr>
          <w:rFonts w:asciiTheme="minorHAnsi" w:hAnsiTheme="minorHAnsi"/>
          <w:sz w:val="24"/>
          <w:szCs w:val="22"/>
        </w:rPr>
        <w:t xml:space="preserve">3. </w:t>
      </w:r>
      <w:r w:rsidRPr="00E008E9">
        <w:rPr>
          <w:rFonts w:asciiTheme="minorHAnsi" w:hAnsiTheme="minorHAnsi"/>
          <w:i/>
          <w:iCs/>
          <w:sz w:val="24"/>
          <w:szCs w:val="22"/>
        </w:rPr>
        <w:t xml:space="preserve">A finding that </w:t>
      </w:r>
      <w:r w:rsidRPr="00E008E9">
        <w:rPr>
          <w:rFonts w:asciiTheme="minorHAnsi" w:hAnsiTheme="minorHAnsi"/>
          <w:sz w:val="24"/>
          <w:szCs w:val="22"/>
        </w:rPr>
        <w:t>Rogers v. Grimaldi</w:t>
      </w:r>
      <w:r w:rsidRPr="00E008E9">
        <w:rPr>
          <w:rFonts w:asciiTheme="minorHAnsi" w:hAnsiTheme="minorHAnsi"/>
          <w:i/>
          <w:iCs/>
          <w:sz w:val="24"/>
          <w:szCs w:val="22"/>
        </w:rPr>
        <w:t xml:space="preserve"> does not apply is not fatal to the defendant</w:t>
      </w:r>
      <w:r w:rsidRPr="00E008E9">
        <w:rPr>
          <w:rFonts w:asciiTheme="minorHAnsi" w:hAnsiTheme="minorHAnsi"/>
          <w:sz w:val="24"/>
          <w:szCs w:val="22"/>
        </w:rPr>
        <w:t xml:space="preserve">. As in </w:t>
      </w:r>
      <w:r w:rsidRPr="00E008E9">
        <w:rPr>
          <w:rFonts w:asciiTheme="minorHAnsi" w:hAnsiTheme="minorHAnsi"/>
          <w:i/>
          <w:iCs/>
          <w:sz w:val="24"/>
          <w:szCs w:val="22"/>
        </w:rPr>
        <w:t>VIP Prods. LLC v. Jack Daniel's Props. Inc</w:t>
      </w:r>
      <w:r w:rsidRPr="00E008E9">
        <w:rPr>
          <w:rFonts w:asciiTheme="minorHAnsi" w:hAnsiTheme="minorHAnsi"/>
          <w:sz w:val="24"/>
          <w:szCs w:val="22"/>
        </w:rPr>
        <w:t xml:space="preserve">., even when a court determines that the defendant has made a “trademark use” of the accused expression and cannot therefore benefit from the </w:t>
      </w:r>
      <w:r w:rsidRPr="00E008E9">
        <w:rPr>
          <w:rFonts w:asciiTheme="minorHAnsi" w:hAnsiTheme="minorHAnsi"/>
          <w:i/>
          <w:iCs/>
          <w:sz w:val="24"/>
          <w:szCs w:val="22"/>
        </w:rPr>
        <w:t>Rogers v. Grimaldi</w:t>
      </w:r>
      <w:r w:rsidRPr="00E008E9">
        <w:rPr>
          <w:rFonts w:asciiTheme="minorHAnsi" w:hAnsiTheme="minorHAnsi"/>
          <w:sz w:val="24"/>
          <w:szCs w:val="22"/>
        </w:rPr>
        <w:t xml:space="preserve"> test, a court may still find no likelihood of confusion. </w:t>
      </w:r>
      <w:r w:rsidRPr="00E008E9">
        <w:rPr>
          <w:rFonts w:asciiTheme="minorHAnsi" w:hAnsiTheme="minorHAnsi"/>
          <w:i/>
          <w:iCs/>
          <w:sz w:val="24"/>
          <w:szCs w:val="22"/>
        </w:rPr>
        <w:t>See, e.g., Punchbowl, Inc. v. AJ Press LLC</w:t>
      </w:r>
      <w:r w:rsidRPr="00E008E9">
        <w:rPr>
          <w:rFonts w:asciiTheme="minorHAnsi" w:hAnsiTheme="minorHAnsi"/>
          <w:sz w:val="24"/>
          <w:szCs w:val="22"/>
        </w:rPr>
        <w:t xml:space="preserve">, No. 21 Civ. 03010, 2024 WL 4005220 (C.D. Cal. Aug. 22, 2024), appeal dismissed, 2025 WL 899951 (9th Cir. Feb. 14, 2025). In </w:t>
      </w:r>
      <w:r w:rsidRPr="00E008E9">
        <w:rPr>
          <w:rFonts w:asciiTheme="minorHAnsi" w:hAnsiTheme="minorHAnsi"/>
          <w:i/>
          <w:iCs/>
          <w:sz w:val="24"/>
          <w:szCs w:val="22"/>
        </w:rPr>
        <w:t>Punchbowl</w:t>
      </w:r>
      <w:r w:rsidRPr="00E008E9">
        <w:rPr>
          <w:rFonts w:asciiTheme="minorHAnsi" w:hAnsiTheme="minorHAnsi"/>
          <w:sz w:val="24"/>
          <w:szCs w:val="22"/>
        </w:rPr>
        <w:t xml:space="preserve">, the plaintiff used the term “punchbowl” in its trademark for online greeting card services. The defendant used the term in its trademark for an online political news website. The district court had initially applied </w:t>
      </w:r>
      <w:r w:rsidRPr="00E008E9">
        <w:rPr>
          <w:rFonts w:asciiTheme="minorHAnsi" w:hAnsiTheme="minorHAnsi"/>
          <w:i/>
          <w:iCs/>
          <w:sz w:val="24"/>
          <w:szCs w:val="22"/>
        </w:rPr>
        <w:t>Rogers</w:t>
      </w:r>
      <w:r w:rsidRPr="00E008E9">
        <w:rPr>
          <w:rFonts w:asciiTheme="minorHAnsi" w:hAnsiTheme="minorHAnsi"/>
          <w:sz w:val="24"/>
          <w:szCs w:val="22"/>
        </w:rPr>
        <w:t xml:space="preserve"> and found no infringement, and the Ninth Circuit affirmed. </w:t>
      </w:r>
      <w:r w:rsidRPr="00E008E9">
        <w:rPr>
          <w:rFonts w:asciiTheme="minorHAnsi" w:hAnsiTheme="minorHAnsi"/>
          <w:i/>
          <w:iCs/>
          <w:sz w:val="24"/>
          <w:szCs w:val="22"/>
        </w:rPr>
        <w:t>Punchbowl, Inc. v. AJ Press, LLC</w:t>
      </w:r>
      <w:r w:rsidRPr="00E008E9">
        <w:rPr>
          <w:rFonts w:asciiTheme="minorHAnsi" w:hAnsiTheme="minorHAnsi"/>
          <w:sz w:val="24"/>
          <w:szCs w:val="22"/>
        </w:rPr>
        <w:t xml:space="preserve">, 52 F.4th 1091 (9th Cir. 2022). The Supreme Court then issued its </w:t>
      </w:r>
      <w:r w:rsidRPr="00E008E9">
        <w:rPr>
          <w:rFonts w:asciiTheme="minorHAnsi" w:hAnsiTheme="minorHAnsi"/>
          <w:i/>
          <w:iCs/>
          <w:sz w:val="24"/>
          <w:szCs w:val="22"/>
        </w:rPr>
        <w:t>Jack Daniel’s</w:t>
      </w:r>
      <w:r w:rsidRPr="00E008E9">
        <w:rPr>
          <w:rFonts w:asciiTheme="minorHAnsi" w:hAnsiTheme="minorHAnsi"/>
          <w:sz w:val="24"/>
          <w:szCs w:val="22"/>
        </w:rPr>
        <w:t xml:space="preserve"> opinion, with the result that the Ninth Circuit withdrew its opinion affirming and instead remanded to the district court to “proceed to a likelihood-of-confusion analysis.” </w:t>
      </w:r>
      <w:r w:rsidRPr="00E008E9">
        <w:rPr>
          <w:rFonts w:asciiTheme="minorHAnsi" w:hAnsiTheme="minorHAnsi"/>
          <w:i/>
          <w:iCs/>
          <w:sz w:val="24"/>
          <w:szCs w:val="22"/>
        </w:rPr>
        <w:t>Punchbowl, Inc. v. AJ Press, LLC</w:t>
      </w:r>
      <w:r w:rsidRPr="00E008E9">
        <w:rPr>
          <w:rFonts w:asciiTheme="minorHAnsi" w:hAnsiTheme="minorHAnsi"/>
          <w:sz w:val="24"/>
          <w:szCs w:val="22"/>
        </w:rPr>
        <w:t>, 90 F.4th 1022, 1032 (9th Cir. 2024). The district court then found no likelihood of confusion.</w:t>
      </w:r>
    </w:p>
    <w:p w14:paraId="26241853" w14:textId="77777777" w:rsidR="008E185D" w:rsidRPr="00E008E9" w:rsidRDefault="008E185D" w:rsidP="008E185D">
      <w:pPr>
        <w:pStyle w:val="Heading3"/>
        <w:rPr>
          <w:rFonts w:asciiTheme="minorHAnsi" w:hAnsiTheme="minorHAnsi"/>
          <w:bCs/>
        </w:rPr>
      </w:pPr>
      <w:bookmarkStart w:id="14" w:name="_Toc519683160"/>
      <w:bookmarkStart w:id="15" w:name="_Toc201424451"/>
      <w:bookmarkEnd w:id="13"/>
      <w:r w:rsidRPr="00E008E9">
        <w:rPr>
          <w:rFonts w:asciiTheme="minorHAnsi" w:hAnsiTheme="minorHAnsi"/>
        </w:rPr>
        <w:t>3.</w:t>
      </w:r>
      <w:r w:rsidRPr="00E008E9">
        <w:rPr>
          <w:rFonts w:asciiTheme="minorHAnsi" w:hAnsiTheme="minorHAnsi"/>
        </w:rPr>
        <w:tab/>
        <w:t xml:space="preserve">Further </w:t>
      </w:r>
      <w:bookmarkEnd w:id="14"/>
      <w:r w:rsidRPr="00E008E9">
        <w:rPr>
          <w:rFonts w:asciiTheme="minorHAnsi" w:hAnsiTheme="minorHAnsi"/>
        </w:rPr>
        <w:t>Aspects of Expressive Uses and Trademark Dilution</w:t>
      </w:r>
      <w:bookmarkEnd w:id="15"/>
    </w:p>
    <w:p w14:paraId="51C5E897" w14:textId="77777777" w:rsidR="008E185D" w:rsidRPr="00E008E9" w:rsidRDefault="008E185D" w:rsidP="008E185D">
      <w:pPr>
        <w:pStyle w:val="OpinionCitation"/>
        <w:rPr>
          <w:rFonts w:asciiTheme="minorHAnsi" w:hAnsiTheme="minorHAnsi"/>
          <w:sz w:val="24"/>
          <w:szCs w:val="22"/>
        </w:rPr>
      </w:pPr>
      <w:r w:rsidRPr="00E008E9">
        <w:rPr>
          <w:rFonts w:asciiTheme="minorHAnsi" w:hAnsiTheme="minorHAnsi"/>
          <w:sz w:val="24"/>
          <w:szCs w:val="22"/>
        </w:rPr>
        <w:t>Lanham Act § 43(c)(3), 15 U.S.C. § 1125(c)(3)</w:t>
      </w:r>
    </w:p>
    <w:p w14:paraId="3078CACA" w14:textId="77777777" w:rsidR="008E185D" w:rsidRPr="00E008E9" w:rsidRDefault="008E185D" w:rsidP="008E185D">
      <w:pPr>
        <w:pStyle w:val="Blockquote"/>
        <w:rPr>
          <w:rFonts w:asciiTheme="minorHAnsi" w:hAnsiTheme="minorHAnsi"/>
          <w:sz w:val="24"/>
          <w:szCs w:val="22"/>
        </w:rPr>
      </w:pPr>
      <w:r w:rsidRPr="00E008E9">
        <w:rPr>
          <w:rFonts w:asciiTheme="minorHAnsi" w:hAnsiTheme="minorHAnsi"/>
          <w:bCs/>
          <w:sz w:val="24"/>
          <w:szCs w:val="22"/>
        </w:rPr>
        <w:t>(3) Exclusions. The</w:t>
      </w:r>
      <w:r w:rsidRPr="00E008E9">
        <w:rPr>
          <w:rFonts w:asciiTheme="minorHAnsi" w:hAnsiTheme="minorHAnsi"/>
          <w:sz w:val="24"/>
          <w:szCs w:val="22"/>
        </w:rPr>
        <w:t xml:space="preserve"> following shall not be actionable as dilution by blurring or dilution by </w:t>
      </w:r>
      <w:proofErr w:type="spellStart"/>
      <w:r w:rsidRPr="00E008E9">
        <w:rPr>
          <w:rFonts w:asciiTheme="minorHAnsi" w:hAnsiTheme="minorHAnsi"/>
          <w:sz w:val="24"/>
          <w:szCs w:val="22"/>
        </w:rPr>
        <w:t>tarnishment</w:t>
      </w:r>
      <w:proofErr w:type="spellEnd"/>
      <w:r w:rsidRPr="00E008E9">
        <w:rPr>
          <w:rFonts w:asciiTheme="minorHAnsi" w:hAnsiTheme="minorHAnsi"/>
          <w:sz w:val="24"/>
          <w:szCs w:val="22"/>
        </w:rPr>
        <w:t xml:space="preserve"> under this subsection:</w:t>
      </w:r>
    </w:p>
    <w:p w14:paraId="25086A5F" w14:textId="77777777" w:rsidR="008E185D" w:rsidRPr="00E008E9" w:rsidRDefault="008E185D" w:rsidP="008E185D">
      <w:pPr>
        <w:pStyle w:val="Blockquote"/>
        <w:ind w:left="864"/>
        <w:rPr>
          <w:rFonts w:asciiTheme="minorHAnsi" w:hAnsiTheme="minorHAnsi"/>
          <w:sz w:val="24"/>
          <w:szCs w:val="22"/>
        </w:rPr>
      </w:pPr>
      <w:r w:rsidRPr="00E008E9">
        <w:rPr>
          <w:rFonts w:asciiTheme="minorHAnsi" w:hAnsiTheme="minorHAnsi"/>
          <w:sz w:val="24"/>
          <w:szCs w:val="22"/>
        </w:rPr>
        <w:t>(A) Any fair use, including a nominative or descriptive fair use, or facilitation of such fair use, of a famous mark by another person other than as a designation of source for the person’s own goods or services, including use in connection with—</w:t>
      </w:r>
    </w:p>
    <w:p w14:paraId="4EE580D3" w14:textId="77777777" w:rsidR="008E185D" w:rsidRPr="00E008E9" w:rsidRDefault="008E185D" w:rsidP="008E185D">
      <w:pPr>
        <w:pStyle w:val="Blockquote"/>
        <w:ind w:left="1296"/>
        <w:rPr>
          <w:rFonts w:asciiTheme="minorHAnsi" w:hAnsiTheme="minorHAnsi"/>
          <w:sz w:val="24"/>
          <w:szCs w:val="22"/>
        </w:rPr>
      </w:pPr>
      <w:r w:rsidRPr="00E008E9">
        <w:rPr>
          <w:rFonts w:asciiTheme="minorHAnsi" w:hAnsiTheme="minorHAnsi"/>
          <w:sz w:val="24"/>
          <w:szCs w:val="22"/>
        </w:rPr>
        <w:t>(i) advertising or promotion that permits consumers to compare goods or services; or</w:t>
      </w:r>
    </w:p>
    <w:p w14:paraId="558BEEF9" w14:textId="77777777" w:rsidR="008E185D" w:rsidRPr="00E008E9" w:rsidRDefault="008E185D" w:rsidP="008E185D">
      <w:pPr>
        <w:pStyle w:val="Blockquote"/>
        <w:ind w:left="1296"/>
        <w:rPr>
          <w:rFonts w:asciiTheme="minorHAnsi" w:hAnsiTheme="minorHAnsi"/>
          <w:sz w:val="24"/>
          <w:szCs w:val="22"/>
        </w:rPr>
      </w:pPr>
      <w:r w:rsidRPr="00E008E9">
        <w:rPr>
          <w:rFonts w:asciiTheme="minorHAnsi" w:hAnsiTheme="minorHAnsi"/>
          <w:sz w:val="24"/>
          <w:szCs w:val="22"/>
        </w:rPr>
        <w:t>(ii) identifying and parodying, criticizing, or commenting upon the famous mark owner or the goods or services of the famous mark owner.</w:t>
      </w:r>
    </w:p>
    <w:p w14:paraId="745BBBDE" w14:textId="77777777" w:rsidR="008E185D" w:rsidRPr="00E008E9" w:rsidRDefault="008E185D" w:rsidP="008E185D">
      <w:pPr>
        <w:pStyle w:val="Blockquote"/>
        <w:ind w:left="864"/>
        <w:rPr>
          <w:rFonts w:asciiTheme="minorHAnsi" w:hAnsiTheme="minorHAnsi"/>
          <w:sz w:val="24"/>
          <w:szCs w:val="22"/>
        </w:rPr>
      </w:pPr>
      <w:r w:rsidRPr="00E008E9">
        <w:rPr>
          <w:rFonts w:asciiTheme="minorHAnsi" w:hAnsiTheme="minorHAnsi"/>
          <w:sz w:val="24"/>
          <w:szCs w:val="22"/>
        </w:rPr>
        <w:lastRenderedPageBreak/>
        <w:t>(B) All forms of news reporting and news commentary.</w:t>
      </w:r>
    </w:p>
    <w:p w14:paraId="7E4325B0" w14:textId="77777777" w:rsidR="008E185D" w:rsidRPr="00E008E9" w:rsidRDefault="008E185D" w:rsidP="008E185D">
      <w:pPr>
        <w:pStyle w:val="Blockquote"/>
        <w:ind w:left="864"/>
        <w:rPr>
          <w:rFonts w:asciiTheme="minorHAnsi" w:hAnsiTheme="minorHAnsi"/>
          <w:sz w:val="24"/>
          <w:szCs w:val="22"/>
        </w:rPr>
      </w:pPr>
      <w:r w:rsidRPr="00E008E9">
        <w:rPr>
          <w:rFonts w:asciiTheme="minorHAnsi" w:hAnsiTheme="minorHAnsi"/>
          <w:sz w:val="24"/>
          <w:szCs w:val="22"/>
        </w:rPr>
        <w:t>(C) Any noncommercial use of a mark.</w:t>
      </w:r>
    </w:p>
    <w:p w14:paraId="7109BC75" w14:textId="77777777" w:rsidR="008E185D" w:rsidRPr="00E008E9" w:rsidRDefault="008E185D" w:rsidP="008E185D">
      <w:pPr>
        <w:rPr>
          <w:rFonts w:asciiTheme="minorHAnsi" w:hAnsiTheme="minorHAnsi"/>
          <w:sz w:val="24"/>
          <w:szCs w:val="22"/>
        </w:rPr>
      </w:pPr>
      <w:r w:rsidRPr="00E008E9">
        <w:rPr>
          <w:rFonts w:asciiTheme="minorHAnsi" w:hAnsiTheme="minorHAnsi"/>
          <w:sz w:val="24"/>
          <w:szCs w:val="22"/>
        </w:rPr>
        <w:t>We focus here on two of the exclusions listed in § 43(c)(3): the exclusion for “[a]</w:t>
      </w:r>
      <w:proofErr w:type="spellStart"/>
      <w:r w:rsidRPr="00E008E9">
        <w:rPr>
          <w:rFonts w:asciiTheme="minorHAnsi" w:hAnsiTheme="minorHAnsi"/>
          <w:sz w:val="24"/>
          <w:szCs w:val="22"/>
        </w:rPr>
        <w:t>ny</w:t>
      </w:r>
      <w:proofErr w:type="spellEnd"/>
      <w:r w:rsidRPr="00E008E9">
        <w:rPr>
          <w:rFonts w:asciiTheme="minorHAnsi" w:hAnsiTheme="minorHAnsi"/>
          <w:sz w:val="24"/>
          <w:szCs w:val="22"/>
        </w:rPr>
        <w:t xml:space="preserve"> noncommercial use of a mark” and the exclusion for uses “in connection with . . . identifying and parodying, criticizing, or commenting upon the famous mark owner or the goods or services of the famous mark owner.” </w:t>
      </w:r>
    </w:p>
    <w:p w14:paraId="1D8FC785" w14:textId="77777777" w:rsidR="008E185D" w:rsidRPr="00E008E9" w:rsidRDefault="008E185D" w:rsidP="008E185D">
      <w:pPr>
        <w:pStyle w:val="Heading4"/>
        <w:rPr>
          <w:rFonts w:asciiTheme="minorHAnsi" w:hAnsiTheme="minorHAnsi"/>
          <w:sz w:val="24"/>
          <w:szCs w:val="22"/>
        </w:rPr>
      </w:pPr>
      <w:bookmarkStart w:id="16" w:name="_Toc201424452"/>
      <w:r w:rsidRPr="00E008E9">
        <w:rPr>
          <w:rFonts w:asciiTheme="minorHAnsi" w:hAnsiTheme="minorHAnsi"/>
        </w:rPr>
        <w:t xml:space="preserve">a.  </w:t>
      </w:r>
      <w:r w:rsidRPr="00E008E9">
        <w:rPr>
          <w:rFonts w:asciiTheme="minorHAnsi" w:hAnsiTheme="minorHAnsi"/>
          <w:sz w:val="24"/>
          <w:szCs w:val="22"/>
        </w:rPr>
        <w:t>Noncommercial Expressive Uses</w:t>
      </w:r>
      <w:bookmarkEnd w:id="16"/>
      <w:r w:rsidRPr="00E008E9">
        <w:rPr>
          <w:rFonts w:asciiTheme="minorHAnsi" w:hAnsiTheme="minorHAnsi"/>
          <w:sz w:val="24"/>
          <w:szCs w:val="22"/>
        </w:rPr>
        <w:t xml:space="preserve"> </w:t>
      </w:r>
    </w:p>
    <w:p w14:paraId="3F281157" w14:textId="33F260D6" w:rsidR="008E185D" w:rsidRPr="00E008E9" w:rsidRDefault="008E185D" w:rsidP="00E008E9">
      <w:pPr>
        <w:rPr>
          <w:rFonts w:asciiTheme="minorHAnsi" w:hAnsiTheme="minorHAnsi"/>
          <w:sz w:val="24"/>
          <w:szCs w:val="24"/>
        </w:rPr>
      </w:pPr>
      <w:r w:rsidRPr="00E008E9">
        <w:rPr>
          <w:rFonts w:asciiTheme="minorHAnsi" w:hAnsiTheme="minorHAnsi"/>
          <w:sz w:val="24"/>
          <w:szCs w:val="24"/>
        </w:rPr>
        <w:t xml:space="preserve">The noncommercial use exception has proven, where it applies, to be an extraordinarily powerful limitation on trademark dilution liability. The following brief overview of </w:t>
      </w:r>
      <w:r w:rsidRPr="00E008E9">
        <w:rPr>
          <w:rFonts w:asciiTheme="minorHAnsi" w:hAnsiTheme="minorHAnsi"/>
          <w:i/>
          <w:iCs/>
          <w:sz w:val="24"/>
          <w:szCs w:val="24"/>
        </w:rPr>
        <w:t>Mattel, Inc. v. MCA Records, Inc.</w:t>
      </w:r>
      <w:r w:rsidRPr="00E008E9">
        <w:rPr>
          <w:rFonts w:asciiTheme="minorHAnsi" w:hAnsiTheme="minorHAnsi"/>
          <w:sz w:val="24"/>
          <w:szCs w:val="24"/>
        </w:rPr>
        <w:t xml:space="preserve">, 296 F.3d 894 (9th Cir. 2002), shows why. If the so-called “Aqua Case” were litigated today, now after </w:t>
      </w:r>
      <w:r w:rsidRPr="00E008E9">
        <w:rPr>
          <w:rFonts w:asciiTheme="minorHAnsi" w:hAnsiTheme="minorHAnsi"/>
          <w:i/>
          <w:iCs/>
          <w:sz w:val="24"/>
          <w:szCs w:val="24"/>
        </w:rPr>
        <w:t>Jack Daniel’s</w:t>
      </w:r>
      <w:r w:rsidRPr="00E008E9">
        <w:rPr>
          <w:rFonts w:asciiTheme="minorHAnsi" w:hAnsiTheme="minorHAnsi"/>
          <w:sz w:val="24"/>
          <w:szCs w:val="24"/>
        </w:rPr>
        <w:t>, would the Ninth Circuit be able to reach the same result?</w:t>
      </w:r>
    </w:p>
    <w:p w14:paraId="7F2E08B9" w14:textId="67628717" w:rsidR="008E185D" w:rsidRPr="00E008E9" w:rsidRDefault="008E185D" w:rsidP="008E185D">
      <w:pPr>
        <w:pStyle w:val="Heading7"/>
        <w:rPr>
          <w:rFonts w:asciiTheme="minorHAnsi" w:hAnsiTheme="minorHAnsi"/>
          <w:color w:val="FF0000"/>
          <w:sz w:val="24"/>
          <w:szCs w:val="24"/>
        </w:rPr>
      </w:pPr>
      <w:bookmarkStart w:id="17" w:name="_Toc519683161"/>
      <w:bookmarkStart w:id="18" w:name="_Toc201424453"/>
      <w:r w:rsidRPr="00E008E9">
        <w:rPr>
          <w:rFonts w:asciiTheme="minorHAnsi" w:hAnsiTheme="minorHAnsi"/>
          <w:color w:val="FF0000"/>
          <w:sz w:val="24"/>
          <w:szCs w:val="24"/>
        </w:rPr>
        <w:t>[</w:t>
      </w:r>
      <w:r w:rsidR="00E008E9" w:rsidRPr="00E008E9">
        <w:rPr>
          <w:rFonts w:asciiTheme="minorHAnsi" w:hAnsiTheme="minorHAnsi"/>
          <w:color w:val="FF0000"/>
          <w:sz w:val="24"/>
          <w:szCs w:val="24"/>
        </w:rPr>
        <w:t xml:space="preserve">The opinion </w:t>
      </w:r>
      <w:proofErr w:type="gramStart"/>
      <w:r w:rsidR="00E008E9" w:rsidRPr="00E008E9">
        <w:rPr>
          <w:rFonts w:asciiTheme="minorHAnsi" w:hAnsiTheme="minorHAnsi"/>
          <w:color w:val="FF0000"/>
          <w:sz w:val="24"/>
          <w:szCs w:val="24"/>
        </w:rPr>
        <w:t>in</w:t>
      </w:r>
      <w:proofErr w:type="gramEnd"/>
      <w:r w:rsidR="00E008E9" w:rsidRPr="00E008E9">
        <w:rPr>
          <w:rFonts w:asciiTheme="minorHAnsi" w:hAnsiTheme="minorHAnsi"/>
          <w:color w:val="FF0000"/>
          <w:sz w:val="24"/>
          <w:szCs w:val="24"/>
        </w:rPr>
        <w:t xml:space="preserve"> </w:t>
      </w:r>
      <w:r w:rsidRPr="00E008E9">
        <w:rPr>
          <w:rFonts w:asciiTheme="minorHAnsi" w:hAnsiTheme="minorHAnsi"/>
          <w:i/>
          <w:iCs/>
          <w:color w:val="FF0000"/>
          <w:sz w:val="24"/>
          <w:szCs w:val="24"/>
        </w:rPr>
        <w:t>Mattel, Inc. v. MCA Records, Inc</w:t>
      </w:r>
      <w:r w:rsidRPr="00E008E9">
        <w:rPr>
          <w:rFonts w:asciiTheme="minorHAnsi" w:hAnsiTheme="minorHAnsi"/>
          <w:color w:val="FF0000"/>
          <w:sz w:val="24"/>
          <w:szCs w:val="24"/>
        </w:rPr>
        <w:t>.</w:t>
      </w:r>
      <w:bookmarkEnd w:id="17"/>
      <w:bookmarkEnd w:id="18"/>
      <w:r w:rsidR="00E008E9" w:rsidRPr="00E008E9">
        <w:rPr>
          <w:rFonts w:asciiTheme="minorHAnsi" w:hAnsiTheme="minorHAnsi"/>
          <w:color w:val="FF0000"/>
          <w:sz w:val="24"/>
          <w:szCs w:val="24"/>
        </w:rPr>
        <w:t xml:space="preserve"> is available separately.</w:t>
      </w:r>
      <w:r w:rsidRPr="00E008E9">
        <w:rPr>
          <w:rFonts w:asciiTheme="minorHAnsi" w:hAnsiTheme="minorHAnsi"/>
          <w:color w:val="FF0000"/>
          <w:sz w:val="24"/>
          <w:szCs w:val="24"/>
        </w:rPr>
        <w:t>]</w:t>
      </w:r>
    </w:p>
    <w:p w14:paraId="38684ED7" w14:textId="77777777" w:rsidR="008E185D" w:rsidRPr="00E008E9" w:rsidRDefault="008E185D" w:rsidP="008E185D">
      <w:pPr>
        <w:pStyle w:val="CommentsandQuestions"/>
        <w:rPr>
          <w:rFonts w:asciiTheme="minorHAnsi" w:hAnsiTheme="minorHAnsi"/>
          <w:sz w:val="24"/>
          <w:szCs w:val="24"/>
        </w:rPr>
      </w:pPr>
      <w:r w:rsidRPr="00E008E9">
        <w:rPr>
          <w:rFonts w:asciiTheme="minorHAnsi" w:hAnsiTheme="minorHAnsi"/>
          <w:sz w:val="24"/>
          <w:szCs w:val="24"/>
        </w:rPr>
        <w:t>Questions and Comments</w:t>
      </w:r>
    </w:p>
    <w:p w14:paraId="14A56447" w14:textId="77777777" w:rsidR="008E185D" w:rsidRPr="00E008E9" w:rsidRDefault="008E185D" w:rsidP="008E185D">
      <w:pPr>
        <w:rPr>
          <w:rFonts w:asciiTheme="minorHAnsi" w:hAnsiTheme="minorHAnsi"/>
          <w:sz w:val="24"/>
          <w:szCs w:val="24"/>
        </w:rPr>
      </w:pPr>
      <w:r w:rsidRPr="00E008E9">
        <w:rPr>
          <w:rFonts w:asciiTheme="minorHAnsi" w:hAnsiTheme="minorHAnsi"/>
          <w:sz w:val="24"/>
          <w:szCs w:val="24"/>
        </w:rPr>
        <w:t xml:space="preserve">1. </w:t>
      </w:r>
      <w:r w:rsidRPr="00E008E9">
        <w:rPr>
          <w:rFonts w:asciiTheme="minorHAnsi" w:hAnsiTheme="minorHAnsi"/>
          <w:i/>
          <w:iCs/>
          <w:sz w:val="24"/>
          <w:szCs w:val="24"/>
        </w:rPr>
        <w:t>An alternative approach to the question of noncommercial uses</w:t>
      </w:r>
      <w:r w:rsidRPr="00E008E9">
        <w:rPr>
          <w:rFonts w:asciiTheme="minorHAnsi" w:hAnsiTheme="minorHAnsi"/>
          <w:sz w:val="24"/>
          <w:szCs w:val="24"/>
        </w:rPr>
        <w:t xml:space="preserve">. For a significantly more subtle (but less defendant-friendly) approach to the question of whether a use qualifies as non-commercial, see </w:t>
      </w:r>
      <w:r w:rsidRPr="00E008E9">
        <w:rPr>
          <w:rFonts w:asciiTheme="minorHAnsi" w:hAnsiTheme="minorHAnsi"/>
          <w:i/>
          <w:sz w:val="24"/>
          <w:szCs w:val="24"/>
        </w:rPr>
        <w:t>Jordan v. Jewel Food Stores, Inc</w:t>
      </w:r>
      <w:r w:rsidRPr="00E008E9">
        <w:rPr>
          <w:rFonts w:asciiTheme="minorHAnsi" w:hAnsiTheme="minorHAnsi"/>
          <w:sz w:val="24"/>
          <w:szCs w:val="24"/>
        </w:rPr>
        <w:t>., 743 F.3d 509 (7th Cir. 2014).</w:t>
      </w:r>
    </w:p>
    <w:p w14:paraId="2804A6ED" w14:textId="77777777" w:rsidR="008E185D" w:rsidRPr="00E008E9" w:rsidRDefault="008E185D" w:rsidP="008E185D">
      <w:pPr>
        <w:pStyle w:val="Heading4"/>
        <w:rPr>
          <w:rFonts w:asciiTheme="minorHAnsi" w:hAnsiTheme="minorHAnsi"/>
          <w:sz w:val="24"/>
          <w:szCs w:val="24"/>
        </w:rPr>
      </w:pPr>
      <w:bookmarkStart w:id="19" w:name="_Toc201424454"/>
      <w:r w:rsidRPr="00E008E9">
        <w:rPr>
          <w:rFonts w:asciiTheme="minorHAnsi" w:hAnsiTheme="minorHAnsi"/>
          <w:sz w:val="24"/>
          <w:szCs w:val="24"/>
        </w:rPr>
        <w:t>b.  What Qualifies as Parody under § 43(c)(3)(A)(ii)?</w:t>
      </w:r>
      <w:bookmarkEnd w:id="19"/>
    </w:p>
    <w:p w14:paraId="55848F3D" w14:textId="77777777" w:rsidR="008E185D" w:rsidRPr="00E008E9" w:rsidRDefault="008E185D" w:rsidP="008E185D">
      <w:pPr>
        <w:rPr>
          <w:rFonts w:asciiTheme="minorHAnsi" w:hAnsiTheme="minorHAnsi"/>
          <w:sz w:val="24"/>
          <w:szCs w:val="24"/>
        </w:rPr>
      </w:pPr>
      <w:r w:rsidRPr="00E008E9">
        <w:rPr>
          <w:rFonts w:asciiTheme="minorHAnsi" w:hAnsiTheme="minorHAnsi"/>
          <w:sz w:val="24"/>
          <w:szCs w:val="24"/>
        </w:rPr>
        <w:t xml:space="preserve">The following two opinions count as relatively minor opinions in the </w:t>
      </w:r>
      <w:proofErr w:type="gramStart"/>
      <w:r w:rsidRPr="00E008E9">
        <w:rPr>
          <w:rFonts w:asciiTheme="minorHAnsi" w:hAnsiTheme="minorHAnsi"/>
          <w:sz w:val="24"/>
          <w:szCs w:val="24"/>
        </w:rPr>
        <w:t>case</w:t>
      </w:r>
      <w:proofErr w:type="gramEnd"/>
      <w:r w:rsidRPr="00E008E9">
        <w:rPr>
          <w:rFonts w:asciiTheme="minorHAnsi" w:hAnsiTheme="minorHAnsi"/>
          <w:sz w:val="24"/>
          <w:szCs w:val="24"/>
        </w:rPr>
        <w:t xml:space="preserve"> law on trademark dilution and parody. But together they provide a good means of exploring the question of what constitutes parody under Lanham Act § 43(c)(3)(A)(ii). Do the opinions adopt differing approaches to the definition of parody under that subsection or were the facts (or quality of the lawyering) in the two cases sufficiently different to explain the differing outcomes? </w:t>
      </w:r>
    </w:p>
    <w:p w14:paraId="6AA7502F" w14:textId="498A7AFD" w:rsidR="008E185D" w:rsidRPr="00E008E9" w:rsidRDefault="008E185D" w:rsidP="008E185D">
      <w:pPr>
        <w:pStyle w:val="Normal-centered0"/>
        <w:rPr>
          <w:rFonts w:asciiTheme="minorHAnsi" w:hAnsiTheme="minorHAnsi"/>
          <w:sz w:val="24"/>
          <w:szCs w:val="24"/>
        </w:rPr>
      </w:pPr>
    </w:p>
    <w:p w14:paraId="2FBC19A1" w14:textId="6F145B2C" w:rsidR="008E185D" w:rsidRPr="00E008E9" w:rsidRDefault="008E185D" w:rsidP="008E185D">
      <w:pPr>
        <w:pStyle w:val="Heading7"/>
        <w:rPr>
          <w:rFonts w:asciiTheme="minorHAnsi" w:hAnsiTheme="minorHAnsi"/>
          <w:color w:val="FF0000"/>
          <w:sz w:val="24"/>
          <w:szCs w:val="24"/>
        </w:rPr>
      </w:pPr>
      <w:bookmarkStart w:id="20" w:name="_Toc519683162"/>
      <w:bookmarkStart w:id="21" w:name="_Toc201424455"/>
      <w:r w:rsidRPr="00E008E9">
        <w:rPr>
          <w:rFonts w:asciiTheme="minorHAnsi" w:hAnsiTheme="minorHAnsi"/>
          <w:color w:val="FF0000"/>
          <w:sz w:val="24"/>
          <w:szCs w:val="24"/>
        </w:rPr>
        <w:t>[</w:t>
      </w:r>
      <w:r w:rsidR="00E008E9" w:rsidRPr="00E008E9">
        <w:rPr>
          <w:rFonts w:asciiTheme="minorHAnsi" w:hAnsiTheme="minorHAnsi"/>
          <w:color w:val="FF0000"/>
          <w:sz w:val="24"/>
          <w:szCs w:val="24"/>
        </w:rPr>
        <w:t xml:space="preserve">The opinion in </w:t>
      </w:r>
      <w:r w:rsidRPr="00E008E9">
        <w:rPr>
          <w:rFonts w:asciiTheme="minorHAnsi" w:hAnsiTheme="minorHAnsi"/>
          <w:i/>
          <w:iCs/>
          <w:color w:val="FF0000"/>
          <w:sz w:val="24"/>
          <w:szCs w:val="24"/>
        </w:rPr>
        <w:t>Louis Vuitton Malletier, S.A. v. Hyundai Motor Am.</w:t>
      </w:r>
      <w:bookmarkEnd w:id="20"/>
      <w:bookmarkEnd w:id="21"/>
      <w:r w:rsidR="00E008E9" w:rsidRPr="00E008E9">
        <w:rPr>
          <w:rFonts w:asciiTheme="minorHAnsi" w:hAnsiTheme="minorHAnsi"/>
          <w:color w:val="FF0000"/>
          <w:sz w:val="24"/>
          <w:szCs w:val="24"/>
        </w:rPr>
        <w:t xml:space="preserve"> is available separately.</w:t>
      </w:r>
      <w:r w:rsidRPr="00E008E9">
        <w:rPr>
          <w:rFonts w:asciiTheme="minorHAnsi" w:hAnsiTheme="minorHAnsi"/>
          <w:color w:val="FF0000"/>
          <w:sz w:val="24"/>
          <w:szCs w:val="24"/>
        </w:rPr>
        <w:t>]</w:t>
      </w:r>
    </w:p>
    <w:p w14:paraId="2172EC68" w14:textId="77777777" w:rsidR="008E185D" w:rsidRPr="00E008E9" w:rsidRDefault="008E185D" w:rsidP="008E185D">
      <w:pPr>
        <w:rPr>
          <w:rFonts w:asciiTheme="minorHAnsi" w:hAnsiTheme="minorHAnsi"/>
          <w:color w:val="FF0000"/>
          <w:sz w:val="24"/>
          <w:szCs w:val="24"/>
        </w:rPr>
      </w:pPr>
    </w:p>
    <w:p w14:paraId="2777E9E1" w14:textId="784C6377" w:rsidR="008E185D" w:rsidRPr="00E008E9" w:rsidRDefault="008E185D" w:rsidP="008E185D">
      <w:pPr>
        <w:pStyle w:val="Heading7"/>
        <w:rPr>
          <w:rFonts w:asciiTheme="minorHAnsi" w:hAnsiTheme="minorHAnsi"/>
          <w:color w:val="FF0000"/>
          <w:sz w:val="24"/>
          <w:szCs w:val="24"/>
        </w:rPr>
      </w:pPr>
      <w:bookmarkStart w:id="22" w:name="_Toc201424456"/>
      <w:r w:rsidRPr="00E008E9">
        <w:rPr>
          <w:rFonts w:asciiTheme="minorHAnsi" w:hAnsiTheme="minorHAnsi"/>
          <w:color w:val="FF0000"/>
          <w:sz w:val="24"/>
          <w:szCs w:val="24"/>
        </w:rPr>
        <w:t>[</w:t>
      </w:r>
      <w:r w:rsidR="00E008E9" w:rsidRPr="00E008E9">
        <w:rPr>
          <w:rFonts w:asciiTheme="minorHAnsi" w:hAnsiTheme="minorHAnsi"/>
          <w:color w:val="FF0000"/>
          <w:sz w:val="24"/>
          <w:szCs w:val="24"/>
        </w:rPr>
        <w:t xml:space="preserve">The opinion in </w:t>
      </w:r>
      <w:r w:rsidRPr="00E008E9">
        <w:rPr>
          <w:rFonts w:asciiTheme="minorHAnsi" w:hAnsiTheme="minorHAnsi"/>
          <w:i/>
          <w:iCs/>
          <w:color w:val="FF0000"/>
          <w:sz w:val="24"/>
          <w:szCs w:val="24"/>
        </w:rPr>
        <w:t>Louis Vuitton Malletier v. My Other Bag, Inc.</w:t>
      </w:r>
      <w:bookmarkEnd w:id="22"/>
      <w:r w:rsidR="00E008E9" w:rsidRPr="00E008E9">
        <w:rPr>
          <w:rFonts w:asciiTheme="minorHAnsi" w:hAnsiTheme="minorHAnsi"/>
          <w:color w:val="FF0000"/>
          <w:sz w:val="24"/>
          <w:szCs w:val="24"/>
        </w:rPr>
        <w:t xml:space="preserve"> is available separately.</w:t>
      </w:r>
      <w:r w:rsidRPr="00E008E9">
        <w:rPr>
          <w:rFonts w:asciiTheme="minorHAnsi" w:hAnsiTheme="minorHAnsi"/>
          <w:color w:val="FF0000"/>
          <w:sz w:val="24"/>
          <w:szCs w:val="24"/>
        </w:rPr>
        <w:t>]</w:t>
      </w:r>
    </w:p>
    <w:p w14:paraId="6C27ECEF" w14:textId="77777777" w:rsidR="008E185D" w:rsidRPr="00E008E9" w:rsidRDefault="008E185D" w:rsidP="008E185D">
      <w:pPr>
        <w:pStyle w:val="OpinionCitation"/>
        <w:rPr>
          <w:sz w:val="24"/>
          <w:szCs w:val="24"/>
        </w:rPr>
      </w:pPr>
    </w:p>
    <w:p w14:paraId="439F2D7B" w14:textId="77777777" w:rsidR="00EB3DF5" w:rsidRPr="00E008E9" w:rsidRDefault="00EB3DF5">
      <w:pPr>
        <w:rPr>
          <w:sz w:val="24"/>
          <w:szCs w:val="24"/>
        </w:rPr>
      </w:pPr>
    </w:p>
    <w:sectPr w:rsidR="00EB3DF5" w:rsidRPr="00E008E9" w:rsidSect="00E008E9">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4D30C" w14:textId="77777777" w:rsidR="00BA461C" w:rsidRDefault="00BA461C" w:rsidP="008E185D">
      <w:pPr>
        <w:spacing w:after="0" w:line="240" w:lineRule="auto"/>
      </w:pPr>
      <w:r>
        <w:separator/>
      </w:r>
    </w:p>
  </w:endnote>
  <w:endnote w:type="continuationSeparator" w:id="0">
    <w:p w14:paraId="440278B8" w14:textId="77777777" w:rsidR="00BA461C" w:rsidRDefault="00BA461C" w:rsidP="008E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5669" w14:textId="77777777" w:rsidR="00E008E9" w:rsidRPr="00E008E9" w:rsidRDefault="00E008E9" w:rsidP="00E008E9">
    <w:pPr>
      <w:pStyle w:val="Pagenumber"/>
      <w:rPr>
        <w:rFonts w:asciiTheme="minorHAnsi" w:hAnsiTheme="minorHAnsi"/>
        <w:noProof/>
      </w:rPr>
    </w:pPr>
    <w:r w:rsidRPr="00E008E9">
      <w:rPr>
        <w:rFonts w:asciiTheme="minorHAnsi" w:hAnsiTheme="minorHAnsi"/>
      </w:rPr>
      <w:fldChar w:fldCharType="begin"/>
    </w:r>
    <w:r w:rsidRPr="00E008E9">
      <w:rPr>
        <w:rFonts w:asciiTheme="minorHAnsi" w:hAnsiTheme="minorHAnsi"/>
      </w:rPr>
      <w:instrText xml:space="preserve"> PAGE   \* MERGEFORMAT </w:instrText>
    </w:r>
    <w:r w:rsidRPr="00E008E9">
      <w:rPr>
        <w:rFonts w:asciiTheme="minorHAnsi" w:hAnsiTheme="minorHAnsi"/>
      </w:rPr>
      <w:fldChar w:fldCharType="separate"/>
    </w:r>
    <w:r w:rsidRPr="00E008E9">
      <w:rPr>
        <w:rFonts w:asciiTheme="minorHAnsi" w:hAnsiTheme="minorHAnsi"/>
      </w:rPr>
      <w:t>2</w:t>
    </w:r>
    <w:r w:rsidRPr="00E008E9">
      <w:rPr>
        <w:rFonts w:asciiTheme="minorHAnsi" w:hAnsiTheme="minorHAnsi"/>
        <w:noProof/>
      </w:rPr>
      <w:fldChar w:fldCharType="end"/>
    </w:r>
  </w:p>
  <w:p w14:paraId="5D0A809C" w14:textId="77777777" w:rsidR="00E008E9" w:rsidRPr="00E008E9" w:rsidRDefault="00E008E9" w:rsidP="00E00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AD31F" w14:textId="77777777" w:rsidR="00BA461C" w:rsidRDefault="00BA461C" w:rsidP="008E185D">
      <w:pPr>
        <w:spacing w:after="0" w:line="240" w:lineRule="auto"/>
      </w:pPr>
      <w:r>
        <w:separator/>
      </w:r>
    </w:p>
  </w:footnote>
  <w:footnote w:type="continuationSeparator" w:id="0">
    <w:p w14:paraId="50BE1536" w14:textId="77777777" w:rsidR="00BA461C" w:rsidRDefault="00BA461C" w:rsidP="008E1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E10D" w14:textId="1CFAA3D1" w:rsidR="00E008E9" w:rsidRPr="00E008E9" w:rsidRDefault="00E008E9" w:rsidP="00E008E9">
    <w:pPr>
      <w:pStyle w:val="Header"/>
      <w:ind w:firstLine="0"/>
      <w:jc w:val="center"/>
      <w:rPr>
        <w:i/>
        <w:iCs/>
      </w:rPr>
    </w:pPr>
    <w:r w:rsidRPr="00E008E9">
      <w:rPr>
        <w:rFonts w:asciiTheme="minorHAnsi" w:hAnsiTheme="minorHAnsi"/>
        <w:i/>
        <w:iCs/>
      </w:rPr>
      <w:t>Beebe - Trademark Law: An Open-Access Casebook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84EB9"/>
    <w:multiLevelType w:val="hybridMultilevel"/>
    <w:tmpl w:val="89BC93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423733E"/>
    <w:multiLevelType w:val="hybridMultilevel"/>
    <w:tmpl w:val="E04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79D"/>
    <w:multiLevelType w:val="hybridMultilevel"/>
    <w:tmpl w:val="F594DD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8273A4"/>
    <w:multiLevelType w:val="hybridMultilevel"/>
    <w:tmpl w:val="285011C4"/>
    <w:lvl w:ilvl="0" w:tplc="1DCC6E12">
      <w:start w:val="1"/>
      <w:numFmt w:val="decimal"/>
      <w:lvlText w:val="(%1)"/>
      <w:lvlJc w:val="left"/>
      <w:pPr>
        <w:ind w:left="1317" w:hanging="88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AE40A63"/>
    <w:multiLevelType w:val="hybridMultilevel"/>
    <w:tmpl w:val="5D12F9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BE92379"/>
    <w:multiLevelType w:val="multilevel"/>
    <w:tmpl w:val="0A06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35AFA"/>
    <w:multiLevelType w:val="hybridMultilevel"/>
    <w:tmpl w:val="486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D6D1C"/>
    <w:multiLevelType w:val="hybridMultilevel"/>
    <w:tmpl w:val="2D66EF0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8261816"/>
    <w:multiLevelType w:val="hybridMultilevel"/>
    <w:tmpl w:val="739E07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184550AA"/>
    <w:multiLevelType w:val="hybridMultilevel"/>
    <w:tmpl w:val="A1DAB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88B4ACF"/>
    <w:multiLevelType w:val="multilevel"/>
    <w:tmpl w:val="6E9C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B547C"/>
    <w:multiLevelType w:val="hybridMultilevel"/>
    <w:tmpl w:val="C27A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D54631"/>
    <w:multiLevelType w:val="hybridMultilevel"/>
    <w:tmpl w:val="F04E9D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18DC5483"/>
    <w:multiLevelType w:val="hybridMultilevel"/>
    <w:tmpl w:val="E92011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19591D46"/>
    <w:multiLevelType w:val="hybridMultilevel"/>
    <w:tmpl w:val="8D08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F5447"/>
    <w:multiLevelType w:val="hybridMultilevel"/>
    <w:tmpl w:val="DFC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1301F8"/>
    <w:multiLevelType w:val="hybridMultilevel"/>
    <w:tmpl w:val="56D21EA6"/>
    <w:lvl w:ilvl="0" w:tplc="5E508B3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1F610550"/>
    <w:multiLevelType w:val="hybridMultilevel"/>
    <w:tmpl w:val="2034BC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4EF106A"/>
    <w:multiLevelType w:val="hybridMultilevel"/>
    <w:tmpl w:val="C632179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28D65431"/>
    <w:multiLevelType w:val="hybridMultilevel"/>
    <w:tmpl w:val="38E04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AB65213"/>
    <w:multiLevelType w:val="hybridMultilevel"/>
    <w:tmpl w:val="D750A8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2B6032AA"/>
    <w:multiLevelType w:val="hybridMultilevel"/>
    <w:tmpl w:val="CF5224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D4B4EA7"/>
    <w:multiLevelType w:val="hybridMultilevel"/>
    <w:tmpl w:val="502E4DD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15:restartNumberingAfterBreak="0">
    <w:nsid w:val="2F0E578D"/>
    <w:multiLevelType w:val="hybridMultilevel"/>
    <w:tmpl w:val="0E58A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9401154"/>
    <w:multiLevelType w:val="hybridMultilevel"/>
    <w:tmpl w:val="FC088B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15:restartNumberingAfterBreak="0">
    <w:nsid w:val="397F6E5A"/>
    <w:multiLevelType w:val="hybridMultilevel"/>
    <w:tmpl w:val="812267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3AD65CAB"/>
    <w:multiLevelType w:val="hybridMultilevel"/>
    <w:tmpl w:val="28629268"/>
    <w:lvl w:ilvl="0" w:tplc="04090001">
      <w:start w:val="1"/>
      <w:numFmt w:val="bullet"/>
      <w:lvlText w:val=""/>
      <w:lvlJc w:val="left"/>
      <w:pPr>
        <w:ind w:left="792" w:hanging="360"/>
      </w:pPr>
      <w:rPr>
        <w:rFonts w:ascii="Symbol" w:hAnsi="Symbol" w:hint="default"/>
      </w:rPr>
    </w:lvl>
    <w:lvl w:ilvl="1" w:tplc="3E6051B4">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3B1712AD"/>
    <w:multiLevelType w:val="hybridMultilevel"/>
    <w:tmpl w:val="60CE52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3B821B52"/>
    <w:multiLevelType w:val="hybridMultilevel"/>
    <w:tmpl w:val="8F4857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3F8C165E"/>
    <w:multiLevelType w:val="hybridMultilevel"/>
    <w:tmpl w:val="874CDB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3FCD5516"/>
    <w:multiLevelType w:val="hybridMultilevel"/>
    <w:tmpl w:val="9A24DA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4273099C"/>
    <w:multiLevelType w:val="hybridMultilevel"/>
    <w:tmpl w:val="A57031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44D304F9"/>
    <w:multiLevelType w:val="hybridMultilevel"/>
    <w:tmpl w:val="ED406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785764A"/>
    <w:multiLevelType w:val="hybridMultilevel"/>
    <w:tmpl w:val="7B222EA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47C507A3"/>
    <w:multiLevelType w:val="hybridMultilevel"/>
    <w:tmpl w:val="6324F6A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4845539C"/>
    <w:multiLevelType w:val="hybridMultilevel"/>
    <w:tmpl w:val="88B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C32D5"/>
    <w:multiLevelType w:val="hybridMultilevel"/>
    <w:tmpl w:val="C092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141C8B"/>
    <w:multiLevelType w:val="hybridMultilevel"/>
    <w:tmpl w:val="8C88B5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15:restartNumberingAfterBreak="0">
    <w:nsid w:val="4B391ADB"/>
    <w:multiLevelType w:val="hybridMultilevel"/>
    <w:tmpl w:val="328EF278"/>
    <w:lvl w:ilvl="0" w:tplc="9EF232E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4F081EF0"/>
    <w:multiLevelType w:val="hybridMultilevel"/>
    <w:tmpl w:val="8F5C59E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52194449"/>
    <w:multiLevelType w:val="hybridMultilevel"/>
    <w:tmpl w:val="6E52DC48"/>
    <w:lvl w:ilvl="0" w:tplc="99FAB11E">
      <w:start w:val="1"/>
      <w:numFmt w:val="decimal"/>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2" w15:restartNumberingAfterBreak="0">
    <w:nsid w:val="55F90B9B"/>
    <w:multiLevelType w:val="hybridMultilevel"/>
    <w:tmpl w:val="D0829732"/>
    <w:lvl w:ilvl="0" w:tplc="04090001">
      <w:start w:val="1"/>
      <w:numFmt w:val="bullet"/>
      <w:lvlText w:val=""/>
      <w:lvlJc w:val="left"/>
      <w:pPr>
        <w:ind w:left="792" w:hanging="360"/>
      </w:pPr>
      <w:rPr>
        <w:rFonts w:ascii="Symbol" w:hAnsi="Symbol" w:hint="default"/>
      </w:rPr>
    </w:lvl>
    <w:lvl w:ilvl="1" w:tplc="FD404DCC">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58917C13"/>
    <w:multiLevelType w:val="hybridMultilevel"/>
    <w:tmpl w:val="EEC232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B36249"/>
    <w:multiLevelType w:val="hybridMultilevel"/>
    <w:tmpl w:val="F536D4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 w15:restartNumberingAfterBreak="0">
    <w:nsid w:val="5A7618F4"/>
    <w:multiLevelType w:val="hybridMultilevel"/>
    <w:tmpl w:val="06CAD86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6" w15:restartNumberingAfterBreak="0">
    <w:nsid w:val="5C0C080A"/>
    <w:multiLevelType w:val="hybridMultilevel"/>
    <w:tmpl w:val="1002A28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15:restartNumberingAfterBreak="0">
    <w:nsid w:val="5CB427A0"/>
    <w:multiLevelType w:val="hybridMultilevel"/>
    <w:tmpl w:val="D99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851092"/>
    <w:multiLevelType w:val="hybridMultilevel"/>
    <w:tmpl w:val="E5A81800"/>
    <w:lvl w:ilvl="0" w:tplc="7EC83F7C">
      <w:numFmt w:val="bullet"/>
      <w:lvlText w:val="•"/>
      <w:lvlJc w:val="left"/>
      <w:pPr>
        <w:ind w:left="792" w:hanging="360"/>
      </w:pPr>
      <w:rPr>
        <w:rFonts w:ascii="Cambria" w:eastAsia="Calibri" w:hAnsi="Cambria"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9" w15:restartNumberingAfterBreak="0">
    <w:nsid w:val="612C1D2D"/>
    <w:multiLevelType w:val="hybridMultilevel"/>
    <w:tmpl w:val="DA58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6029B"/>
    <w:multiLevelType w:val="hybridMultilevel"/>
    <w:tmpl w:val="3A309C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1" w15:restartNumberingAfterBreak="0">
    <w:nsid w:val="64073E59"/>
    <w:multiLevelType w:val="hybridMultilevel"/>
    <w:tmpl w:val="410CF4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64EC778D"/>
    <w:multiLevelType w:val="hybridMultilevel"/>
    <w:tmpl w:val="78748E3A"/>
    <w:lvl w:ilvl="0" w:tplc="04090001">
      <w:start w:val="1"/>
      <w:numFmt w:val="bullet"/>
      <w:lvlText w:val=""/>
      <w:lvlJc w:val="left"/>
      <w:pPr>
        <w:ind w:left="792" w:hanging="360"/>
      </w:pPr>
      <w:rPr>
        <w:rFonts w:ascii="Symbol" w:hAnsi="Symbol" w:hint="default"/>
      </w:rPr>
    </w:lvl>
    <w:lvl w:ilvl="1" w:tplc="CCC8BBC6">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66BA3DAE"/>
    <w:multiLevelType w:val="hybridMultilevel"/>
    <w:tmpl w:val="D958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F32ED4"/>
    <w:multiLevelType w:val="hybridMultilevel"/>
    <w:tmpl w:val="4DBE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2523ED"/>
    <w:multiLevelType w:val="hybridMultilevel"/>
    <w:tmpl w:val="DAF452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6" w15:restartNumberingAfterBreak="0">
    <w:nsid w:val="6D5242D8"/>
    <w:multiLevelType w:val="multilevel"/>
    <w:tmpl w:val="19A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7D2188"/>
    <w:multiLevelType w:val="hybridMultilevel"/>
    <w:tmpl w:val="438A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724809"/>
    <w:multiLevelType w:val="hybridMultilevel"/>
    <w:tmpl w:val="7780C59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9" w15:restartNumberingAfterBreak="0">
    <w:nsid w:val="6F0E2DD3"/>
    <w:multiLevelType w:val="hybridMultilevel"/>
    <w:tmpl w:val="4A286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5E1A81"/>
    <w:multiLevelType w:val="hybridMultilevel"/>
    <w:tmpl w:val="1056F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5B156E"/>
    <w:multiLevelType w:val="hybridMultilevel"/>
    <w:tmpl w:val="4A180616"/>
    <w:lvl w:ilvl="0" w:tplc="ADF885D8">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74A53806"/>
    <w:multiLevelType w:val="hybridMultilevel"/>
    <w:tmpl w:val="E65037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7559310E"/>
    <w:multiLevelType w:val="hybridMultilevel"/>
    <w:tmpl w:val="6A6AE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A15BCE"/>
    <w:multiLevelType w:val="hybridMultilevel"/>
    <w:tmpl w:val="222C77BC"/>
    <w:lvl w:ilvl="0" w:tplc="04090001">
      <w:start w:val="1"/>
      <w:numFmt w:val="bullet"/>
      <w:lvlText w:val=""/>
      <w:lvlJc w:val="left"/>
      <w:pPr>
        <w:ind w:left="792" w:hanging="360"/>
      </w:pPr>
      <w:rPr>
        <w:rFonts w:ascii="Symbol" w:hAnsi="Symbol" w:hint="default"/>
      </w:rPr>
    </w:lvl>
    <w:lvl w:ilvl="1" w:tplc="E1D68F02">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 w15:restartNumberingAfterBreak="0">
    <w:nsid w:val="76F30920"/>
    <w:multiLevelType w:val="hybridMultilevel"/>
    <w:tmpl w:val="79B809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6" w15:restartNumberingAfterBreak="0">
    <w:nsid w:val="7F6C3508"/>
    <w:multiLevelType w:val="hybridMultilevel"/>
    <w:tmpl w:val="8974BA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34164663">
    <w:abstractNumId w:val="45"/>
  </w:num>
  <w:num w:numId="2" w16cid:durableId="87389589">
    <w:abstractNumId w:val="24"/>
  </w:num>
  <w:num w:numId="3" w16cid:durableId="659501241">
    <w:abstractNumId w:val="0"/>
  </w:num>
  <w:num w:numId="4" w16cid:durableId="1387029198">
    <w:abstractNumId w:val="59"/>
  </w:num>
  <w:num w:numId="5" w16cid:durableId="396519674">
    <w:abstractNumId w:val="20"/>
  </w:num>
  <w:num w:numId="6" w16cid:durableId="762409789">
    <w:abstractNumId w:val="30"/>
  </w:num>
  <w:num w:numId="7" w16cid:durableId="186916907">
    <w:abstractNumId w:val="33"/>
  </w:num>
  <w:num w:numId="8" w16cid:durableId="1602369685">
    <w:abstractNumId w:val="53"/>
  </w:num>
  <w:num w:numId="9" w16cid:durableId="647127347">
    <w:abstractNumId w:val="54"/>
  </w:num>
  <w:num w:numId="10" w16cid:durableId="1220632107">
    <w:abstractNumId w:val="57"/>
  </w:num>
  <w:num w:numId="11" w16cid:durableId="1741755792">
    <w:abstractNumId w:val="13"/>
  </w:num>
  <w:num w:numId="12" w16cid:durableId="950279756">
    <w:abstractNumId w:val="66"/>
  </w:num>
  <w:num w:numId="13" w16cid:durableId="1947927468">
    <w:abstractNumId w:val="25"/>
  </w:num>
  <w:num w:numId="14" w16cid:durableId="1320496178">
    <w:abstractNumId w:val="14"/>
  </w:num>
  <w:num w:numId="15" w16cid:durableId="2007173233">
    <w:abstractNumId w:val="46"/>
  </w:num>
  <w:num w:numId="16" w16cid:durableId="1111507248">
    <w:abstractNumId w:val="58"/>
  </w:num>
  <w:num w:numId="17" w16cid:durableId="1221408092">
    <w:abstractNumId w:val="60"/>
  </w:num>
  <w:num w:numId="18" w16cid:durableId="203712722">
    <w:abstractNumId w:val="63"/>
  </w:num>
  <w:num w:numId="19" w16cid:durableId="1410805463">
    <w:abstractNumId w:val="42"/>
  </w:num>
  <w:num w:numId="20" w16cid:durableId="417406946">
    <w:abstractNumId w:val="32"/>
  </w:num>
  <w:num w:numId="21" w16cid:durableId="1402369868">
    <w:abstractNumId w:val="8"/>
  </w:num>
  <w:num w:numId="22" w16cid:durableId="1294822637">
    <w:abstractNumId w:val="47"/>
  </w:num>
  <w:num w:numId="23" w16cid:durableId="141772137">
    <w:abstractNumId w:val="44"/>
  </w:num>
  <w:num w:numId="24" w16cid:durableId="1502354178">
    <w:abstractNumId w:val="3"/>
  </w:num>
  <w:num w:numId="25" w16cid:durableId="1220477138">
    <w:abstractNumId w:val="15"/>
  </w:num>
  <w:num w:numId="26" w16cid:durableId="2101947328">
    <w:abstractNumId w:val="26"/>
  </w:num>
  <w:num w:numId="27" w16cid:durableId="514459451">
    <w:abstractNumId w:val="34"/>
  </w:num>
  <w:num w:numId="28" w16cid:durableId="2027360656">
    <w:abstractNumId w:val="4"/>
  </w:num>
  <w:num w:numId="29" w16cid:durableId="674038603">
    <w:abstractNumId w:val="36"/>
  </w:num>
  <w:num w:numId="30" w16cid:durableId="263154492">
    <w:abstractNumId w:val="29"/>
  </w:num>
  <w:num w:numId="31" w16cid:durableId="197669646">
    <w:abstractNumId w:val="22"/>
  </w:num>
  <w:num w:numId="32" w16cid:durableId="1158695189">
    <w:abstractNumId w:val="21"/>
  </w:num>
  <w:num w:numId="33" w16cid:durableId="379332153">
    <w:abstractNumId w:val="27"/>
  </w:num>
  <w:num w:numId="34" w16cid:durableId="1486774316">
    <w:abstractNumId w:val="52"/>
  </w:num>
  <w:num w:numId="35" w16cid:durableId="1188638900">
    <w:abstractNumId w:val="64"/>
  </w:num>
  <w:num w:numId="36" w16cid:durableId="189298484">
    <w:abstractNumId w:val="62"/>
  </w:num>
  <w:num w:numId="37" w16cid:durableId="1491868992">
    <w:abstractNumId w:val="19"/>
  </w:num>
  <w:num w:numId="38" w16cid:durableId="498739075">
    <w:abstractNumId w:val="50"/>
  </w:num>
  <w:num w:numId="39" w16cid:durableId="631864787">
    <w:abstractNumId w:val="40"/>
  </w:num>
  <w:num w:numId="40" w16cid:durableId="1165246301">
    <w:abstractNumId w:val="10"/>
  </w:num>
  <w:num w:numId="41" w16cid:durableId="34427852">
    <w:abstractNumId w:val="38"/>
  </w:num>
  <w:num w:numId="42" w16cid:durableId="7803443">
    <w:abstractNumId w:val="18"/>
  </w:num>
  <w:num w:numId="43" w16cid:durableId="1924802620">
    <w:abstractNumId w:val="35"/>
  </w:num>
  <w:num w:numId="44" w16cid:durableId="379090213">
    <w:abstractNumId w:val="55"/>
  </w:num>
  <w:num w:numId="45" w16cid:durableId="2084985156">
    <w:abstractNumId w:val="5"/>
  </w:num>
  <w:num w:numId="46" w16cid:durableId="1099332068">
    <w:abstractNumId w:val="65"/>
  </w:num>
  <w:num w:numId="47" w16cid:durableId="1328021998">
    <w:abstractNumId w:val="31"/>
  </w:num>
  <w:num w:numId="48" w16cid:durableId="1696542502">
    <w:abstractNumId w:val="1"/>
  </w:num>
  <w:num w:numId="49" w16cid:durableId="456333330">
    <w:abstractNumId w:val="51"/>
  </w:num>
  <w:num w:numId="50" w16cid:durableId="1007437737">
    <w:abstractNumId w:val="7"/>
  </w:num>
  <w:num w:numId="51" w16cid:durableId="1442384772">
    <w:abstractNumId w:val="48"/>
  </w:num>
  <w:num w:numId="52" w16cid:durableId="945842540">
    <w:abstractNumId w:val="56"/>
  </w:num>
  <w:num w:numId="53" w16cid:durableId="1931429483">
    <w:abstractNumId w:val="11"/>
  </w:num>
  <w:num w:numId="54" w16cid:durableId="343748175">
    <w:abstractNumId w:val="6"/>
  </w:num>
  <w:num w:numId="55" w16cid:durableId="343286677">
    <w:abstractNumId w:val="9"/>
  </w:num>
  <w:num w:numId="56" w16cid:durableId="172495038">
    <w:abstractNumId w:val="61"/>
  </w:num>
  <w:num w:numId="57" w16cid:durableId="708915505">
    <w:abstractNumId w:val="43"/>
  </w:num>
  <w:num w:numId="58" w16cid:durableId="181862554">
    <w:abstractNumId w:val="49"/>
  </w:num>
  <w:num w:numId="59" w16cid:durableId="1010136997">
    <w:abstractNumId w:val="37"/>
  </w:num>
  <w:num w:numId="60" w16cid:durableId="975648653">
    <w:abstractNumId w:val="2"/>
  </w:num>
  <w:num w:numId="61" w16cid:durableId="1587417292">
    <w:abstractNumId w:val="28"/>
  </w:num>
  <w:num w:numId="62" w16cid:durableId="1419904971">
    <w:abstractNumId w:val="23"/>
  </w:num>
  <w:num w:numId="63" w16cid:durableId="1815760357">
    <w:abstractNumId w:val="12"/>
  </w:num>
  <w:num w:numId="64" w16cid:durableId="1639263211">
    <w:abstractNumId w:val="16"/>
  </w:num>
  <w:num w:numId="65" w16cid:durableId="139153081">
    <w:abstractNumId w:val="41"/>
  </w:num>
  <w:num w:numId="66" w16cid:durableId="521818105">
    <w:abstractNumId w:val="39"/>
  </w:num>
  <w:num w:numId="67" w16cid:durableId="17577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5D"/>
    <w:rsid w:val="000A4AD4"/>
    <w:rsid w:val="000C53B3"/>
    <w:rsid w:val="001405E0"/>
    <w:rsid w:val="00340F6A"/>
    <w:rsid w:val="00453715"/>
    <w:rsid w:val="008E185D"/>
    <w:rsid w:val="009A138B"/>
    <w:rsid w:val="00BA461C"/>
    <w:rsid w:val="00C712A7"/>
    <w:rsid w:val="00DC1D13"/>
    <w:rsid w:val="00DE4A91"/>
    <w:rsid w:val="00E008E9"/>
    <w:rsid w:val="00EB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D2B8"/>
  <w15:chartTrackingRefBased/>
  <w15:docId w15:val="{9D9BA636-857D-4233-BCA9-735BCE04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85D"/>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8E1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1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18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18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E18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E185D"/>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8E1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1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1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E1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E1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E185D"/>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8E1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85D"/>
    <w:rPr>
      <w:rFonts w:eastAsiaTheme="majorEastAsia" w:cstheme="majorBidi"/>
      <w:color w:val="272727" w:themeColor="text1" w:themeTint="D8"/>
    </w:rPr>
  </w:style>
  <w:style w:type="paragraph" w:styleId="Title">
    <w:name w:val="Title"/>
    <w:basedOn w:val="Normal"/>
    <w:next w:val="Normal"/>
    <w:link w:val="TitleChar"/>
    <w:uiPriority w:val="10"/>
    <w:qFormat/>
    <w:rsid w:val="008E1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85D"/>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85D"/>
    <w:pPr>
      <w:spacing w:before="160"/>
      <w:jc w:val="center"/>
    </w:pPr>
    <w:rPr>
      <w:i/>
      <w:iCs/>
      <w:color w:val="404040" w:themeColor="text1" w:themeTint="BF"/>
    </w:rPr>
  </w:style>
  <w:style w:type="character" w:customStyle="1" w:styleId="QuoteChar">
    <w:name w:val="Quote Char"/>
    <w:basedOn w:val="DefaultParagraphFont"/>
    <w:link w:val="Quote"/>
    <w:uiPriority w:val="29"/>
    <w:rsid w:val="008E185D"/>
    <w:rPr>
      <w:i/>
      <w:iCs/>
      <w:color w:val="404040" w:themeColor="text1" w:themeTint="BF"/>
    </w:rPr>
  </w:style>
  <w:style w:type="paragraph" w:styleId="ListParagraph">
    <w:name w:val="List Paragraph"/>
    <w:basedOn w:val="Normal"/>
    <w:uiPriority w:val="34"/>
    <w:qFormat/>
    <w:rsid w:val="008E185D"/>
    <w:pPr>
      <w:ind w:left="720"/>
      <w:contextualSpacing/>
    </w:pPr>
  </w:style>
  <w:style w:type="character" w:styleId="IntenseEmphasis">
    <w:name w:val="Intense Emphasis"/>
    <w:basedOn w:val="DefaultParagraphFont"/>
    <w:uiPriority w:val="21"/>
    <w:qFormat/>
    <w:rsid w:val="008E185D"/>
    <w:rPr>
      <w:i/>
      <w:iCs/>
      <w:color w:val="0F4761" w:themeColor="accent1" w:themeShade="BF"/>
    </w:rPr>
  </w:style>
  <w:style w:type="paragraph" w:styleId="IntenseQuote">
    <w:name w:val="Intense Quote"/>
    <w:basedOn w:val="Normal"/>
    <w:next w:val="Normal"/>
    <w:link w:val="IntenseQuoteChar"/>
    <w:uiPriority w:val="30"/>
    <w:qFormat/>
    <w:rsid w:val="008E1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85D"/>
    <w:rPr>
      <w:i/>
      <w:iCs/>
      <w:color w:val="0F4761" w:themeColor="accent1" w:themeShade="BF"/>
    </w:rPr>
  </w:style>
  <w:style w:type="character" w:styleId="IntenseReference">
    <w:name w:val="Intense Reference"/>
    <w:basedOn w:val="DefaultParagraphFont"/>
    <w:uiPriority w:val="32"/>
    <w:qFormat/>
    <w:rsid w:val="008E185D"/>
    <w:rPr>
      <w:b/>
      <w:bCs/>
      <w:smallCaps/>
      <w:color w:val="0F4761" w:themeColor="accent1" w:themeShade="BF"/>
      <w:spacing w:val="5"/>
    </w:rPr>
  </w:style>
  <w:style w:type="paragraph" w:customStyle="1" w:styleId="OpinionCitation">
    <w:name w:val="Opinion Citation"/>
    <w:basedOn w:val="Normal"/>
    <w:link w:val="OpinionCitationChar"/>
    <w:qFormat/>
    <w:rsid w:val="008E185D"/>
    <w:pPr>
      <w:keepNext/>
      <w:spacing w:after="120"/>
      <w:ind w:firstLine="0"/>
    </w:pPr>
    <w:rPr>
      <w:b/>
    </w:rPr>
  </w:style>
  <w:style w:type="character" w:customStyle="1" w:styleId="OpinionCitationChar">
    <w:name w:val="Opinion Citation Char"/>
    <w:link w:val="OpinionCitation"/>
    <w:rsid w:val="008E185D"/>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8E185D"/>
    <w:pPr>
      <w:ind w:left="576" w:right="576" w:firstLine="0"/>
    </w:pPr>
  </w:style>
  <w:style w:type="character" w:customStyle="1" w:styleId="BlockquoteChar">
    <w:name w:val="Blockquote Char"/>
    <w:link w:val="Blockquote"/>
    <w:rsid w:val="008E185D"/>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8E185D"/>
    <w:rPr>
      <w:sz w:val="20"/>
    </w:rPr>
  </w:style>
  <w:style w:type="character" w:customStyle="1" w:styleId="FootnoteTextChar">
    <w:name w:val="Footnote Text Char"/>
    <w:basedOn w:val="DefaultParagraphFont"/>
    <w:link w:val="FootnoteText"/>
    <w:uiPriority w:val="99"/>
    <w:rsid w:val="008E185D"/>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8E185D"/>
    <w:rPr>
      <w:vertAlign w:val="superscript"/>
    </w:rPr>
  </w:style>
  <w:style w:type="paragraph" w:styleId="BalloonText">
    <w:name w:val="Balloon Text"/>
    <w:basedOn w:val="Normal"/>
    <w:link w:val="BalloonTextChar"/>
    <w:uiPriority w:val="99"/>
    <w:semiHidden/>
    <w:unhideWhenUsed/>
    <w:rsid w:val="008E18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85D"/>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8E185D"/>
    <w:pPr>
      <w:ind w:firstLine="0"/>
    </w:pPr>
  </w:style>
  <w:style w:type="character" w:customStyle="1" w:styleId="NormalNoIndentChar">
    <w:name w:val="Normal No Indent Char"/>
    <w:link w:val="NormalNoIndent"/>
    <w:rsid w:val="008E185D"/>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8E185D"/>
    <w:pPr>
      <w:tabs>
        <w:tab w:val="center" w:pos="4680"/>
        <w:tab w:val="right" w:pos="9360"/>
      </w:tabs>
    </w:pPr>
  </w:style>
  <w:style w:type="character" w:customStyle="1" w:styleId="HeaderChar">
    <w:name w:val="Header Char"/>
    <w:basedOn w:val="DefaultParagraphFont"/>
    <w:link w:val="Header"/>
    <w:uiPriority w:val="99"/>
    <w:rsid w:val="008E185D"/>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8E185D"/>
    <w:pPr>
      <w:tabs>
        <w:tab w:val="center" w:pos="4680"/>
        <w:tab w:val="right" w:pos="9360"/>
      </w:tabs>
    </w:pPr>
  </w:style>
  <w:style w:type="character" w:customStyle="1" w:styleId="FooterChar">
    <w:name w:val="Footer Char"/>
    <w:basedOn w:val="DefaultParagraphFont"/>
    <w:link w:val="Footer"/>
    <w:uiPriority w:val="99"/>
    <w:rsid w:val="008E185D"/>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8E185D"/>
    <w:pPr>
      <w:keepNext/>
      <w:spacing w:before="120" w:after="120"/>
      <w:ind w:firstLine="0"/>
      <w:jc w:val="center"/>
    </w:pPr>
    <w:rPr>
      <w:b/>
    </w:rPr>
  </w:style>
  <w:style w:type="character" w:customStyle="1" w:styleId="CommentsandQuestionsChar">
    <w:name w:val="Comments and Questions Char"/>
    <w:link w:val="CommentsandQuestions"/>
    <w:rsid w:val="008E185D"/>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8E185D"/>
    <w:pPr>
      <w:numPr>
        <w:numId w:val="3"/>
      </w:numPr>
      <w:contextualSpacing/>
    </w:pPr>
  </w:style>
  <w:style w:type="paragraph" w:customStyle="1" w:styleId="Dashbreak">
    <w:name w:val="Dash break"/>
    <w:basedOn w:val="NormalNoIndent"/>
    <w:link w:val="DashbreakChar"/>
    <w:qFormat/>
    <w:rsid w:val="008E185D"/>
    <w:pPr>
      <w:spacing w:before="240" w:after="240"/>
      <w:jc w:val="center"/>
    </w:pPr>
  </w:style>
  <w:style w:type="character" w:customStyle="1" w:styleId="DashbreakChar">
    <w:name w:val="Dash break Char"/>
    <w:basedOn w:val="NormalNoIndentChar"/>
    <w:link w:val="Dashbreak"/>
    <w:rsid w:val="008E185D"/>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8E185D"/>
    <w:pPr>
      <w:spacing w:after="120"/>
    </w:pPr>
  </w:style>
  <w:style w:type="character" w:customStyle="1" w:styleId="BodyTextChar">
    <w:name w:val="Body Text Char"/>
    <w:basedOn w:val="DefaultParagraphFont"/>
    <w:link w:val="BodyText"/>
    <w:uiPriority w:val="99"/>
    <w:semiHidden/>
    <w:rsid w:val="008E185D"/>
    <w:rPr>
      <w:rFonts w:ascii="Cambria" w:eastAsia="Calibri" w:hAnsi="Cambria" w:cs="Times New Roman"/>
      <w:kern w:val="0"/>
      <w:sz w:val="22"/>
      <w:szCs w:val="20"/>
      <w14:ligatures w14:val="none"/>
    </w:rPr>
  </w:style>
  <w:style w:type="paragraph" w:customStyle="1" w:styleId="ReferenceLine">
    <w:name w:val="Reference Line"/>
    <w:basedOn w:val="BodyText"/>
    <w:rsid w:val="008E185D"/>
  </w:style>
  <w:style w:type="character" w:styleId="Hyperlink">
    <w:name w:val="Hyperlink"/>
    <w:uiPriority w:val="99"/>
    <w:unhideWhenUsed/>
    <w:rsid w:val="008E185D"/>
    <w:rPr>
      <w:color w:val="0000FF"/>
      <w:u w:val="single"/>
    </w:rPr>
  </w:style>
  <w:style w:type="paragraph" w:styleId="EndnoteText">
    <w:name w:val="endnote text"/>
    <w:basedOn w:val="Normal"/>
    <w:link w:val="EndnoteTextChar"/>
    <w:uiPriority w:val="99"/>
    <w:semiHidden/>
    <w:unhideWhenUsed/>
    <w:rsid w:val="008E185D"/>
  </w:style>
  <w:style w:type="character" w:customStyle="1" w:styleId="EndnoteTextChar">
    <w:name w:val="Endnote Text Char"/>
    <w:basedOn w:val="DefaultParagraphFont"/>
    <w:link w:val="EndnoteText"/>
    <w:uiPriority w:val="99"/>
    <w:semiHidden/>
    <w:rsid w:val="008E185D"/>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8E185D"/>
    <w:rPr>
      <w:vertAlign w:val="superscript"/>
    </w:rPr>
  </w:style>
  <w:style w:type="paragraph" w:styleId="TOCHeading">
    <w:name w:val="TOC Heading"/>
    <w:basedOn w:val="Heading1"/>
    <w:next w:val="Normal"/>
    <w:uiPriority w:val="39"/>
    <w:semiHidden/>
    <w:unhideWhenUsed/>
    <w:qFormat/>
    <w:rsid w:val="008E185D"/>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8E185D"/>
    <w:pPr>
      <w:tabs>
        <w:tab w:val="right" w:leader="dot" w:pos="8784"/>
      </w:tabs>
      <w:ind w:left="270" w:hanging="270"/>
      <w:jc w:val="center"/>
    </w:pPr>
  </w:style>
  <w:style w:type="paragraph" w:styleId="TOC2">
    <w:name w:val="toc 2"/>
    <w:basedOn w:val="Normal"/>
    <w:next w:val="Normal"/>
    <w:autoRedefine/>
    <w:uiPriority w:val="39"/>
    <w:unhideWhenUsed/>
    <w:rsid w:val="008E185D"/>
    <w:pPr>
      <w:tabs>
        <w:tab w:val="right" w:leader="dot" w:pos="8784"/>
      </w:tabs>
      <w:ind w:left="540" w:hanging="270"/>
    </w:pPr>
  </w:style>
  <w:style w:type="paragraph" w:styleId="TOC3">
    <w:name w:val="toc 3"/>
    <w:basedOn w:val="Normal"/>
    <w:next w:val="Normal"/>
    <w:autoRedefine/>
    <w:uiPriority w:val="39"/>
    <w:unhideWhenUsed/>
    <w:rsid w:val="008E185D"/>
    <w:pPr>
      <w:tabs>
        <w:tab w:val="right" w:leader="dot" w:pos="8784"/>
      </w:tabs>
      <w:ind w:left="810" w:hanging="270"/>
    </w:pPr>
  </w:style>
  <w:style w:type="paragraph" w:styleId="TOC4">
    <w:name w:val="toc 4"/>
    <w:basedOn w:val="Normal"/>
    <w:next w:val="Normal"/>
    <w:autoRedefine/>
    <w:uiPriority w:val="39"/>
    <w:unhideWhenUsed/>
    <w:rsid w:val="008E185D"/>
    <w:pPr>
      <w:tabs>
        <w:tab w:val="right" w:leader="dot" w:pos="8784"/>
      </w:tabs>
      <w:ind w:left="1080" w:hanging="270"/>
    </w:pPr>
  </w:style>
  <w:style w:type="paragraph" w:styleId="TOC5">
    <w:name w:val="toc 5"/>
    <w:basedOn w:val="Normal"/>
    <w:next w:val="Normal"/>
    <w:autoRedefine/>
    <w:uiPriority w:val="39"/>
    <w:unhideWhenUsed/>
    <w:rsid w:val="008E185D"/>
    <w:pPr>
      <w:tabs>
        <w:tab w:val="right" w:leader="dot" w:pos="8784"/>
      </w:tabs>
      <w:ind w:left="1350" w:hanging="270"/>
    </w:pPr>
  </w:style>
  <w:style w:type="paragraph" w:styleId="TOC6">
    <w:name w:val="toc 6"/>
    <w:basedOn w:val="Normal"/>
    <w:next w:val="Normal"/>
    <w:autoRedefine/>
    <w:uiPriority w:val="39"/>
    <w:unhideWhenUsed/>
    <w:rsid w:val="008E185D"/>
    <w:pPr>
      <w:tabs>
        <w:tab w:val="left" w:pos="1710"/>
        <w:tab w:val="right" w:leader="dot" w:pos="8784"/>
      </w:tabs>
      <w:ind w:left="1710" w:hanging="360"/>
    </w:pPr>
  </w:style>
  <w:style w:type="character" w:styleId="LineNumber">
    <w:name w:val="line number"/>
    <w:uiPriority w:val="99"/>
    <w:semiHidden/>
    <w:unhideWhenUsed/>
    <w:rsid w:val="008E185D"/>
  </w:style>
  <w:style w:type="paragraph" w:customStyle="1" w:styleId="FootNote">
    <w:name w:val="_FootNote"/>
    <w:basedOn w:val="Normal"/>
    <w:link w:val="FootNoteChar"/>
    <w:rsid w:val="008E185D"/>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8E185D"/>
    <w:rPr>
      <w:rFonts w:ascii="NewCenturySchlbk" w:eastAsia="Times New Roman" w:hAnsi="NewCenturySchlbk" w:cs="Times New Roman"/>
      <w:kern w:val="0"/>
      <w:sz w:val="16"/>
      <w14:ligatures w14:val="none"/>
    </w:rPr>
  </w:style>
  <w:style w:type="character" w:customStyle="1" w:styleId="NoterefInNote">
    <w:name w:val="_NoterefInNote"/>
    <w:rsid w:val="008E185D"/>
    <w:rPr>
      <w:rFonts w:ascii="NewCenturySchlbk" w:hAnsi="NewCenturySchlbk" w:hint="default"/>
      <w:sz w:val="16"/>
      <w:vertAlign w:val="baseline"/>
    </w:rPr>
  </w:style>
  <w:style w:type="paragraph" w:customStyle="1" w:styleId="Centered">
    <w:name w:val="Centered"/>
    <w:basedOn w:val="Normal"/>
    <w:link w:val="CenteredChar"/>
    <w:qFormat/>
    <w:rsid w:val="008E185D"/>
    <w:pPr>
      <w:ind w:firstLine="0"/>
      <w:jc w:val="center"/>
    </w:pPr>
    <w:rPr>
      <w:i/>
      <w:iCs/>
    </w:rPr>
  </w:style>
  <w:style w:type="character" w:customStyle="1" w:styleId="CenteredChar">
    <w:name w:val="Centered Char"/>
    <w:link w:val="Centered"/>
    <w:rsid w:val="008E185D"/>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8E185D"/>
    <w:rPr>
      <w:i/>
    </w:rPr>
  </w:style>
  <w:style w:type="character" w:customStyle="1" w:styleId="OpinionheadingChar">
    <w:name w:val="Opinion heading Char"/>
    <w:link w:val="Opinionheading"/>
    <w:rsid w:val="008E185D"/>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8E185D"/>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8E185D"/>
    <w:pPr>
      <w:tabs>
        <w:tab w:val="right" w:leader="dot" w:pos="8784"/>
      </w:tabs>
      <w:ind w:left="1710" w:firstLine="0"/>
    </w:pPr>
    <w:rPr>
      <w:i/>
    </w:rPr>
  </w:style>
  <w:style w:type="paragraph" w:styleId="TOC9">
    <w:name w:val="toc 9"/>
    <w:basedOn w:val="Normal"/>
    <w:next w:val="Normal"/>
    <w:autoRedefine/>
    <w:uiPriority w:val="39"/>
    <w:unhideWhenUsed/>
    <w:rsid w:val="008E185D"/>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8E185D"/>
    <w:pPr>
      <w:ind w:firstLine="432"/>
    </w:pPr>
  </w:style>
  <w:style w:type="character" w:customStyle="1" w:styleId="BlockquoteindentChar">
    <w:name w:val="Blockquote indent Char"/>
    <w:basedOn w:val="BlockquoteChar"/>
    <w:link w:val="Blockquoteindent"/>
    <w:rsid w:val="008E185D"/>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8E185D"/>
    <w:pPr>
      <w:jc w:val="center"/>
    </w:pPr>
  </w:style>
  <w:style w:type="character" w:customStyle="1" w:styleId="Normal-CenteredChar">
    <w:name w:val="*Normal-Centered Char"/>
    <w:basedOn w:val="NormalNoIndentChar"/>
    <w:link w:val="Normal-Centered"/>
    <w:rsid w:val="008E185D"/>
    <w:rPr>
      <w:rFonts w:ascii="Cambria" w:eastAsia="Calibri" w:hAnsi="Cambria" w:cs="Times New Roman"/>
      <w:kern w:val="0"/>
      <w:sz w:val="22"/>
      <w:szCs w:val="20"/>
      <w14:ligatures w14:val="none"/>
    </w:rPr>
  </w:style>
  <w:style w:type="character" w:styleId="Emphasis">
    <w:name w:val="Emphasis"/>
    <w:uiPriority w:val="20"/>
    <w:qFormat/>
    <w:rsid w:val="008E185D"/>
    <w:rPr>
      <w:i/>
      <w:iCs/>
    </w:rPr>
  </w:style>
  <w:style w:type="character" w:customStyle="1" w:styleId="cosearchterm">
    <w:name w:val="co_searchterm"/>
    <w:rsid w:val="008E185D"/>
  </w:style>
  <w:style w:type="paragraph" w:customStyle="1" w:styleId="CommentsandQuestions0">
    <w:name w:val="CommentsandQuestions"/>
    <w:basedOn w:val="Normal-Centered"/>
    <w:rsid w:val="008E185D"/>
    <w:rPr>
      <w:b/>
    </w:rPr>
  </w:style>
  <w:style w:type="character" w:styleId="FollowedHyperlink">
    <w:name w:val="FollowedHyperlink"/>
    <w:uiPriority w:val="99"/>
    <w:semiHidden/>
    <w:unhideWhenUsed/>
    <w:rsid w:val="008E185D"/>
    <w:rPr>
      <w:color w:val="954F72"/>
      <w:u w:val="single"/>
    </w:rPr>
  </w:style>
  <w:style w:type="paragraph" w:customStyle="1" w:styleId="Dashedline">
    <w:name w:val="Dashed line"/>
    <w:basedOn w:val="CommentsandQuestions"/>
    <w:qFormat/>
    <w:rsid w:val="008E185D"/>
    <w:pPr>
      <w:spacing w:after="240"/>
    </w:pPr>
  </w:style>
  <w:style w:type="character" w:styleId="CommentReference">
    <w:name w:val="annotation reference"/>
    <w:semiHidden/>
    <w:rsid w:val="008E185D"/>
    <w:rPr>
      <w:sz w:val="16"/>
      <w:szCs w:val="16"/>
    </w:rPr>
  </w:style>
  <w:style w:type="paragraph" w:styleId="CommentText">
    <w:name w:val="annotation text"/>
    <w:basedOn w:val="Normal"/>
    <w:link w:val="CommentTextChar"/>
    <w:semiHidden/>
    <w:rsid w:val="008E185D"/>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8E185D"/>
    <w:rPr>
      <w:rFonts w:ascii="Times New Roman" w:eastAsia="Times New Roman" w:hAnsi="Times New Roman" w:cs="Times New Roman"/>
      <w:kern w:val="0"/>
      <w:sz w:val="22"/>
      <w:szCs w:val="20"/>
      <w14:ligatures w14:val="none"/>
    </w:rPr>
  </w:style>
  <w:style w:type="character" w:customStyle="1" w:styleId="ptext-">
    <w:name w:val="ptext-"/>
    <w:rsid w:val="008E185D"/>
  </w:style>
  <w:style w:type="paragraph" w:customStyle="1" w:styleId="NormalCentered">
    <w:name w:val="NormalCentered"/>
    <w:basedOn w:val="Normal"/>
    <w:link w:val="NormalCenteredChar"/>
    <w:qFormat/>
    <w:rsid w:val="008E185D"/>
    <w:pPr>
      <w:ind w:firstLine="0"/>
      <w:jc w:val="center"/>
    </w:pPr>
  </w:style>
  <w:style w:type="character" w:customStyle="1" w:styleId="NormalCenteredChar">
    <w:name w:val="NormalCentered Char"/>
    <w:link w:val="NormalCentered"/>
    <w:rsid w:val="008E185D"/>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8E185D"/>
    <w:pPr>
      <w:ind w:hanging="36"/>
    </w:pPr>
  </w:style>
  <w:style w:type="paragraph" w:customStyle="1" w:styleId="NormCntrItal">
    <w:name w:val="NormCntrItal"/>
    <w:basedOn w:val="NormalCentered"/>
    <w:qFormat/>
    <w:rsid w:val="008E185D"/>
    <w:pPr>
      <w:keepNext/>
      <w:keepLines/>
    </w:pPr>
    <w:rPr>
      <w:i/>
      <w:szCs w:val="22"/>
    </w:rPr>
  </w:style>
  <w:style w:type="character" w:customStyle="1" w:styleId="ssrfcpassagedeactivated">
    <w:name w:val="ss_rfcpassage_deactivated"/>
    <w:rsid w:val="008E185D"/>
  </w:style>
  <w:style w:type="character" w:customStyle="1" w:styleId="costarpage">
    <w:name w:val="co_starpage"/>
    <w:rsid w:val="008E185D"/>
  </w:style>
  <w:style w:type="paragraph" w:customStyle="1" w:styleId="CenteredBold">
    <w:name w:val="Centered Bold"/>
    <w:basedOn w:val="Centered"/>
    <w:link w:val="CenteredBoldChar"/>
    <w:qFormat/>
    <w:rsid w:val="008E185D"/>
    <w:rPr>
      <w:b/>
      <w:i w:val="0"/>
    </w:rPr>
  </w:style>
  <w:style w:type="character" w:customStyle="1" w:styleId="CenteredBoldChar">
    <w:name w:val="Centered Bold Char"/>
    <w:link w:val="CenteredBold"/>
    <w:rsid w:val="008E185D"/>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8E185D"/>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8E185D"/>
    <w:rPr>
      <w:rFonts w:ascii="Cambria" w:eastAsia="Calibri" w:hAnsi="Cambria" w:cs="Times New Roman"/>
      <w:b/>
      <w:bCs/>
      <w:kern w:val="0"/>
      <w:sz w:val="22"/>
      <w:szCs w:val="20"/>
      <w14:ligatures w14:val="none"/>
    </w:rPr>
  </w:style>
  <w:style w:type="paragraph" w:styleId="Revision">
    <w:name w:val="Revision"/>
    <w:hidden/>
    <w:uiPriority w:val="99"/>
    <w:semiHidden/>
    <w:rsid w:val="008E185D"/>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8E185D"/>
    <w:pPr>
      <w:ind w:firstLine="0"/>
      <w:jc w:val="center"/>
    </w:pPr>
    <w:rPr>
      <w:noProof/>
    </w:rPr>
  </w:style>
  <w:style w:type="character" w:customStyle="1" w:styleId="cosearchdetaillevel1">
    <w:name w:val="co_search_detaillevel_1"/>
    <w:rsid w:val="008E185D"/>
  </w:style>
  <w:style w:type="table" w:styleId="TableGrid">
    <w:name w:val="Table Grid"/>
    <w:basedOn w:val="TableNormal"/>
    <w:uiPriority w:val="59"/>
    <w:rsid w:val="008E185D"/>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8E185D"/>
    <w:pPr>
      <w:ind w:firstLine="432"/>
    </w:pPr>
  </w:style>
  <w:style w:type="paragraph" w:customStyle="1" w:styleId="doubleblockquote">
    <w:name w:val="doubleblockquote"/>
    <w:basedOn w:val="Blockquoteindent"/>
    <w:qFormat/>
    <w:rsid w:val="008E185D"/>
    <w:pPr>
      <w:ind w:left="1008" w:right="1008"/>
    </w:pPr>
  </w:style>
  <w:style w:type="paragraph" w:customStyle="1" w:styleId="CntrdNoItal">
    <w:name w:val="CntrdNoItal"/>
    <w:basedOn w:val="Centered"/>
    <w:qFormat/>
    <w:rsid w:val="008E185D"/>
    <w:rPr>
      <w:i w:val="0"/>
    </w:rPr>
  </w:style>
  <w:style w:type="paragraph" w:customStyle="1" w:styleId="NoIndentItalics">
    <w:name w:val="NoIndentItalics"/>
    <w:basedOn w:val="NormalNoIndent"/>
    <w:qFormat/>
    <w:rsid w:val="008E185D"/>
    <w:rPr>
      <w:i/>
      <w:iCs/>
    </w:rPr>
  </w:style>
  <w:style w:type="paragraph" w:customStyle="1" w:styleId="HalfBlock">
    <w:name w:val="HalfBlock"/>
    <w:basedOn w:val="NormalNoIndent"/>
    <w:qFormat/>
    <w:rsid w:val="008E185D"/>
    <w:pPr>
      <w:ind w:left="432"/>
    </w:pPr>
  </w:style>
  <w:style w:type="character" w:customStyle="1" w:styleId="ssleftalign">
    <w:name w:val="ss_leftalign"/>
    <w:rsid w:val="008E185D"/>
  </w:style>
  <w:style w:type="character" w:customStyle="1" w:styleId="UnresolvedMention1">
    <w:name w:val="Unresolved Mention1"/>
    <w:uiPriority w:val="99"/>
    <w:semiHidden/>
    <w:unhideWhenUsed/>
    <w:rsid w:val="008E185D"/>
    <w:rPr>
      <w:color w:val="605E5C"/>
      <w:shd w:val="clear" w:color="auto" w:fill="E1DFDD"/>
    </w:rPr>
  </w:style>
  <w:style w:type="paragraph" w:customStyle="1" w:styleId="Footer-V-Date">
    <w:name w:val="Footer-V-Date"/>
    <w:basedOn w:val="NormalNoIndent"/>
    <w:link w:val="Footer-V-DateChar"/>
    <w:qFormat/>
    <w:rsid w:val="008E185D"/>
    <w:rPr>
      <w:sz w:val="16"/>
      <w:szCs w:val="16"/>
    </w:rPr>
  </w:style>
  <w:style w:type="paragraph" w:customStyle="1" w:styleId="DoubleBlockQuote0">
    <w:name w:val="DoubleBlockQuote"/>
    <w:basedOn w:val="Blockquoteindent"/>
    <w:link w:val="DoubleBlockQuoteChar"/>
    <w:qFormat/>
    <w:rsid w:val="008E185D"/>
    <w:pPr>
      <w:ind w:left="1152" w:right="1152" w:firstLine="0"/>
    </w:pPr>
  </w:style>
  <w:style w:type="character" w:customStyle="1" w:styleId="Footer-V-DateChar">
    <w:name w:val="Footer-V-Date Char"/>
    <w:link w:val="Footer-V-Date"/>
    <w:rsid w:val="008E185D"/>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8E185D"/>
    <w:pPr>
      <w:ind w:left="1008" w:firstLine="0"/>
    </w:pPr>
  </w:style>
  <w:style w:type="character" w:customStyle="1" w:styleId="DoubleBlockQuoteChar">
    <w:name w:val="DoubleBlockQuote Char"/>
    <w:basedOn w:val="BlockquoteindentChar"/>
    <w:link w:val="DoubleBlockQuote0"/>
    <w:rsid w:val="008E185D"/>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8E185D"/>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8E185D"/>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8E185D"/>
    <w:pPr>
      <w:ind w:left="1350" w:hanging="774"/>
    </w:pPr>
  </w:style>
  <w:style w:type="character" w:customStyle="1" w:styleId="TimeProgressionChar">
    <w:name w:val="TimeProgression Char"/>
    <w:basedOn w:val="BlockquoteChar"/>
    <w:link w:val="TimeProgression"/>
    <w:rsid w:val="008E185D"/>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8E185D"/>
    <w:rPr>
      <w:sz w:val="20"/>
    </w:rPr>
  </w:style>
  <w:style w:type="character" w:customStyle="1" w:styleId="PagenumberChar">
    <w:name w:val="Pagenumber Char"/>
    <w:basedOn w:val="Normal-CenteredChar"/>
    <w:link w:val="Pagenumber"/>
    <w:rsid w:val="008E185D"/>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8E185D"/>
    <w:rPr>
      <w:sz w:val="20"/>
    </w:rPr>
  </w:style>
  <w:style w:type="character" w:customStyle="1" w:styleId="Header10Char">
    <w:name w:val="Header10 Char"/>
    <w:basedOn w:val="CenteredChar"/>
    <w:link w:val="Header10"/>
    <w:rsid w:val="008E185D"/>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8E1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3196</Words>
  <Characters>18221</Characters>
  <Application>Microsoft Office Word</Application>
  <DocSecurity>0</DocSecurity>
  <Lines>151</Lines>
  <Paragraphs>42</Paragraphs>
  <ScaleCrop>false</ScaleCrop>
  <Company/>
  <LinksUpToDate>false</LinksUpToDate>
  <CharactersWithSpaces>21375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3</cp:revision>
  <dcterms:created xsi:type="dcterms:W3CDTF">2025-07-23T08:31:00Z</dcterms:created>
  <dcterms:modified xsi:type="dcterms:W3CDTF">2025-07-24T14:54:00Z</dcterms:modified>
</cp:coreProperties>
</file>