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3DA95" w14:textId="77777777" w:rsidR="002C1DAD" w:rsidRDefault="002C1DAD" w:rsidP="002C1DAD">
      <w:pPr>
        <w:pStyle w:val="NormalCentered"/>
        <w:jc w:val="both"/>
        <w:rPr>
          <w:rFonts w:asciiTheme="minorHAnsi" w:hAnsiTheme="minorHAnsi"/>
        </w:rPr>
      </w:pPr>
    </w:p>
    <w:p w14:paraId="6A07B82D" w14:textId="47889AB5" w:rsidR="002C1DAD" w:rsidRPr="00FE3822" w:rsidRDefault="002C1DAD" w:rsidP="002C1DAD">
      <w:pPr>
        <w:pStyle w:val="NormalCentered"/>
        <w:rPr>
          <w:sz w:val="44"/>
          <w:szCs w:val="44"/>
        </w:rPr>
      </w:pPr>
      <w:r w:rsidRPr="00FE3822">
        <w:rPr>
          <w:sz w:val="44"/>
          <w:szCs w:val="44"/>
        </w:rPr>
        <w:t>An Open-Access Casebook</w:t>
      </w:r>
    </w:p>
    <w:p w14:paraId="453179A1" w14:textId="77777777" w:rsidR="002C1DAD" w:rsidRDefault="002C1DAD" w:rsidP="002C1DAD">
      <w:pPr>
        <w:pStyle w:val="NormalCentered"/>
      </w:pPr>
    </w:p>
    <w:p w14:paraId="1613E2D1" w14:textId="77777777" w:rsidR="002C1DAD" w:rsidRDefault="002C1DAD" w:rsidP="002C1DAD">
      <w:pPr>
        <w:pStyle w:val="NormalCentered"/>
        <w:rPr>
          <w:sz w:val="32"/>
          <w:szCs w:val="32"/>
        </w:rPr>
      </w:pPr>
    </w:p>
    <w:p w14:paraId="13F130CA" w14:textId="77777777" w:rsidR="002C1DAD" w:rsidRPr="00566252" w:rsidRDefault="002C1DAD" w:rsidP="002C1DAD">
      <w:pPr>
        <w:pStyle w:val="NormalCentered"/>
        <w:rPr>
          <w:caps/>
          <w:sz w:val="32"/>
          <w:szCs w:val="32"/>
        </w:rPr>
      </w:pPr>
    </w:p>
    <w:p w14:paraId="26E96617" w14:textId="77777777" w:rsidR="002C1DAD" w:rsidRPr="000B428E" w:rsidRDefault="002C1DAD" w:rsidP="002C1DAD">
      <w:pPr>
        <w:pStyle w:val="NormalCentered"/>
        <w:rPr>
          <w:sz w:val="28"/>
          <w:szCs w:val="28"/>
          <w:lang w:val="de-DE"/>
        </w:rPr>
      </w:pPr>
      <w:r w:rsidRPr="000B428E">
        <w:rPr>
          <w:sz w:val="28"/>
          <w:szCs w:val="28"/>
          <w:lang w:val="de-DE"/>
        </w:rPr>
        <w:t>Version 12 (2025)</w:t>
      </w:r>
    </w:p>
    <w:p w14:paraId="62FE3661" w14:textId="77777777" w:rsidR="002C1DAD" w:rsidRPr="000B428E" w:rsidRDefault="002C1DAD" w:rsidP="002C1DAD">
      <w:pPr>
        <w:pStyle w:val="NormalCentered"/>
        <w:rPr>
          <w:sz w:val="28"/>
          <w:szCs w:val="28"/>
          <w:lang w:val="de-DE"/>
        </w:rPr>
      </w:pPr>
      <w:r w:rsidRPr="000B428E">
        <w:rPr>
          <w:sz w:val="28"/>
          <w:szCs w:val="28"/>
          <w:lang w:val="de-DE"/>
        </w:rPr>
        <w:t>Digital Edition</w:t>
      </w:r>
    </w:p>
    <w:p w14:paraId="4D78FFA7" w14:textId="77777777" w:rsidR="002C1DAD" w:rsidRPr="000B428E" w:rsidRDefault="002C1DAD" w:rsidP="002C1DAD">
      <w:pPr>
        <w:pStyle w:val="NormalCentered"/>
        <w:rPr>
          <w:sz w:val="28"/>
          <w:szCs w:val="28"/>
          <w:lang w:val="de-DE"/>
        </w:rPr>
      </w:pPr>
      <w:r w:rsidRPr="000B428E">
        <w:rPr>
          <w:sz w:val="28"/>
          <w:szCs w:val="28"/>
          <w:lang w:val="de-DE"/>
        </w:rPr>
        <w:t>www.tmcasebook.org</w:t>
      </w:r>
    </w:p>
    <w:p w14:paraId="35F49065" w14:textId="77777777" w:rsidR="002C1DAD" w:rsidRDefault="002C1DAD" w:rsidP="002C1DAD">
      <w:pPr>
        <w:pStyle w:val="NormalCentered"/>
        <w:rPr>
          <w:sz w:val="32"/>
          <w:szCs w:val="32"/>
          <w:lang w:val="de-DE"/>
        </w:rPr>
      </w:pPr>
    </w:p>
    <w:p w14:paraId="02544DA9" w14:textId="77777777" w:rsidR="002C1DAD" w:rsidRDefault="002C1DAD" w:rsidP="002C1DAD">
      <w:pPr>
        <w:pStyle w:val="NormalCentered"/>
        <w:rPr>
          <w:sz w:val="32"/>
          <w:szCs w:val="32"/>
          <w:lang w:val="de-DE"/>
        </w:rPr>
      </w:pPr>
    </w:p>
    <w:p w14:paraId="7733ED23" w14:textId="77777777" w:rsidR="002C1DAD" w:rsidRPr="0065729C" w:rsidRDefault="002C1DAD" w:rsidP="002C1DAD">
      <w:pPr>
        <w:pStyle w:val="NormalCentered"/>
        <w:rPr>
          <w:sz w:val="32"/>
          <w:szCs w:val="32"/>
          <w:lang w:val="de-DE"/>
        </w:rPr>
      </w:pPr>
    </w:p>
    <w:p w14:paraId="1E1D4005" w14:textId="77777777" w:rsidR="002C1DAD" w:rsidRPr="0065729C" w:rsidRDefault="002C1DAD" w:rsidP="002C1DAD">
      <w:pPr>
        <w:pStyle w:val="NormalCentered"/>
        <w:rPr>
          <w:sz w:val="32"/>
          <w:szCs w:val="32"/>
          <w:lang w:val="de-DE"/>
        </w:rPr>
      </w:pPr>
    </w:p>
    <w:p w14:paraId="632DC460" w14:textId="77777777" w:rsidR="002C1DAD" w:rsidRPr="000B428E" w:rsidRDefault="002C1DAD" w:rsidP="002C1DAD">
      <w:pPr>
        <w:pStyle w:val="NormalCentered"/>
        <w:rPr>
          <w:sz w:val="28"/>
          <w:szCs w:val="28"/>
        </w:rPr>
      </w:pPr>
      <w:r w:rsidRPr="000B428E">
        <w:rPr>
          <w:sz w:val="28"/>
          <w:szCs w:val="28"/>
        </w:rPr>
        <w:t>Barton Beebe</w:t>
      </w:r>
    </w:p>
    <w:p w14:paraId="6DD3786E" w14:textId="77777777" w:rsidR="002C1DAD" w:rsidRPr="000B428E" w:rsidRDefault="002C1DAD" w:rsidP="002C1DAD">
      <w:pPr>
        <w:pStyle w:val="NormalCentered"/>
        <w:rPr>
          <w:sz w:val="28"/>
          <w:szCs w:val="28"/>
        </w:rPr>
      </w:pPr>
      <w:r w:rsidRPr="000B428E">
        <w:rPr>
          <w:sz w:val="28"/>
          <w:szCs w:val="28"/>
        </w:rPr>
        <w:t>John M. Desmarais Professor of Intellectual Property Law</w:t>
      </w:r>
    </w:p>
    <w:p w14:paraId="64C000D4" w14:textId="77777777" w:rsidR="002C1DAD" w:rsidRPr="0065729C" w:rsidRDefault="002C1DAD" w:rsidP="002C1DAD">
      <w:pPr>
        <w:pStyle w:val="NormalCentered"/>
        <w:rPr>
          <w:sz w:val="32"/>
          <w:szCs w:val="32"/>
        </w:rPr>
      </w:pPr>
      <w:r w:rsidRPr="000B428E">
        <w:rPr>
          <w:sz w:val="28"/>
          <w:szCs w:val="28"/>
        </w:rPr>
        <w:t>New York University School of Law</w:t>
      </w:r>
    </w:p>
    <w:p w14:paraId="34ECC25F" w14:textId="77777777" w:rsidR="002C1DAD" w:rsidRDefault="002C1DAD" w:rsidP="002C1DAD">
      <w:pPr>
        <w:pStyle w:val="TOC1"/>
      </w:pPr>
    </w:p>
    <w:p w14:paraId="79E98BED" w14:textId="77777777" w:rsidR="002C1DAD" w:rsidRDefault="002C1DAD" w:rsidP="002C1DAD"/>
    <w:p w14:paraId="0FAA0600" w14:textId="77777777" w:rsidR="002C1DAD" w:rsidRDefault="002C1DAD" w:rsidP="002C1DAD"/>
    <w:p w14:paraId="08B4EE11" w14:textId="77777777" w:rsidR="002C1DAD" w:rsidRPr="00ED0B13" w:rsidRDefault="002C1DAD" w:rsidP="002C1DAD"/>
    <w:p w14:paraId="201DC145" w14:textId="77777777" w:rsidR="002C1DAD" w:rsidRPr="00ED0B13" w:rsidRDefault="002C1DAD" w:rsidP="002C1DAD"/>
    <w:p w14:paraId="308C254C" w14:textId="77777777" w:rsidR="002C1DAD" w:rsidRPr="00ED0B13" w:rsidRDefault="002C1DAD" w:rsidP="002C1DAD">
      <w:pPr>
        <w:pStyle w:val="TOC1"/>
      </w:pPr>
    </w:p>
    <w:p w14:paraId="0B7F950D" w14:textId="77777777" w:rsidR="002C1DAD" w:rsidRDefault="002C1DAD" w:rsidP="002C1DAD">
      <w:pPr>
        <w:pStyle w:val="TOC1"/>
      </w:pPr>
      <w:r w:rsidRPr="00ED0B13">
        <w:t>This work is licensed under a Creative Commons Attribution-</w:t>
      </w:r>
      <w:proofErr w:type="spellStart"/>
      <w:r w:rsidRPr="00ED0B13">
        <w:t>NonCommercial</w:t>
      </w:r>
      <w:proofErr w:type="spellEnd"/>
      <w:r w:rsidRPr="00ED0B13">
        <w:t>-</w:t>
      </w:r>
    </w:p>
    <w:p w14:paraId="3885CF4B" w14:textId="77777777" w:rsidR="002C1DAD" w:rsidRPr="00ED0B13" w:rsidRDefault="002C1DAD" w:rsidP="002C1DAD">
      <w:pPr>
        <w:pStyle w:val="TOC1"/>
      </w:pPr>
      <w:proofErr w:type="spellStart"/>
      <w:r w:rsidRPr="00ED0B13">
        <w:t>ShareAlike</w:t>
      </w:r>
      <w:proofErr w:type="spellEnd"/>
      <w:r w:rsidRPr="00ED0B13">
        <w:t xml:space="preserve"> 4.0 International License.</w:t>
      </w:r>
    </w:p>
    <w:p w14:paraId="090F1015" w14:textId="006E333C" w:rsidR="002C1DAD" w:rsidRDefault="002C1DAD" w:rsidP="002C1DAD">
      <w:pPr>
        <w:spacing w:after="160" w:line="278" w:lineRule="auto"/>
        <w:ind w:firstLine="0"/>
        <w:jc w:val="center"/>
        <w:rPr>
          <w:rFonts w:asciiTheme="minorHAnsi" w:eastAsiaTheme="majorEastAsia" w:hAnsiTheme="minorHAnsi" w:cstheme="majorBidi"/>
          <w:color w:val="0F4761" w:themeColor="accent1" w:themeShade="BF"/>
          <w:sz w:val="32"/>
          <w:szCs w:val="32"/>
        </w:rPr>
      </w:pPr>
      <w:r>
        <w:rPr>
          <w:noProof/>
        </w:rPr>
        <w:drawing>
          <wp:inline distT="0" distB="0" distL="0" distR="0" wp14:anchorId="1EB0471C" wp14:editId="6BA4CD7E">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p>
    <w:p w14:paraId="1F6FDA0A" w14:textId="77777777" w:rsidR="002C1DAD" w:rsidRDefault="002C1DAD">
      <w:pPr>
        <w:spacing w:after="160" w:line="278" w:lineRule="auto"/>
        <w:ind w:firstLine="0"/>
        <w:jc w:val="left"/>
        <w:rPr>
          <w:rFonts w:asciiTheme="minorHAnsi" w:eastAsiaTheme="majorEastAsia" w:hAnsiTheme="minorHAnsi" w:cstheme="majorBidi"/>
          <w:color w:val="0F4761" w:themeColor="accent1" w:themeShade="BF"/>
          <w:sz w:val="32"/>
          <w:szCs w:val="32"/>
        </w:rPr>
      </w:pPr>
      <w:r>
        <w:rPr>
          <w:rFonts w:asciiTheme="minorHAnsi" w:hAnsiTheme="minorHAnsi"/>
        </w:rPr>
        <w:br w:type="page"/>
      </w:r>
    </w:p>
    <w:p w14:paraId="5C5FFF9F" w14:textId="4F05753F" w:rsidR="003E745A" w:rsidRPr="002C1DAD" w:rsidRDefault="003E745A" w:rsidP="002C1DAD">
      <w:pPr>
        <w:pStyle w:val="Heading2"/>
        <w:ind w:firstLine="0"/>
        <w:rPr>
          <w:rFonts w:asciiTheme="minorHAnsi" w:hAnsiTheme="minorHAnsi"/>
          <w:sz w:val="40"/>
          <w:szCs w:val="40"/>
        </w:rPr>
      </w:pPr>
      <w:r w:rsidRPr="002C1DAD">
        <w:rPr>
          <w:rFonts w:asciiTheme="minorHAnsi" w:hAnsiTheme="minorHAnsi"/>
          <w:sz w:val="40"/>
          <w:szCs w:val="40"/>
        </w:rPr>
        <w:lastRenderedPageBreak/>
        <w:t>Use in Commerce as a Prerequisite for Trademark Rights</w:t>
      </w:r>
    </w:p>
    <w:p w14:paraId="69DE5C4A" w14:textId="7652D507" w:rsidR="003E745A" w:rsidRPr="002C1DAD" w:rsidRDefault="002C1DAD" w:rsidP="003E745A">
      <w:pPr>
        <w:rPr>
          <w:rFonts w:asciiTheme="minorHAnsi" w:hAnsiTheme="minorHAnsi"/>
          <w:sz w:val="24"/>
          <w:szCs w:val="22"/>
        </w:rPr>
      </w:pPr>
      <w:r w:rsidRPr="002C1DAD">
        <w:rPr>
          <w:rFonts w:asciiTheme="minorHAnsi" w:hAnsiTheme="minorHAnsi"/>
          <w:sz w:val="24"/>
          <w:szCs w:val="22"/>
        </w:rPr>
        <w:t>A</w:t>
      </w:r>
      <w:r w:rsidR="003E745A" w:rsidRPr="002C1DAD">
        <w:rPr>
          <w:rFonts w:asciiTheme="minorHAnsi" w:hAnsiTheme="minorHAnsi"/>
          <w:sz w:val="24"/>
          <w:szCs w:val="22"/>
        </w:rPr>
        <w:t xml:space="preserve"> trademark must be used in commerce to qualify for protection. </w:t>
      </w:r>
      <w:r w:rsidR="003E745A" w:rsidRPr="002C1DAD">
        <w:rPr>
          <w:rFonts w:asciiTheme="minorHAnsi" w:hAnsiTheme="minorHAnsi"/>
          <w:i/>
          <w:iCs/>
          <w:sz w:val="24"/>
          <w:szCs w:val="22"/>
        </w:rPr>
        <w:t>See</w:t>
      </w:r>
      <w:r w:rsidR="003E745A" w:rsidRPr="002C1DAD">
        <w:rPr>
          <w:rFonts w:asciiTheme="minorHAnsi" w:hAnsiTheme="minorHAnsi"/>
          <w:sz w:val="24"/>
          <w:szCs w:val="22"/>
        </w:rPr>
        <w:t xml:space="preserve"> </w:t>
      </w:r>
      <w:r w:rsidR="003E745A" w:rsidRPr="002C1DAD">
        <w:rPr>
          <w:rFonts w:asciiTheme="minorHAnsi" w:hAnsiTheme="minorHAnsi"/>
          <w:i/>
          <w:iCs/>
          <w:sz w:val="24"/>
          <w:szCs w:val="22"/>
        </w:rPr>
        <w:t>Lucent Info. Mgmt. v. Lucent Techs., Inc</w:t>
      </w:r>
      <w:r w:rsidR="003E745A" w:rsidRPr="002C1DAD">
        <w:rPr>
          <w:rFonts w:asciiTheme="minorHAnsi" w:hAnsiTheme="minorHAnsi"/>
          <w:sz w:val="24"/>
          <w:szCs w:val="22"/>
        </w:rPr>
        <w:t xml:space="preserve">., 186 F.3d 311, 319 (3d Cir. 1999) (“It is axiomatic that if there is ‘no trade — no trademark.’” (quoting </w:t>
      </w:r>
      <w:r w:rsidR="003E745A" w:rsidRPr="002C1DAD">
        <w:rPr>
          <w:rFonts w:asciiTheme="minorHAnsi" w:hAnsiTheme="minorHAnsi"/>
          <w:i/>
          <w:iCs/>
          <w:sz w:val="24"/>
          <w:szCs w:val="22"/>
        </w:rPr>
        <w:t>La Societe Anonyme des Parfums le Galion v. Jean Patou, Inc</w:t>
      </w:r>
      <w:r w:rsidR="003E745A" w:rsidRPr="002C1DAD">
        <w:rPr>
          <w:rFonts w:asciiTheme="minorHAnsi" w:hAnsiTheme="minorHAnsi"/>
          <w:sz w:val="24"/>
          <w:szCs w:val="22"/>
        </w:rPr>
        <w:t>., 495 F.2d 1265, 1274 (2d Cir. 1974)). In this subsection, we consider the nature of this “use in commerce” requirement.</w:t>
      </w:r>
    </w:p>
    <w:p w14:paraId="12876172"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To avoid ambiguity, it may be useful to recognize from the start the several different aspects of the concept of “use in commerce” in U.S. trademark law, only one of which we will focus on in this subsection.</w:t>
      </w:r>
    </w:p>
    <w:p w14:paraId="6EB20EBB" w14:textId="77777777" w:rsidR="003E745A" w:rsidRPr="002C1DAD" w:rsidRDefault="003E745A" w:rsidP="003E745A">
      <w:pPr>
        <w:numPr>
          <w:ilvl w:val="0"/>
          <w:numId w:val="50"/>
        </w:numPr>
        <w:rPr>
          <w:rFonts w:asciiTheme="minorHAnsi" w:hAnsiTheme="minorHAnsi"/>
          <w:sz w:val="24"/>
          <w:szCs w:val="22"/>
        </w:rPr>
      </w:pPr>
      <w:r w:rsidRPr="002C1DAD">
        <w:rPr>
          <w:rFonts w:asciiTheme="minorHAnsi" w:hAnsiTheme="minorHAnsi"/>
          <w:i/>
          <w:sz w:val="24"/>
          <w:szCs w:val="22"/>
        </w:rPr>
        <w:t>“Use in commerce” as implementing the Commerce Clause limitation on the reach of Congressional power</w:t>
      </w:r>
      <w:r w:rsidRPr="002C1DAD">
        <w:rPr>
          <w:rFonts w:asciiTheme="minorHAnsi" w:hAnsiTheme="minorHAnsi"/>
          <w:sz w:val="24"/>
          <w:szCs w:val="22"/>
        </w:rPr>
        <w:t xml:space="preserve">. Lanham Act § 45 defines “commerce”: “The word ‘commerce’ means all commerce which may lawfully be regulated by Congress.” </w:t>
      </w:r>
      <w:proofErr w:type="gramStart"/>
      <w:r w:rsidRPr="002C1DAD">
        <w:rPr>
          <w:rFonts w:asciiTheme="minorHAnsi" w:hAnsiTheme="minorHAnsi"/>
          <w:sz w:val="24"/>
          <w:szCs w:val="22"/>
        </w:rPr>
        <w:t>Thus</w:t>
      </w:r>
      <w:proofErr w:type="gramEnd"/>
      <w:r w:rsidRPr="002C1DAD">
        <w:rPr>
          <w:rFonts w:asciiTheme="minorHAnsi" w:hAnsiTheme="minorHAnsi"/>
          <w:sz w:val="24"/>
          <w:szCs w:val="22"/>
        </w:rPr>
        <w:t xml:space="preserve"> federal trademark law will regulate only those uses that fall within the Congress’s Commerce Clause power. If a trademark owner does not use its trademark in a manner that affects interstate commerce, federal trademark law will not protect that trademark. The trademark owner must instead rely on state law. This is very rarely an issue given current Commerce Clause jurisprudence. </w:t>
      </w:r>
      <w:r w:rsidRPr="002C1DAD">
        <w:rPr>
          <w:rFonts w:asciiTheme="minorHAnsi" w:hAnsiTheme="minorHAnsi"/>
          <w:i/>
          <w:sz w:val="24"/>
          <w:szCs w:val="22"/>
        </w:rPr>
        <w:t>See, e.g</w:t>
      </w:r>
      <w:r w:rsidRPr="002C1DAD">
        <w:rPr>
          <w:rFonts w:asciiTheme="minorHAnsi" w:hAnsiTheme="minorHAnsi"/>
          <w:sz w:val="24"/>
          <w:szCs w:val="22"/>
        </w:rPr>
        <w:t xml:space="preserve">., </w:t>
      </w:r>
      <w:r w:rsidRPr="002C1DAD">
        <w:rPr>
          <w:rFonts w:asciiTheme="minorHAnsi" w:hAnsiTheme="minorHAnsi"/>
          <w:i/>
          <w:sz w:val="24"/>
          <w:szCs w:val="22"/>
        </w:rPr>
        <w:t>Christian Faith Fellowship Church v. adidas AG</w:t>
      </w:r>
      <w:r w:rsidRPr="002C1DAD">
        <w:rPr>
          <w:rFonts w:asciiTheme="minorHAnsi" w:hAnsiTheme="minorHAnsi"/>
          <w:sz w:val="24"/>
          <w:szCs w:val="22"/>
        </w:rPr>
        <w:t>, 841 F.3d 986, 995 (Fed. Cir. 2016) (holding that plaintiff’s single intrastate sale of two hats bearing the mark at issue to an out-of-state resident was regulable by Congress under the Commerce Clause and thus satisfied the Lanham Act’s “use in commerce” requirement).</w:t>
      </w:r>
    </w:p>
    <w:p w14:paraId="3FEBFE3D" w14:textId="77777777" w:rsidR="003E745A" w:rsidRPr="002C1DAD" w:rsidRDefault="003E745A" w:rsidP="003E745A">
      <w:pPr>
        <w:numPr>
          <w:ilvl w:val="0"/>
          <w:numId w:val="50"/>
        </w:numPr>
        <w:rPr>
          <w:rFonts w:asciiTheme="minorHAnsi" w:hAnsiTheme="minorHAnsi"/>
          <w:sz w:val="24"/>
          <w:szCs w:val="22"/>
        </w:rPr>
      </w:pPr>
      <w:r w:rsidRPr="002C1DAD">
        <w:rPr>
          <w:rFonts w:asciiTheme="minorHAnsi" w:hAnsiTheme="minorHAnsi"/>
          <w:i/>
          <w:sz w:val="24"/>
          <w:szCs w:val="22"/>
        </w:rPr>
        <w:t>“Use in commerce” for purposes of establishing trademark rights.</w:t>
      </w:r>
      <w:r w:rsidRPr="002C1DAD">
        <w:rPr>
          <w:rFonts w:asciiTheme="minorHAnsi" w:hAnsiTheme="minorHAnsi"/>
          <w:sz w:val="24"/>
          <w:szCs w:val="22"/>
        </w:rPr>
        <w:t xml:space="preserve"> This is the focus of this subsection.</w:t>
      </w:r>
    </w:p>
    <w:p w14:paraId="5B854FFD" w14:textId="77777777" w:rsidR="003E745A" w:rsidRPr="002C1DAD" w:rsidRDefault="003E745A" w:rsidP="003E745A">
      <w:pPr>
        <w:numPr>
          <w:ilvl w:val="0"/>
          <w:numId w:val="50"/>
        </w:numPr>
        <w:rPr>
          <w:rFonts w:asciiTheme="minorHAnsi" w:hAnsiTheme="minorHAnsi"/>
          <w:sz w:val="24"/>
          <w:szCs w:val="22"/>
        </w:rPr>
      </w:pPr>
      <w:r w:rsidRPr="002C1DAD">
        <w:rPr>
          <w:rFonts w:asciiTheme="minorHAnsi" w:hAnsiTheme="minorHAnsi"/>
          <w:i/>
          <w:sz w:val="24"/>
          <w:szCs w:val="22"/>
        </w:rPr>
        <w:t>“Use in commerce” for purposes of determining whether a trademark owner has abandoned its rights.</w:t>
      </w:r>
      <w:r w:rsidRPr="002C1DAD">
        <w:rPr>
          <w:rFonts w:asciiTheme="minorHAnsi" w:hAnsiTheme="minorHAnsi"/>
          <w:sz w:val="24"/>
          <w:szCs w:val="22"/>
        </w:rPr>
        <w:t xml:space="preserve"> If a trademark owner ceases to use its trademark in commerce without an intent to resume use, it may be deemed to have “abandoned” its mark. </w:t>
      </w:r>
      <w:r w:rsidRPr="002C1DAD">
        <w:rPr>
          <w:rFonts w:asciiTheme="minorHAnsi" w:hAnsiTheme="minorHAnsi"/>
          <w:i/>
          <w:sz w:val="24"/>
          <w:szCs w:val="22"/>
        </w:rPr>
        <w:t>See</w:t>
      </w:r>
      <w:r w:rsidRPr="002C1DAD">
        <w:rPr>
          <w:rFonts w:asciiTheme="minorHAnsi" w:hAnsiTheme="minorHAnsi"/>
          <w:sz w:val="24"/>
          <w:szCs w:val="22"/>
        </w:rPr>
        <w:t xml:space="preserve"> Lanham Act § 45, 15 U.S.C. § 1127 (defining when a mark shall be deemed “abandoned”). We will address the doctrine of trademark abandonment in Part III.D below.</w:t>
      </w:r>
    </w:p>
    <w:p w14:paraId="245A70FB" w14:textId="77777777" w:rsidR="003E745A" w:rsidRPr="002C1DAD" w:rsidRDefault="003E745A" w:rsidP="003E745A">
      <w:pPr>
        <w:numPr>
          <w:ilvl w:val="0"/>
          <w:numId w:val="50"/>
        </w:numPr>
        <w:rPr>
          <w:rFonts w:asciiTheme="minorHAnsi" w:hAnsiTheme="minorHAnsi"/>
          <w:sz w:val="24"/>
          <w:szCs w:val="22"/>
        </w:rPr>
      </w:pPr>
      <w:r w:rsidRPr="002C1DAD">
        <w:rPr>
          <w:rFonts w:asciiTheme="minorHAnsi" w:hAnsiTheme="minorHAnsi"/>
          <w:i/>
          <w:sz w:val="24"/>
          <w:szCs w:val="22"/>
        </w:rPr>
        <w:t>“Commercial use” of a mark for purposes of determining whether a defendant has made an infringing “actionable use” of the plaintiff’s mark.</w:t>
      </w:r>
      <w:r w:rsidRPr="002C1DAD">
        <w:rPr>
          <w:rFonts w:asciiTheme="minorHAnsi" w:hAnsiTheme="minorHAnsi"/>
          <w:sz w:val="24"/>
          <w:szCs w:val="22"/>
        </w:rPr>
        <w:t xml:space="preserve"> Lanham Act §§ 32, 43(a), and 43(c) appear to require that for a defendant’s conduct to be infringing, the defendant must be using the mark “in connection with the sale, distribution, or advertising of any goods or services.” Lanham Act § 32(1)(a), 15 U.S.C. § 1114(1)(a). Defendants engaged in non-profit, expressive uses of marks (such as internet gripe sites that do not sell any goods) have argued that their conduct does not constitute </w:t>
      </w:r>
      <w:r w:rsidRPr="002C1DAD">
        <w:rPr>
          <w:rFonts w:asciiTheme="minorHAnsi" w:hAnsiTheme="minorHAnsi"/>
          <w:sz w:val="24"/>
          <w:szCs w:val="22"/>
        </w:rPr>
        <w:lastRenderedPageBreak/>
        <w:t>“commercial use” and is thus not infringing. We will address this issue in Part II.A.1 below.</w:t>
      </w:r>
    </w:p>
    <w:p w14:paraId="3CAD1F61" w14:textId="77777777" w:rsidR="003E745A" w:rsidRPr="002C1DAD" w:rsidRDefault="003E745A" w:rsidP="003E745A">
      <w:pPr>
        <w:pStyle w:val="ListParagraph"/>
        <w:numPr>
          <w:ilvl w:val="0"/>
          <w:numId w:val="50"/>
        </w:numPr>
        <w:rPr>
          <w:rFonts w:asciiTheme="minorHAnsi" w:hAnsiTheme="minorHAnsi"/>
          <w:sz w:val="24"/>
          <w:szCs w:val="22"/>
        </w:rPr>
      </w:pPr>
      <w:r w:rsidRPr="002C1DAD">
        <w:rPr>
          <w:rFonts w:asciiTheme="minorHAnsi" w:hAnsiTheme="minorHAnsi"/>
          <w:i/>
          <w:sz w:val="24"/>
          <w:szCs w:val="22"/>
        </w:rPr>
        <w:t>“Use in commerce,” also known as “use as a mark,” for purposes of determining whether a defendant has made an infringing “actionable use” of the plaintiff’s mark.</w:t>
      </w:r>
      <w:r w:rsidRPr="002C1DAD">
        <w:rPr>
          <w:rFonts w:asciiTheme="minorHAnsi" w:hAnsiTheme="minorHAnsi"/>
          <w:sz w:val="24"/>
          <w:szCs w:val="22"/>
        </w:rPr>
        <w:t xml:space="preserve"> In several high-profile internet-related cases in the early years of the century, defendants argued that they could be liable for infringement only if they were making a “use in commerce” of the plaintiff’s mark as that term is defined under Lanham Act § 45. This came to be known as the “use as a mark” requirement for liability. We will address the case law on this issue in Part II.A.2 below.</w:t>
      </w:r>
    </w:p>
    <w:p w14:paraId="5899B00B" w14:textId="77777777" w:rsidR="003E745A" w:rsidRPr="002C1DAD" w:rsidRDefault="003E745A" w:rsidP="003E745A">
      <w:pPr>
        <w:pStyle w:val="NormalNoIndent"/>
        <w:rPr>
          <w:rFonts w:asciiTheme="minorHAnsi" w:hAnsiTheme="minorHAnsi"/>
          <w:sz w:val="24"/>
          <w:szCs w:val="22"/>
        </w:rPr>
      </w:pPr>
      <w:r w:rsidRPr="002C1DAD">
        <w:rPr>
          <w:rFonts w:asciiTheme="minorHAnsi" w:hAnsiTheme="minorHAnsi"/>
          <w:sz w:val="24"/>
          <w:szCs w:val="22"/>
        </w:rPr>
        <w:t xml:space="preserve">The student is strongly advised to distinguish between these various aspects of “use in commerce” as we proceed, particularly the difference between (a) “use in commerce” by the </w:t>
      </w:r>
      <w:r w:rsidRPr="002C1DAD">
        <w:rPr>
          <w:rFonts w:asciiTheme="minorHAnsi" w:hAnsiTheme="minorHAnsi"/>
          <w:i/>
          <w:sz w:val="24"/>
          <w:szCs w:val="22"/>
        </w:rPr>
        <w:t>plaintiff</w:t>
      </w:r>
      <w:r w:rsidRPr="002C1DAD">
        <w:rPr>
          <w:rFonts w:asciiTheme="minorHAnsi" w:hAnsiTheme="minorHAnsi"/>
          <w:sz w:val="24"/>
          <w:szCs w:val="22"/>
        </w:rPr>
        <w:t xml:space="preserve"> for purposes of establishing the plaintiff’s trademark rights and (b) “use in commerce” or “commercial use” by the </w:t>
      </w:r>
      <w:r w:rsidRPr="002C1DAD">
        <w:rPr>
          <w:rFonts w:asciiTheme="minorHAnsi" w:hAnsiTheme="minorHAnsi"/>
          <w:i/>
          <w:sz w:val="24"/>
          <w:szCs w:val="22"/>
        </w:rPr>
        <w:t>defendant</w:t>
      </w:r>
      <w:r w:rsidRPr="002C1DAD">
        <w:rPr>
          <w:rFonts w:asciiTheme="minorHAnsi" w:hAnsiTheme="minorHAnsi"/>
          <w:sz w:val="24"/>
          <w:szCs w:val="22"/>
        </w:rPr>
        <w:t xml:space="preserve"> for purposes of establishing the defendant’s trademark infringement.</w:t>
      </w:r>
    </w:p>
    <w:p w14:paraId="1B036DBD"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 xml:space="preserve">With respect to the </w:t>
      </w:r>
      <w:r w:rsidRPr="002C1DAD">
        <w:rPr>
          <w:rFonts w:asciiTheme="minorHAnsi" w:hAnsiTheme="minorHAnsi"/>
          <w:i/>
          <w:sz w:val="24"/>
          <w:szCs w:val="22"/>
        </w:rPr>
        <w:t>plaintiff’s</w:t>
      </w:r>
      <w:r w:rsidRPr="002C1DAD">
        <w:rPr>
          <w:rFonts w:asciiTheme="minorHAnsi" w:hAnsiTheme="minorHAnsi"/>
          <w:sz w:val="24"/>
          <w:szCs w:val="22"/>
        </w:rPr>
        <w:t xml:space="preserve"> use in commerce for purposes of establishing trademark rights, a further distinction should be drawn from the start. Though the two areas of law are closely related, there are nevertheless important differences between (1) the extent of “use in commerce” that a mark owner must make for the mark to qualify for federal registration, and (2) the extent of “use in commerce” that a mark owner must make of a mark to establish unregistered, “common law” priority over subsequent users of the same mark. In general, the quantum of use necessary for registration is a stricter requirement than that necessary for purposes of establishing unregistered common law priority. </w:t>
      </w:r>
      <w:r w:rsidRPr="002C1DAD">
        <w:rPr>
          <w:rFonts w:asciiTheme="minorHAnsi" w:hAnsiTheme="minorHAnsi"/>
          <w:i/>
          <w:iCs/>
          <w:sz w:val="24"/>
          <w:szCs w:val="22"/>
        </w:rPr>
        <w:t>See</w:t>
      </w:r>
      <w:r w:rsidRPr="002C1DAD">
        <w:rPr>
          <w:rFonts w:asciiTheme="minorHAnsi" w:hAnsiTheme="minorHAnsi"/>
          <w:sz w:val="24"/>
          <w:szCs w:val="22"/>
        </w:rPr>
        <w:t xml:space="preserve"> </w:t>
      </w:r>
      <w:r w:rsidRPr="002C1DAD">
        <w:rPr>
          <w:rFonts w:asciiTheme="minorHAnsi" w:hAnsiTheme="minorHAnsi"/>
          <w:smallCaps/>
          <w:sz w:val="24"/>
          <w:szCs w:val="22"/>
        </w:rPr>
        <w:t>McCarthy</w:t>
      </w:r>
      <w:r w:rsidRPr="002C1DAD">
        <w:rPr>
          <w:rFonts w:asciiTheme="minorHAnsi" w:hAnsiTheme="minorHAnsi"/>
          <w:sz w:val="24"/>
          <w:szCs w:val="22"/>
        </w:rPr>
        <w:t xml:space="preserve"> § 16:12–16:14.</w:t>
      </w:r>
    </w:p>
    <w:p w14:paraId="008031DA" w14:textId="77777777" w:rsidR="002C1DAD" w:rsidRDefault="002C1DAD" w:rsidP="003E745A">
      <w:pPr>
        <w:rPr>
          <w:rFonts w:asciiTheme="minorHAnsi" w:hAnsiTheme="minorHAnsi"/>
          <w:sz w:val="24"/>
          <w:szCs w:val="22"/>
        </w:rPr>
      </w:pPr>
      <w:r>
        <w:rPr>
          <w:rFonts w:asciiTheme="minorHAnsi" w:hAnsiTheme="minorHAnsi"/>
          <w:sz w:val="24"/>
          <w:szCs w:val="22"/>
        </w:rPr>
        <w:t xml:space="preserve">First, </w:t>
      </w:r>
      <w:r w:rsidR="003E745A" w:rsidRPr="002C1DAD">
        <w:rPr>
          <w:rFonts w:asciiTheme="minorHAnsi" w:hAnsiTheme="minorHAnsi"/>
          <w:sz w:val="24"/>
          <w:szCs w:val="22"/>
        </w:rPr>
        <w:t xml:space="preserve">we address the use in commerce requirement for federal registration. As you will see, </w:t>
      </w:r>
      <w:r w:rsidR="003E745A" w:rsidRPr="002C1DAD">
        <w:rPr>
          <w:rFonts w:asciiTheme="minorHAnsi" w:hAnsiTheme="minorHAnsi"/>
          <w:i/>
          <w:sz w:val="24"/>
          <w:szCs w:val="22"/>
        </w:rPr>
        <w:t xml:space="preserve">Aycock Engineering, Inc. v. </w:t>
      </w:r>
      <w:proofErr w:type="spellStart"/>
      <w:r w:rsidR="003E745A" w:rsidRPr="002C1DAD">
        <w:rPr>
          <w:rFonts w:asciiTheme="minorHAnsi" w:hAnsiTheme="minorHAnsi"/>
          <w:i/>
          <w:sz w:val="24"/>
          <w:szCs w:val="22"/>
        </w:rPr>
        <w:t>Airflite</w:t>
      </w:r>
      <w:proofErr w:type="spellEnd"/>
      <w:r w:rsidR="003E745A" w:rsidRPr="002C1DAD">
        <w:rPr>
          <w:rFonts w:asciiTheme="minorHAnsi" w:hAnsiTheme="minorHAnsi"/>
          <w:i/>
          <w:sz w:val="24"/>
          <w:szCs w:val="22"/>
        </w:rPr>
        <w:t>, Inc</w:t>
      </w:r>
      <w:r w:rsidR="003E745A" w:rsidRPr="002C1DAD">
        <w:rPr>
          <w:rFonts w:asciiTheme="minorHAnsi" w:hAnsiTheme="minorHAnsi"/>
          <w:sz w:val="24"/>
          <w:szCs w:val="22"/>
        </w:rPr>
        <w:t xml:space="preserve">., 560 F.3d 1350 (Fed. Cir. 2009), and </w:t>
      </w:r>
      <w:r w:rsidR="003E745A" w:rsidRPr="002C1DAD">
        <w:rPr>
          <w:rFonts w:asciiTheme="minorHAnsi" w:hAnsiTheme="minorHAnsi"/>
          <w:i/>
          <w:sz w:val="24"/>
          <w:szCs w:val="22"/>
        </w:rPr>
        <w:t xml:space="preserve">Couture v. </w:t>
      </w:r>
      <w:proofErr w:type="spellStart"/>
      <w:r w:rsidR="003E745A" w:rsidRPr="002C1DAD">
        <w:rPr>
          <w:rFonts w:asciiTheme="minorHAnsi" w:hAnsiTheme="minorHAnsi"/>
          <w:i/>
          <w:sz w:val="24"/>
          <w:szCs w:val="22"/>
        </w:rPr>
        <w:t>Playdom</w:t>
      </w:r>
      <w:proofErr w:type="spellEnd"/>
      <w:r w:rsidR="003E745A" w:rsidRPr="002C1DAD">
        <w:rPr>
          <w:rFonts w:asciiTheme="minorHAnsi" w:hAnsiTheme="minorHAnsi"/>
          <w:i/>
          <w:sz w:val="24"/>
          <w:szCs w:val="22"/>
        </w:rPr>
        <w:t>, Inc</w:t>
      </w:r>
      <w:r w:rsidR="003E745A" w:rsidRPr="002C1DAD">
        <w:rPr>
          <w:rFonts w:asciiTheme="minorHAnsi" w:hAnsiTheme="minorHAnsi"/>
          <w:sz w:val="24"/>
          <w:szCs w:val="22"/>
        </w:rPr>
        <w:t>., 778 F.3d 1379 (Fed. Cir. 2015), make clear that the owner of a mark must complete the sale of goods or services bearing the mark to customers for the mark to qualify for federal registration.</w:t>
      </w:r>
      <w:r w:rsidR="003E745A" w:rsidRPr="002C1DAD">
        <w:rPr>
          <w:rStyle w:val="FootnoteReference"/>
          <w:rFonts w:asciiTheme="minorHAnsi" w:hAnsiTheme="minorHAnsi"/>
          <w:sz w:val="24"/>
          <w:szCs w:val="22"/>
        </w:rPr>
        <w:footnoteReference w:id="1"/>
      </w:r>
      <w:r w:rsidR="003E745A" w:rsidRPr="002C1DAD">
        <w:rPr>
          <w:rFonts w:asciiTheme="minorHAnsi" w:hAnsiTheme="minorHAnsi"/>
          <w:sz w:val="24"/>
          <w:szCs w:val="22"/>
        </w:rPr>
        <w:t xml:space="preserve"> Mere advertising or other promotional conduct without actual sales will not support federal registration. </w:t>
      </w:r>
    </w:p>
    <w:p w14:paraId="6D95BA08" w14:textId="43329D32" w:rsidR="003E745A" w:rsidRPr="002C1DAD" w:rsidRDefault="002C1DAD" w:rsidP="003E745A">
      <w:pPr>
        <w:rPr>
          <w:rFonts w:asciiTheme="minorHAnsi" w:hAnsiTheme="minorHAnsi"/>
          <w:sz w:val="24"/>
          <w:szCs w:val="22"/>
        </w:rPr>
      </w:pPr>
      <w:r>
        <w:rPr>
          <w:rFonts w:asciiTheme="minorHAnsi" w:hAnsiTheme="minorHAnsi"/>
          <w:sz w:val="24"/>
          <w:szCs w:val="22"/>
        </w:rPr>
        <w:t xml:space="preserve">Next, </w:t>
      </w:r>
      <w:r w:rsidR="003E745A" w:rsidRPr="002C1DAD">
        <w:rPr>
          <w:rFonts w:asciiTheme="minorHAnsi" w:hAnsiTheme="minorHAnsi"/>
          <w:i/>
          <w:sz w:val="24"/>
          <w:szCs w:val="22"/>
        </w:rPr>
        <w:t xml:space="preserve">Cosmic Crusaders LLC v. </w:t>
      </w:r>
      <w:proofErr w:type="spellStart"/>
      <w:r w:rsidR="003E745A" w:rsidRPr="002C1DAD">
        <w:rPr>
          <w:rFonts w:asciiTheme="minorHAnsi" w:hAnsiTheme="minorHAnsi"/>
          <w:i/>
          <w:sz w:val="24"/>
          <w:szCs w:val="22"/>
        </w:rPr>
        <w:t>Andrusiek</w:t>
      </w:r>
      <w:proofErr w:type="spellEnd"/>
      <w:r w:rsidR="003E745A" w:rsidRPr="002C1DAD">
        <w:rPr>
          <w:rFonts w:asciiTheme="minorHAnsi" w:hAnsiTheme="minorHAnsi"/>
          <w:sz w:val="24"/>
          <w:szCs w:val="22"/>
        </w:rPr>
        <w:t>, No. 2023-1150, 2023 WL 6889054 (Fed. Cir. Oct. 19, 2023), shows that for purposes of establishing unregistered, common law priority in a mark, advertising and other promotional conduct prior to actual sales may be sufficient to support a priority claim.</w:t>
      </w:r>
    </w:p>
    <w:p w14:paraId="240EC4F6"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lastRenderedPageBreak/>
        <w:t>In reading through these two subsections, consider whether the distinction between use for purposes of registration and use for purposes of common law priority makes sense as a matter of sound policy.</w:t>
      </w:r>
    </w:p>
    <w:p w14:paraId="65A6D52D" w14:textId="77777777" w:rsidR="003E745A" w:rsidRPr="002C1DAD" w:rsidRDefault="003E745A" w:rsidP="003E745A">
      <w:pPr>
        <w:pStyle w:val="Heading3"/>
        <w:rPr>
          <w:rFonts w:asciiTheme="minorHAnsi" w:hAnsiTheme="minorHAnsi"/>
        </w:rPr>
      </w:pPr>
      <w:bookmarkStart w:id="0" w:name="_Toc201424325"/>
      <w:r w:rsidRPr="002C1DAD">
        <w:rPr>
          <w:rFonts w:asciiTheme="minorHAnsi" w:hAnsiTheme="minorHAnsi"/>
        </w:rPr>
        <w:t>1.</w:t>
      </w:r>
      <w:r w:rsidRPr="002C1DAD">
        <w:rPr>
          <w:rFonts w:asciiTheme="minorHAnsi" w:hAnsiTheme="minorHAnsi"/>
        </w:rPr>
        <w:tab/>
        <w:t>Use in Commerce as a Prerequisite for Federal Trademark Registration</w:t>
      </w:r>
      <w:bookmarkEnd w:id="0"/>
    </w:p>
    <w:p w14:paraId="4C4D07F2" w14:textId="77777777" w:rsidR="003E745A" w:rsidRPr="002C1DAD" w:rsidRDefault="003E745A" w:rsidP="003E745A">
      <w:pPr>
        <w:pStyle w:val="Blockquote"/>
        <w:rPr>
          <w:rFonts w:asciiTheme="minorHAnsi" w:hAnsiTheme="minorHAnsi"/>
          <w:sz w:val="24"/>
          <w:szCs w:val="22"/>
        </w:rPr>
      </w:pPr>
      <w:r w:rsidRPr="002C1DAD">
        <w:rPr>
          <w:rFonts w:asciiTheme="minorHAnsi" w:hAnsiTheme="minorHAnsi"/>
          <w:sz w:val="24"/>
          <w:szCs w:val="22"/>
        </w:rPr>
        <w:t>Lanham Act § 45, 15 U.S.C. § 1127</w:t>
      </w:r>
    </w:p>
    <w:p w14:paraId="4236BEA2" w14:textId="77777777" w:rsidR="003E745A" w:rsidRPr="002C1DAD" w:rsidRDefault="003E745A" w:rsidP="003E745A">
      <w:pPr>
        <w:pStyle w:val="Blockquote"/>
        <w:rPr>
          <w:rFonts w:asciiTheme="minorHAnsi" w:hAnsiTheme="minorHAnsi"/>
          <w:sz w:val="24"/>
          <w:szCs w:val="22"/>
        </w:rPr>
      </w:pPr>
      <w:bookmarkStart w:id="1" w:name="_Hlk106370141"/>
      <w:r w:rsidRPr="002C1DAD">
        <w:rPr>
          <w:rFonts w:asciiTheme="minorHAnsi" w:hAnsiTheme="minorHAnsi"/>
          <w:sz w:val="24"/>
          <w:szCs w:val="22"/>
        </w:rPr>
        <w:t xml:space="preserve">The term “use in commerce” means the bona fide use of a mark in the ordinary course of trade, and </w:t>
      </w:r>
      <w:bookmarkStart w:id="2" w:name="_Hlk106366378"/>
      <w:r w:rsidRPr="002C1DAD">
        <w:rPr>
          <w:rFonts w:asciiTheme="minorHAnsi" w:hAnsiTheme="minorHAnsi"/>
          <w:sz w:val="24"/>
          <w:szCs w:val="22"/>
        </w:rPr>
        <w:t>not made merely to reserve a right in a mark</w:t>
      </w:r>
      <w:bookmarkEnd w:id="2"/>
      <w:r w:rsidRPr="002C1DAD">
        <w:rPr>
          <w:rFonts w:asciiTheme="minorHAnsi" w:hAnsiTheme="minorHAnsi"/>
          <w:sz w:val="24"/>
          <w:szCs w:val="22"/>
        </w:rPr>
        <w:t xml:space="preserve">. </w:t>
      </w:r>
      <w:bookmarkEnd w:id="1"/>
      <w:r w:rsidRPr="002C1DAD">
        <w:rPr>
          <w:rFonts w:asciiTheme="minorHAnsi" w:hAnsiTheme="minorHAnsi"/>
          <w:sz w:val="24"/>
          <w:szCs w:val="22"/>
        </w:rPr>
        <w:t>For purposes of this chapter, a mark shall be deemed to be in use in commerce–</w:t>
      </w:r>
    </w:p>
    <w:p w14:paraId="493C2006" w14:textId="77777777" w:rsidR="003E745A" w:rsidRPr="002C1DAD" w:rsidRDefault="003E745A" w:rsidP="003E745A">
      <w:pPr>
        <w:pStyle w:val="Blockquote"/>
        <w:rPr>
          <w:rFonts w:asciiTheme="minorHAnsi" w:hAnsiTheme="minorHAnsi"/>
          <w:sz w:val="24"/>
          <w:szCs w:val="22"/>
        </w:rPr>
      </w:pPr>
      <w:r w:rsidRPr="002C1DAD">
        <w:rPr>
          <w:rFonts w:asciiTheme="minorHAnsi" w:hAnsiTheme="minorHAnsi"/>
          <w:sz w:val="24"/>
          <w:szCs w:val="22"/>
        </w:rPr>
        <w:t>(1) on goods when–</w:t>
      </w:r>
    </w:p>
    <w:p w14:paraId="22A5517C" w14:textId="77777777" w:rsidR="003E745A" w:rsidRPr="002C1DAD" w:rsidRDefault="003E745A" w:rsidP="003E745A">
      <w:pPr>
        <w:pStyle w:val="Blockquote"/>
        <w:ind w:left="864"/>
        <w:rPr>
          <w:rFonts w:asciiTheme="minorHAnsi" w:hAnsiTheme="minorHAnsi"/>
          <w:sz w:val="24"/>
          <w:szCs w:val="22"/>
        </w:rPr>
      </w:pPr>
      <w:r w:rsidRPr="002C1DAD">
        <w:rPr>
          <w:rFonts w:asciiTheme="minorHAnsi" w:hAnsiTheme="minorHAnsi"/>
          <w:sz w:val="24"/>
          <w:szCs w:val="22"/>
        </w:rPr>
        <w:t>(A) it is placed in any manner on the goods or their containers or the displays associated therewith or on the tags or labels affixed thereto, or if the nature of the goods makes such placement impracticable, then on documents associated with the goods or their sale, and</w:t>
      </w:r>
    </w:p>
    <w:p w14:paraId="3B33CA94" w14:textId="77777777" w:rsidR="003E745A" w:rsidRPr="002C1DAD" w:rsidRDefault="003E745A" w:rsidP="003E745A">
      <w:pPr>
        <w:pStyle w:val="Blockquote"/>
        <w:ind w:left="864"/>
        <w:rPr>
          <w:rFonts w:asciiTheme="minorHAnsi" w:hAnsiTheme="minorHAnsi"/>
          <w:sz w:val="24"/>
          <w:szCs w:val="22"/>
        </w:rPr>
      </w:pPr>
      <w:r w:rsidRPr="002C1DAD">
        <w:rPr>
          <w:rFonts w:asciiTheme="minorHAnsi" w:hAnsiTheme="minorHAnsi"/>
          <w:sz w:val="24"/>
          <w:szCs w:val="22"/>
        </w:rPr>
        <w:t>(B) the goods are sold or transported in commerce, and</w:t>
      </w:r>
    </w:p>
    <w:p w14:paraId="4CEF6303" w14:textId="77777777" w:rsidR="003E745A" w:rsidRPr="002C1DAD" w:rsidRDefault="003E745A" w:rsidP="003E745A">
      <w:pPr>
        <w:pStyle w:val="Blockquote"/>
        <w:rPr>
          <w:rFonts w:asciiTheme="minorHAnsi" w:hAnsiTheme="minorHAnsi"/>
          <w:sz w:val="24"/>
          <w:szCs w:val="22"/>
        </w:rPr>
      </w:pPr>
      <w:r w:rsidRPr="002C1DAD">
        <w:rPr>
          <w:rFonts w:asciiTheme="minorHAnsi" w:hAnsiTheme="minorHAnsi"/>
          <w:sz w:val="24"/>
          <w:szCs w:val="22"/>
        </w:rPr>
        <w:t>(2) on services when it is used or displayed in the sale or advertising of services and the services are rendered in commerce, or the services are rendered in more than one State or in the United States and a foreign country and the person rendering the services is engaged in commerce in connection with the services.</w:t>
      </w:r>
    </w:p>
    <w:p w14:paraId="16B63C5D" w14:textId="77777777" w:rsidR="003E745A" w:rsidRPr="002C1DAD" w:rsidRDefault="003E745A" w:rsidP="003E745A">
      <w:pPr>
        <w:pStyle w:val="Blockquote"/>
        <w:rPr>
          <w:rFonts w:asciiTheme="minorHAnsi" w:hAnsiTheme="minorHAnsi"/>
          <w:sz w:val="24"/>
          <w:szCs w:val="22"/>
        </w:rPr>
      </w:pPr>
    </w:p>
    <w:p w14:paraId="68368031" w14:textId="77777777" w:rsidR="003E745A" w:rsidRPr="002C1DAD" w:rsidRDefault="003E745A" w:rsidP="003E745A">
      <w:pPr>
        <w:pStyle w:val="Blockquote"/>
        <w:rPr>
          <w:rFonts w:asciiTheme="minorHAnsi" w:hAnsiTheme="minorHAnsi"/>
          <w:sz w:val="24"/>
          <w:szCs w:val="22"/>
        </w:rPr>
      </w:pPr>
      <w:r w:rsidRPr="002C1DAD">
        <w:rPr>
          <w:rFonts w:asciiTheme="minorHAnsi" w:hAnsiTheme="minorHAnsi"/>
          <w:sz w:val="24"/>
          <w:szCs w:val="22"/>
        </w:rPr>
        <w:t>The word “commerce” means all commerce which may lawfully be regulated by Congress.</w:t>
      </w:r>
    </w:p>
    <w:p w14:paraId="27C18DBC" w14:textId="77777777" w:rsidR="003E745A" w:rsidRPr="002C1DAD" w:rsidRDefault="003E745A" w:rsidP="002C1DAD">
      <w:pPr>
        <w:ind w:firstLine="0"/>
        <w:rPr>
          <w:rFonts w:asciiTheme="minorHAnsi" w:hAnsiTheme="minorHAnsi"/>
        </w:rPr>
      </w:pPr>
    </w:p>
    <w:p w14:paraId="47673ACA" w14:textId="4FECAF9F" w:rsidR="003E745A" w:rsidRDefault="002C1DAD" w:rsidP="003E745A">
      <w:pPr>
        <w:pStyle w:val="Heading7"/>
        <w:rPr>
          <w:rFonts w:asciiTheme="minorHAnsi" w:hAnsiTheme="minorHAnsi"/>
        </w:rPr>
      </w:pPr>
      <w:bookmarkStart w:id="3" w:name="_Toc201424326"/>
      <w:r w:rsidRPr="002C1DAD">
        <w:rPr>
          <w:rFonts w:asciiTheme="minorHAnsi" w:hAnsiTheme="minorHAnsi"/>
          <w:color w:val="FF0000"/>
          <w:sz w:val="24"/>
          <w:szCs w:val="22"/>
        </w:rPr>
        <w:t xml:space="preserve">[The opinion in </w:t>
      </w:r>
      <w:r w:rsidR="003E745A" w:rsidRPr="002C1DAD">
        <w:rPr>
          <w:rFonts w:asciiTheme="minorHAnsi" w:hAnsiTheme="minorHAnsi"/>
          <w:i/>
          <w:iCs/>
          <w:color w:val="FF0000"/>
          <w:sz w:val="24"/>
          <w:szCs w:val="22"/>
        </w:rPr>
        <w:t xml:space="preserve">Aycock Engineering, Inc. v. </w:t>
      </w:r>
      <w:proofErr w:type="spellStart"/>
      <w:r w:rsidR="003E745A" w:rsidRPr="002C1DAD">
        <w:rPr>
          <w:rFonts w:asciiTheme="minorHAnsi" w:hAnsiTheme="minorHAnsi"/>
          <w:i/>
          <w:iCs/>
          <w:color w:val="FF0000"/>
          <w:sz w:val="24"/>
          <w:szCs w:val="22"/>
        </w:rPr>
        <w:t>Airflite</w:t>
      </w:r>
      <w:proofErr w:type="spellEnd"/>
      <w:r w:rsidR="003E745A" w:rsidRPr="002C1DAD">
        <w:rPr>
          <w:rFonts w:asciiTheme="minorHAnsi" w:hAnsiTheme="minorHAnsi"/>
          <w:i/>
          <w:iCs/>
          <w:color w:val="FF0000"/>
          <w:sz w:val="24"/>
          <w:szCs w:val="22"/>
        </w:rPr>
        <w:t>, Inc.</w:t>
      </w:r>
      <w:bookmarkEnd w:id="3"/>
      <w:r w:rsidRPr="002C1DAD">
        <w:rPr>
          <w:rFonts w:asciiTheme="minorHAnsi" w:hAnsiTheme="minorHAnsi"/>
          <w:i/>
          <w:iCs/>
          <w:color w:val="FF0000"/>
          <w:sz w:val="24"/>
          <w:szCs w:val="22"/>
        </w:rPr>
        <w:t xml:space="preserve"> </w:t>
      </w:r>
      <w:r w:rsidRPr="002C1DAD">
        <w:rPr>
          <w:rFonts w:asciiTheme="minorHAnsi" w:hAnsiTheme="minorHAnsi"/>
          <w:color w:val="FF0000"/>
          <w:sz w:val="24"/>
          <w:szCs w:val="22"/>
        </w:rPr>
        <w:t>is available separately.]</w:t>
      </w:r>
    </w:p>
    <w:p w14:paraId="77AEB9B1" w14:textId="77777777" w:rsidR="002C1DAD" w:rsidRPr="002C1DAD" w:rsidRDefault="002C1DAD" w:rsidP="002C1DAD"/>
    <w:p w14:paraId="1B275BD6" w14:textId="77777777" w:rsidR="003E745A" w:rsidRPr="002C1DAD" w:rsidRDefault="003E745A" w:rsidP="003E745A">
      <w:pPr>
        <w:pStyle w:val="CommentsandQuestions"/>
        <w:rPr>
          <w:rFonts w:asciiTheme="minorHAnsi" w:hAnsiTheme="minorHAnsi"/>
          <w:sz w:val="24"/>
          <w:szCs w:val="22"/>
        </w:rPr>
      </w:pPr>
      <w:r w:rsidRPr="002C1DAD">
        <w:rPr>
          <w:rFonts w:asciiTheme="minorHAnsi" w:hAnsiTheme="minorHAnsi"/>
          <w:sz w:val="24"/>
          <w:szCs w:val="22"/>
        </w:rPr>
        <w:t>Comments and Questions</w:t>
      </w:r>
    </w:p>
    <w:p w14:paraId="4FFAEA05" w14:textId="77777777" w:rsidR="003E745A" w:rsidRPr="002C1DAD" w:rsidRDefault="003E745A" w:rsidP="003E745A">
      <w:pPr>
        <w:rPr>
          <w:rFonts w:asciiTheme="minorHAnsi" w:hAnsiTheme="minorHAnsi"/>
        </w:rPr>
      </w:pPr>
      <w:bookmarkStart w:id="4" w:name="_Hlk106370706"/>
      <w:r w:rsidRPr="002C1DAD">
        <w:rPr>
          <w:rFonts w:asciiTheme="minorHAnsi" w:hAnsiTheme="minorHAnsi"/>
          <w:sz w:val="24"/>
          <w:szCs w:val="22"/>
        </w:rPr>
        <w:t xml:space="preserve">1. </w:t>
      </w:r>
      <w:r w:rsidRPr="002C1DAD">
        <w:rPr>
          <w:rFonts w:asciiTheme="minorHAnsi" w:hAnsiTheme="minorHAnsi"/>
          <w:i/>
          <w:iCs/>
          <w:sz w:val="24"/>
          <w:szCs w:val="22"/>
        </w:rPr>
        <w:t>Use of a mark “merely to reserve a right in a mark.”</w:t>
      </w:r>
      <w:r w:rsidRPr="002C1DAD">
        <w:rPr>
          <w:rFonts w:asciiTheme="minorHAnsi" w:hAnsiTheme="minorHAnsi"/>
          <w:sz w:val="24"/>
          <w:szCs w:val="22"/>
        </w:rPr>
        <w:t xml:space="preserve"> In </w:t>
      </w:r>
      <w:r w:rsidRPr="002C1DAD">
        <w:rPr>
          <w:rFonts w:asciiTheme="minorHAnsi" w:hAnsiTheme="minorHAnsi"/>
          <w:i/>
          <w:iCs/>
          <w:sz w:val="24"/>
          <w:szCs w:val="22"/>
        </w:rPr>
        <w:t>Social Technologies LLC v. Apple Inc</w:t>
      </w:r>
      <w:r w:rsidRPr="002C1DAD">
        <w:rPr>
          <w:rFonts w:asciiTheme="minorHAnsi" w:hAnsiTheme="minorHAnsi"/>
          <w:sz w:val="24"/>
          <w:szCs w:val="22"/>
        </w:rPr>
        <w:t xml:space="preserve">., 4 F.4th 811 (9th Cir. 2021), Social Technologies filed an intent-to-use application in </w:t>
      </w:r>
      <w:proofErr w:type="gramStart"/>
      <w:r w:rsidRPr="002C1DAD">
        <w:rPr>
          <w:rFonts w:asciiTheme="minorHAnsi" w:hAnsiTheme="minorHAnsi"/>
          <w:sz w:val="24"/>
          <w:szCs w:val="22"/>
        </w:rPr>
        <w:t>April,</w:t>
      </w:r>
      <w:proofErr w:type="gramEnd"/>
      <w:r w:rsidRPr="002C1DAD">
        <w:rPr>
          <w:rFonts w:asciiTheme="minorHAnsi" w:hAnsiTheme="minorHAnsi"/>
          <w:sz w:val="24"/>
          <w:szCs w:val="22"/>
        </w:rPr>
        <w:t xml:space="preserve"> 2016 for the mark </w:t>
      </w:r>
      <w:proofErr w:type="spellStart"/>
      <w:r w:rsidRPr="002C1DAD">
        <w:rPr>
          <w:rFonts w:asciiTheme="minorHAnsi" w:hAnsiTheme="minorHAnsi"/>
          <w:smallCaps/>
          <w:sz w:val="24"/>
          <w:szCs w:val="22"/>
        </w:rPr>
        <w:t>memoji</w:t>
      </w:r>
      <w:proofErr w:type="spellEnd"/>
      <w:r w:rsidRPr="002C1DAD">
        <w:rPr>
          <w:rFonts w:asciiTheme="minorHAnsi" w:hAnsiTheme="minorHAnsi"/>
          <w:sz w:val="24"/>
          <w:szCs w:val="22"/>
        </w:rPr>
        <w:t xml:space="preserve"> in connection with a mobile phone application, but it had not yet launched the application and thus had not yet made actual use of the mark in commerce. Apple then announced that it was adopting the mark also for a mobile phone application. Social Technologies then had one job. All it needed to do was launch its application as planned and thus make a legitimate use of its mark in commerce, which, as we will discuss further in sections I.D and I.E below, would complete the registration process and enable it to claim its intent to use application date as its priority date. But in the process of preparing to make actual use of the mark, Social Technologies’ co-founder and president wrote a series of disastrous emails to his employees. The Ninth Circuit cited these emails to conclude that Social Technologies had ultimately launched its product merely to </w:t>
      </w:r>
      <w:r w:rsidRPr="002C1DAD">
        <w:rPr>
          <w:rFonts w:asciiTheme="minorHAnsi" w:hAnsiTheme="minorHAnsi"/>
          <w:sz w:val="24"/>
          <w:szCs w:val="22"/>
        </w:rPr>
        <w:lastRenderedPageBreak/>
        <w:t xml:space="preserve">reserve a right in the </w:t>
      </w:r>
      <w:proofErr w:type="spellStart"/>
      <w:r w:rsidRPr="002C1DAD">
        <w:rPr>
          <w:rFonts w:asciiTheme="minorHAnsi" w:hAnsiTheme="minorHAnsi"/>
          <w:smallCaps/>
          <w:sz w:val="24"/>
          <w:szCs w:val="22"/>
        </w:rPr>
        <w:t>memoji</w:t>
      </w:r>
      <w:proofErr w:type="spellEnd"/>
      <w:r w:rsidRPr="002C1DAD">
        <w:rPr>
          <w:rFonts w:asciiTheme="minorHAnsi" w:hAnsiTheme="minorHAnsi"/>
          <w:sz w:val="24"/>
          <w:szCs w:val="22"/>
        </w:rPr>
        <w:t xml:space="preserve"> mark and hold Apple hostage. For example, the co-founder made clear that they should now design the app purely to support the trademark application. He insisted to his engineers that “</w:t>
      </w:r>
      <w:r w:rsidRPr="002C1DAD">
        <w:rPr>
          <w:rStyle w:val="Emphasis"/>
          <w:rFonts w:asciiTheme="minorHAnsi" w:hAnsiTheme="minorHAnsi"/>
          <w:sz w:val="24"/>
          <w:szCs w:val="22"/>
        </w:rPr>
        <w:t>the editing feature [was] vital</w:t>
      </w:r>
      <w:r w:rsidRPr="002C1DAD">
        <w:rPr>
          <w:rFonts w:asciiTheme="minorHAnsi" w:hAnsiTheme="minorHAnsi"/>
          <w:sz w:val="24"/>
          <w:szCs w:val="22"/>
        </w:rPr>
        <w:t>” to “</w:t>
      </w:r>
      <w:r w:rsidRPr="002C1DAD">
        <w:rPr>
          <w:rStyle w:val="Emphasis"/>
          <w:rFonts w:asciiTheme="minorHAnsi" w:hAnsiTheme="minorHAnsi"/>
          <w:sz w:val="24"/>
          <w:szCs w:val="22"/>
        </w:rPr>
        <w:t>satisfy the ‘editing’ requirement of the trademark.</w:t>
      </w:r>
      <w:r w:rsidRPr="002C1DAD">
        <w:rPr>
          <w:rFonts w:asciiTheme="minorHAnsi" w:hAnsiTheme="minorHAnsi"/>
          <w:sz w:val="24"/>
          <w:szCs w:val="22"/>
        </w:rPr>
        <w:t xml:space="preserve">” </w:t>
      </w:r>
      <w:r w:rsidRPr="002C1DAD">
        <w:rPr>
          <w:rFonts w:asciiTheme="minorHAnsi" w:hAnsiTheme="minorHAnsi"/>
          <w:i/>
          <w:iCs/>
          <w:sz w:val="24"/>
          <w:szCs w:val="22"/>
        </w:rPr>
        <w:t>Id</w:t>
      </w:r>
      <w:r w:rsidRPr="002C1DAD">
        <w:rPr>
          <w:rFonts w:asciiTheme="minorHAnsi" w:hAnsiTheme="minorHAnsi"/>
          <w:sz w:val="24"/>
          <w:szCs w:val="22"/>
        </w:rPr>
        <w:t>. at 815 (emphasis in original). As the Ninth Circuit noted, he also emailed his employees: “</w:t>
      </w:r>
      <w:r w:rsidRPr="002C1DAD">
        <w:rPr>
          <w:rFonts w:asciiTheme="minorHAnsi" w:hAnsiTheme="minorHAnsi"/>
          <w:i/>
          <w:iCs/>
          <w:sz w:val="24"/>
          <w:szCs w:val="22"/>
        </w:rPr>
        <w:t>We are lining up all of our information, in preparation for a nice lawsuit against Apple, Inc! We are looking REALLY good. Get your Lamborghini picked out!</w:t>
      </w:r>
      <w:r w:rsidRPr="002C1DAD">
        <w:rPr>
          <w:rFonts w:asciiTheme="minorHAnsi" w:hAnsiTheme="minorHAnsi"/>
          <w:sz w:val="24"/>
          <w:szCs w:val="22"/>
        </w:rPr>
        <w:t xml:space="preserve">” </w:t>
      </w:r>
      <w:r w:rsidRPr="002C1DAD">
        <w:rPr>
          <w:rFonts w:asciiTheme="minorHAnsi" w:hAnsiTheme="minorHAnsi"/>
          <w:i/>
          <w:iCs/>
          <w:sz w:val="24"/>
          <w:szCs w:val="22"/>
        </w:rPr>
        <w:t>Id</w:t>
      </w:r>
      <w:r w:rsidRPr="002C1DAD">
        <w:rPr>
          <w:rFonts w:asciiTheme="minorHAnsi" w:hAnsiTheme="minorHAnsi"/>
          <w:sz w:val="24"/>
          <w:szCs w:val="22"/>
        </w:rPr>
        <w:t>. (emphasis in original). The Ninth Circuit affirmed summary judgment in favor of Apple on the ground that Social Technologies failed to satisfy the Lanham Act § 45 requirement that its use be a “bona fide use of a mark in the ordinary course of trade, and not made merely to reserve a right in a mark.” 15 U.S.C. § 1125.</w:t>
      </w:r>
      <w:r w:rsidRPr="002C1DAD">
        <w:rPr>
          <w:rFonts w:asciiTheme="minorHAnsi" w:hAnsiTheme="minorHAnsi"/>
        </w:rPr>
        <w:t xml:space="preserve"> </w:t>
      </w:r>
    </w:p>
    <w:bookmarkEnd w:id="4"/>
    <w:p w14:paraId="67F0B461" w14:textId="77777777" w:rsidR="003E745A" w:rsidRPr="002C1DAD" w:rsidRDefault="003E745A" w:rsidP="003E745A">
      <w:pPr>
        <w:pStyle w:val="Dashbreak"/>
        <w:rPr>
          <w:rFonts w:asciiTheme="minorHAnsi" w:hAnsiTheme="minorHAnsi"/>
        </w:rPr>
      </w:pPr>
      <w:r w:rsidRPr="002C1DAD">
        <w:rPr>
          <w:rFonts w:asciiTheme="minorHAnsi" w:hAnsiTheme="minorHAnsi"/>
        </w:rPr>
        <w:t>______________________________________________________________________________</w:t>
      </w:r>
    </w:p>
    <w:p w14:paraId="1844E307" w14:textId="455F9859" w:rsidR="003E745A" w:rsidRPr="002C1DAD" w:rsidRDefault="002C1DAD" w:rsidP="003E745A">
      <w:pPr>
        <w:pStyle w:val="Heading7"/>
        <w:rPr>
          <w:rFonts w:asciiTheme="minorHAnsi" w:hAnsiTheme="minorHAnsi"/>
          <w:color w:val="FF0000"/>
          <w:sz w:val="24"/>
          <w:szCs w:val="22"/>
        </w:rPr>
      </w:pPr>
      <w:bookmarkStart w:id="5" w:name="_Toc201424327"/>
      <w:r w:rsidRPr="002C1DAD">
        <w:rPr>
          <w:rFonts w:asciiTheme="minorHAnsi" w:hAnsiTheme="minorHAnsi"/>
          <w:color w:val="FF0000"/>
          <w:sz w:val="24"/>
          <w:szCs w:val="22"/>
        </w:rPr>
        <w:t xml:space="preserve">[The opinion in </w:t>
      </w:r>
      <w:r w:rsidR="003E745A" w:rsidRPr="002C1DAD">
        <w:rPr>
          <w:rFonts w:asciiTheme="minorHAnsi" w:hAnsiTheme="minorHAnsi"/>
          <w:i/>
          <w:iCs/>
          <w:color w:val="FF0000"/>
          <w:sz w:val="24"/>
          <w:szCs w:val="22"/>
        </w:rPr>
        <w:t xml:space="preserve">Couture v. </w:t>
      </w:r>
      <w:proofErr w:type="spellStart"/>
      <w:r w:rsidR="003E745A" w:rsidRPr="002C1DAD">
        <w:rPr>
          <w:rFonts w:asciiTheme="minorHAnsi" w:hAnsiTheme="minorHAnsi"/>
          <w:i/>
          <w:iCs/>
          <w:color w:val="FF0000"/>
          <w:sz w:val="24"/>
          <w:szCs w:val="22"/>
        </w:rPr>
        <w:t>Playdom</w:t>
      </w:r>
      <w:proofErr w:type="spellEnd"/>
      <w:r w:rsidR="003E745A" w:rsidRPr="002C1DAD">
        <w:rPr>
          <w:rFonts w:asciiTheme="minorHAnsi" w:hAnsiTheme="minorHAnsi"/>
          <w:i/>
          <w:iCs/>
          <w:color w:val="FF0000"/>
          <w:sz w:val="24"/>
          <w:szCs w:val="22"/>
        </w:rPr>
        <w:t>, Inc.</w:t>
      </w:r>
      <w:bookmarkEnd w:id="5"/>
      <w:r w:rsidRPr="002C1DAD">
        <w:rPr>
          <w:rFonts w:asciiTheme="minorHAnsi" w:hAnsiTheme="minorHAnsi"/>
          <w:i/>
          <w:iCs/>
          <w:color w:val="FF0000"/>
          <w:sz w:val="24"/>
          <w:szCs w:val="22"/>
        </w:rPr>
        <w:t xml:space="preserve"> </w:t>
      </w:r>
      <w:r w:rsidRPr="002C1DAD">
        <w:rPr>
          <w:rFonts w:asciiTheme="minorHAnsi" w:hAnsiTheme="minorHAnsi"/>
          <w:color w:val="FF0000"/>
          <w:sz w:val="24"/>
          <w:szCs w:val="22"/>
        </w:rPr>
        <w:t>is available separately.]</w:t>
      </w:r>
    </w:p>
    <w:p w14:paraId="24E7961B" w14:textId="77777777" w:rsidR="002C1DAD" w:rsidRDefault="002C1DAD" w:rsidP="003E745A">
      <w:pPr>
        <w:pStyle w:val="OpinionCitation"/>
        <w:rPr>
          <w:rFonts w:asciiTheme="minorHAnsi" w:hAnsiTheme="minorHAnsi"/>
        </w:rPr>
      </w:pPr>
    </w:p>
    <w:p w14:paraId="394CF135" w14:textId="77777777" w:rsidR="003E745A" w:rsidRPr="002C1DAD" w:rsidRDefault="003E745A" w:rsidP="003E745A">
      <w:pPr>
        <w:pStyle w:val="CommentsandQuestions"/>
        <w:rPr>
          <w:rFonts w:asciiTheme="minorHAnsi" w:hAnsiTheme="minorHAnsi"/>
          <w:sz w:val="24"/>
          <w:szCs w:val="22"/>
        </w:rPr>
      </w:pPr>
      <w:r w:rsidRPr="002C1DAD">
        <w:rPr>
          <w:rFonts w:asciiTheme="minorHAnsi" w:hAnsiTheme="minorHAnsi"/>
          <w:sz w:val="24"/>
          <w:szCs w:val="22"/>
        </w:rPr>
        <w:t>Comments and Questions</w:t>
      </w:r>
    </w:p>
    <w:p w14:paraId="57CE48E2"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 xml:space="preserve">1. </w:t>
      </w:r>
      <w:r w:rsidRPr="002C1DAD">
        <w:rPr>
          <w:rFonts w:asciiTheme="minorHAnsi" w:hAnsiTheme="minorHAnsi"/>
          <w:i/>
          <w:iCs/>
          <w:sz w:val="24"/>
          <w:szCs w:val="22"/>
        </w:rPr>
        <w:t>Amending the application to seek registration under section 1(b)’s intent to use provision</w:t>
      </w:r>
      <w:r w:rsidRPr="002C1DAD">
        <w:rPr>
          <w:rFonts w:asciiTheme="minorHAnsi" w:hAnsiTheme="minorHAnsi"/>
          <w:sz w:val="24"/>
          <w:szCs w:val="22"/>
        </w:rPr>
        <w:t xml:space="preserve">. In </w:t>
      </w:r>
      <w:r w:rsidRPr="002C1DAD">
        <w:rPr>
          <w:rFonts w:asciiTheme="minorHAnsi" w:hAnsiTheme="minorHAnsi"/>
          <w:i/>
          <w:iCs/>
          <w:sz w:val="24"/>
          <w:szCs w:val="22"/>
        </w:rPr>
        <w:t xml:space="preserve">In re Alessandra </w:t>
      </w:r>
      <w:proofErr w:type="spellStart"/>
      <w:r w:rsidRPr="002C1DAD">
        <w:rPr>
          <w:rFonts w:asciiTheme="minorHAnsi" w:hAnsiTheme="minorHAnsi"/>
          <w:i/>
          <w:iCs/>
          <w:sz w:val="24"/>
          <w:szCs w:val="22"/>
        </w:rPr>
        <w:t>Suuberg</w:t>
      </w:r>
      <w:proofErr w:type="spellEnd"/>
      <w:r w:rsidRPr="002C1DAD">
        <w:rPr>
          <w:rFonts w:asciiTheme="minorHAnsi" w:hAnsiTheme="minorHAnsi"/>
          <w:sz w:val="24"/>
          <w:szCs w:val="22"/>
        </w:rPr>
        <w:t xml:space="preserve">, Serial No. 88234650, 2021 TTAB LEXIS 459 (TTAB 2021) [precedential], the Board, citing </w:t>
      </w:r>
      <w:r w:rsidRPr="002C1DAD">
        <w:rPr>
          <w:rFonts w:asciiTheme="minorHAnsi" w:hAnsiTheme="minorHAnsi"/>
          <w:i/>
          <w:iCs/>
          <w:sz w:val="24"/>
          <w:szCs w:val="22"/>
        </w:rPr>
        <w:t>Couture</w:t>
      </w:r>
      <w:r w:rsidRPr="002C1DAD">
        <w:rPr>
          <w:rFonts w:asciiTheme="minorHAnsi" w:hAnsiTheme="minorHAnsi"/>
          <w:sz w:val="24"/>
          <w:szCs w:val="22"/>
        </w:rPr>
        <w:t xml:space="preserve">, affirmed the examiner’s refusal to register the mark where “the applicant’s activities were preliminary and had not resulted in any use of the mark in commerce prior to the filing of the application.” </w:t>
      </w:r>
      <w:r w:rsidRPr="002C1DAD">
        <w:rPr>
          <w:rFonts w:asciiTheme="minorHAnsi" w:hAnsiTheme="minorHAnsi"/>
          <w:i/>
          <w:iCs/>
          <w:sz w:val="24"/>
          <w:szCs w:val="22"/>
        </w:rPr>
        <w:t>Id</w:t>
      </w:r>
      <w:r w:rsidRPr="002C1DAD">
        <w:rPr>
          <w:rFonts w:asciiTheme="minorHAnsi" w:hAnsiTheme="minorHAnsi"/>
          <w:sz w:val="24"/>
          <w:szCs w:val="22"/>
        </w:rPr>
        <w:t xml:space="preserve">. at *8–9. In a footnote, the Board took pains to point out that “[t]he Examining Attorney suggested on two occasions that Applicant amend her application to seek registration under the intent-to-use provisions of Section 1(b) of the Trademark Act, 15 U.S.C. § 1051(b). . . . Had Applicant done so, she would have had the chance to preserve her application and its filing date, and at a later date, if bona fide use of her mark had begun, make the necessary showing of use to obtain a registration. Id.” </w:t>
      </w:r>
      <w:r w:rsidRPr="002C1DAD">
        <w:rPr>
          <w:rFonts w:asciiTheme="minorHAnsi" w:hAnsiTheme="minorHAnsi"/>
          <w:i/>
          <w:iCs/>
          <w:sz w:val="24"/>
          <w:szCs w:val="22"/>
        </w:rPr>
        <w:t>Id</w:t>
      </w:r>
      <w:r w:rsidRPr="002C1DAD">
        <w:rPr>
          <w:rFonts w:asciiTheme="minorHAnsi" w:hAnsiTheme="minorHAnsi"/>
          <w:sz w:val="24"/>
          <w:szCs w:val="22"/>
        </w:rPr>
        <w:t>. at *11 n. 13. In contrast, because Mr. Couture had already completed registration of the mark, he could not amend the basis of the registration.</w:t>
      </w:r>
    </w:p>
    <w:p w14:paraId="1FCEDCA5" w14:textId="77777777" w:rsidR="003E745A" w:rsidRPr="002C1DAD" w:rsidRDefault="003E745A" w:rsidP="003E745A">
      <w:pPr>
        <w:pStyle w:val="Heading3"/>
        <w:rPr>
          <w:rFonts w:asciiTheme="minorHAnsi" w:hAnsiTheme="minorHAnsi"/>
        </w:rPr>
      </w:pPr>
      <w:bookmarkStart w:id="6" w:name="_Toc201424328"/>
      <w:r w:rsidRPr="002C1DAD">
        <w:rPr>
          <w:rFonts w:asciiTheme="minorHAnsi" w:hAnsiTheme="minorHAnsi"/>
        </w:rPr>
        <w:t>2.</w:t>
      </w:r>
      <w:r w:rsidRPr="002C1DAD">
        <w:rPr>
          <w:rFonts w:asciiTheme="minorHAnsi" w:hAnsiTheme="minorHAnsi"/>
        </w:rPr>
        <w:tab/>
        <w:t>Use in Commerce as a Prerequisite for Unregistered “Common Law” Priority</w:t>
      </w:r>
      <w:bookmarkEnd w:id="6"/>
    </w:p>
    <w:p w14:paraId="3F4E1537" w14:textId="3F1F9A91" w:rsidR="003E745A" w:rsidRPr="002C1DAD" w:rsidRDefault="003E745A" w:rsidP="002C1DAD">
      <w:pPr>
        <w:rPr>
          <w:rFonts w:asciiTheme="minorHAnsi" w:hAnsiTheme="minorHAnsi"/>
          <w:sz w:val="24"/>
          <w:szCs w:val="22"/>
        </w:rPr>
      </w:pPr>
      <w:r w:rsidRPr="002C1DAD">
        <w:rPr>
          <w:rFonts w:asciiTheme="minorHAnsi" w:hAnsiTheme="minorHAnsi"/>
          <w:sz w:val="24"/>
          <w:szCs w:val="22"/>
        </w:rPr>
        <w:t xml:space="preserve">The following opinion is nonprecedential, meaning that it should not be cited as precedent to any court. It is included here because it presents a good, simple teaching case with memorable facts showing that a claimant’s pre-sales activity may form the basis for that claimant’s unregistered common law priority in a mark. Trademark law refers to such activity as “use analogous” to trademark use or “analogous use.” </w:t>
      </w:r>
      <w:r w:rsidRPr="002C1DAD">
        <w:rPr>
          <w:rFonts w:asciiTheme="minorHAnsi" w:hAnsiTheme="minorHAnsi"/>
          <w:i/>
          <w:sz w:val="24"/>
          <w:szCs w:val="22"/>
        </w:rPr>
        <w:t>See, e.g</w:t>
      </w:r>
      <w:r w:rsidRPr="002C1DAD">
        <w:rPr>
          <w:rFonts w:asciiTheme="minorHAnsi" w:hAnsiTheme="minorHAnsi"/>
          <w:sz w:val="24"/>
          <w:szCs w:val="22"/>
        </w:rPr>
        <w:t xml:space="preserve">., </w:t>
      </w:r>
      <w:r w:rsidRPr="002C1DAD">
        <w:rPr>
          <w:rFonts w:asciiTheme="minorHAnsi" w:hAnsiTheme="minorHAnsi"/>
          <w:i/>
          <w:sz w:val="24"/>
          <w:szCs w:val="22"/>
        </w:rPr>
        <w:t>American Express Co. v. Goetz</w:t>
      </w:r>
      <w:r w:rsidRPr="002C1DAD">
        <w:rPr>
          <w:rFonts w:asciiTheme="minorHAnsi" w:hAnsiTheme="minorHAnsi"/>
          <w:sz w:val="24"/>
          <w:szCs w:val="22"/>
        </w:rPr>
        <w:t xml:space="preserve">, 515 F.3d 156, 161 (2d Cir. 2008) (“[T]he analogous use doctrine, where it applies, eases the technical requirements for trademarks and services marks in favor of a competing claimant who asserts priority on the basis of earlier analogous use of the mark.”); </w:t>
      </w:r>
      <w:r w:rsidRPr="002C1DAD">
        <w:rPr>
          <w:rFonts w:asciiTheme="minorHAnsi" w:hAnsiTheme="minorHAnsi"/>
          <w:i/>
          <w:sz w:val="24"/>
          <w:szCs w:val="22"/>
        </w:rPr>
        <w:t>id</w:t>
      </w:r>
      <w:r w:rsidRPr="002C1DAD">
        <w:rPr>
          <w:rFonts w:asciiTheme="minorHAnsi" w:hAnsiTheme="minorHAnsi"/>
          <w:sz w:val="24"/>
          <w:szCs w:val="22"/>
        </w:rPr>
        <w:t xml:space="preserve">. at 161-62 (“At the very least analogous use must be use that is open and notorious. In </w:t>
      </w:r>
      <w:r w:rsidRPr="002C1DAD">
        <w:rPr>
          <w:rFonts w:asciiTheme="minorHAnsi" w:hAnsiTheme="minorHAnsi"/>
          <w:sz w:val="24"/>
          <w:szCs w:val="22"/>
        </w:rPr>
        <w:lastRenderedPageBreak/>
        <w:t xml:space="preserve">other words, analogous use must be of such a nature and extent that the mark has become popularized in the public mind so that the relevant segment of the public identifies the marked goods with the mark’s adopter.” (citations and quotation marks omitted)). </w:t>
      </w:r>
      <w:r w:rsidRPr="002C1DAD">
        <w:rPr>
          <w:rFonts w:asciiTheme="minorHAnsi" w:hAnsiTheme="minorHAnsi"/>
        </w:rPr>
        <w:t xml:space="preserve">       </w:t>
      </w:r>
    </w:p>
    <w:p w14:paraId="3190C33C" w14:textId="77777777" w:rsidR="003E745A" w:rsidRPr="002C1DAD" w:rsidRDefault="003E745A" w:rsidP="003E745A">
      <w:pPr>
        <w:pStyle w:val="CntrdNoItal"/>
        <w:rPr>
          <w:rFonts w:asciiTheme="minorHAnsi" w:hAnsiTheme="minorHAnsi"/>
        </w:rPr>
      </w:pPr>
    </w:p>
    <w:p w14:paraId="199EAFFD" w14:textId="4B5421F5" w:rsidR="003E745A" w:rsidRPr="002C1DAD" w:rsidRDefault="002C1DAD" w:rsidP="003E745A">
      <w:pPr>
        <w:pStyle w:val="Heading7"/>
        <w:rPr>
          <w:rFonts w:asciiTheme="minorHAnsi" w:hAnsiTheme="minorHAnsi"/>
          <w:color w:val="FF0000"/>
          <w:sz w:val="24"/>
          <w:szCs w:val="22"/>
        </w:rPr>
      </w:pPr>
      <w:bookmarkStart w:id="7" w:name="_Toc201424329"/>
      <w:r w:rsidRPr="002C1DAD">
        <w:rPr>
          <w:rFonts w:asciiTheme="minorHAnsi" w:hAnsiTheme="minorHAnsi"/>
          <w:color w:val="FF0000"/>
          <w:sz w:val="24"/>
          <w:szCs w:val="22"/>
        </w:rPr>
        <w:t xml:space="preserve">[The opinion in </w:t>
      </w:r>
      <w:r w:rsidR="003E745A" w:rsidRPr="002C1DAD">
        <w:rPr>
          <w:rFonts w:asciiTheme="minorHAnsi" w:hAnsiTheme="minorHAnsi"/>
          <w:i/>
          <w:iCs/>
          <w:color w:val="FF0000"/>
          <w:sz w:val="24"/>
          <w:szCs w:val="22"/>
        </w:rPr>
        <w:t xml:space="preserve">Cosmic Crusaders LLC v. </w:t>
      </w:r>
      <w:proofErr w:type="spellStart"/>
      <w:r w:rsidR="003E745A" w:rsidRPr="002C1DAD">
        <w:rPr>
          <w:rFonts w:asciiTheme="minorHAnsi" w:hAnsiTheme="minorHAnsi"/>
          <w:i/>
          <w:iCs/>
          <w:color w:val="FF0000"/>
          <w:sz w:val="24"/>
          <w:szCs w:val="22"/>
        </w:rPr>
        <w:t>Andrusiek</w:t>
      </w:r>
      <w:bookmarkEnd w:id="7"/>
      <w:proofErr w:type="spellEnd"/>
      <w:r w:rsidRPr="002C1DAD">
        <w:rPr>
          <w:rFonts w:asciiTheme="minorHAnsi" w:hAnsiTheme="minorHAnsi"/>
          <w:i/>
          <w:iCs/>
          <w:color w:val="FF0000"/>
          <w:sz w:val="24"/>
          <w:szCs w:val="22"/>
        </w:rPr>
        <w:t xml:space="preserve"> </w:t>
      </w:r>
      <w:r w:rsidRPr="002C1DAD">
        <w:rPr>
          <w:rFonts w:asciiTheme="minorHAnsi" w:hAnsiTheme="minorHAnsi"/>
          <w:color w:val="FF0000"/>
          <w:sz w:val="24"/>
          <w:szCs w:val="22"/>
        </w:rPr>
        <w:t>is available separately.]</w:t>
      </w:r>
    </w:p>
    <w:p w14:paraId="3B40C361" w14:textId="77777777" w:rsidR="002C1DAD" w:rsidRPr="002C1DAD" w:rsidRDefault="002C1DAD" w:rsidP="002C1DAD">
      <w:pPr>
        <w:rPr>
          <w:color w:val="FF0000"/>
          <w:sz w:val="24"/>
          <w:szCs w:val="22"/>
        </w:rPr>
      </w:pPr>
    </w:p>
    <w:p w14:paraId="2F2F1522" w14:textId="77777777" w:rsidR="003E745A" w:rsidRPr="002C1DAD" w:rsidRDefault="003E745A" w:rsidP="003E745A">
      <w:pPr>
        <w:pStyle w:val="CommentsandQuestions"/>
        <w:rPr>
          <w:rFonts w:asciiTheme="minorHAnsi" w:hAnsiTheme="minorHAnsi"/>
          <w:sz w:val="24"/>
          <w:szCs w:val="22"/>
        </w:rPr>
      </w:pPr>
      <w:r w:rsidRPr="002C1DAD">
        <w:rPr>
          <w:rFonts w:asciiTheme="minorHAnsi" w:hAnsiTheme="minorHAnsi"/>
          <w:sz w:val="24"/>
          <w:szCs w:val="22"/>
        </w:rPr>
        <w:t>Comments and Questions</w:t>
      </w:r>
    </w:p>
    <w:p w14:paraId="3C4A98A9"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 xml:space="preserve">1. </w:t>
      </w:r>
      <w:r w:rsidRPr="002C1DAD">
        <w:rPr>
          <w:rFonts w:asciiTheme="minorHAnsi" w:hAnsiTheme="minorHAnsi"/>
          <w:i/>
          <w:sz w:val="24"/>
          <w:szCs w:val="22"/>
        </w:rPr>
        <w:t>The “totality of the circumstances” test</w:t>
      </w:r>
      <w:r w:rsidRPr="002C1DAD">
        <w:rPr>
          <w:rFonts w:asciiTheme="minorHAnsi" w:hAnsiTheme="minorHAnsi"/>
          <w:sz w:val="24"/>
          <w:szCs w:val="22"/>
        </w:rPr>
        <w:t xml:space="preserve">. What kind and degree of pre-sales and/or sales activity can satisfy the use in commerce requirement for purposes of common law priority? Most courts have adopted some form of a “totality of the circumstances” test, sometimes heavily influenced by the equities of the case. </w:t>
      </w:r>
      <w:r w:rsidRPr="002C1DAD">
        <w:rPr>
          <w:rFonts w:asciiTheme="minorHAnsi" w:hAnsiTheme="minorHAnsi"/>
          <w:i/>
          <w:sz w:val="24"/>
          <w:szCs w:val="22"/>
        </w:rPr>
        <w:t>See La Societe Anonyme des Parfums Le Galion v. Jean Patou, Inc</w:t>
      </w:r>
      <w:r w:rsidRPr="002C1DAD">
        <w:rPr>
          <w:rFonts w:asciiTheme="minorHAnsi" w:hAnsiTheme="minorHAnsi"/>
          <w:sz w:val="24"/>
          <w:szCs w:val="22"/>
        </w:rPr>
        <w:t>., 495 F.2d 1265, 1274 n. 11 (2d Cir. 1974) (“[T]</w:t>
      </w:r>
      <w:proofErr w:type="gramStart"/>
      <w:r w:rsidRPr="002C1DAD">
        <w:rPr>
          <w:rFonts w:asciiTheme="minorHAnsi" w:hAnsiTheme="minorHAnsi"/>
          <w:sz w:val="24"/>
          <w:szCs w:val="22"/>
        </w:rPr>
        <w:t>he</w:t>
      </w:r>
      <w:proofErr w:type="gramEnd"/>
      <w:r w:rsidRPr="002C1DAD">
        <w:rPr>
          <w:rFonts w:asciiTheme="minorHAnsi" w:hAnsiTheme="minorHAnsi"/>
          <w:sz w:val="24"/>
          <w:szCs w:val="22"/>
        </w:rPr>
        <w:t xml:space="preserve"> balance of the equities plays an important role in deciding whether defendant’s use is sufficient to warrant trademark protection.”). In </w:t>
      </w:r>
      <w:r w:rsidRPr="002C1DAD">
        <w:rPr>
          <w:rFonts w:asciiTheme="minorHAnsi" w:hAnsiTheme="minorHAnsi"/>
          <w:i/>
          <w:sz w:val="24"/>
          <w:szCs w:val="22"/>
        </w:rPr>
        <w:t>Chance v. Pac-Tel Teletrac Inc</w:t>
      </w:r>
      <w:r w:rsidRPr="002C1DAD">
        <w:rPr>
          <w:rFonts w:asciiTheme="minorHAnsi" w:hAnsiTheme="minorHAnsi"/>
          <w:sz w:val="24"/>
          <w:szCs w:val="22"/>
        </w:rPr>
        <w:t>., 242 F.3d 1151 (9th Cir. 2001), for example, the Ninth Circuit summarized the factors that might be relevant to a totality of the circumstances analysis of use in commerce sufficient to justify rights:</w:t>
      </w:r>
    </w:p>
    <w:p w14:paraId="14CF6709" w14:textId="77777777" w:rsidR="003E745A" w:rsidRPr="002C1DAD" w:rsidRDefault="003E745A" w:rsidP="003E745A">
      <w:pPr>
        <w:pStyle w:val="Blockquote"/>
        <w:rPr>
          <w:rFonts w:asciiTheme="minorHAnsi" w:hAnsiTheme="minorHAnsi"/>
          <w:sz w:val="24"/>
          <w:szCs w:val="22"/>
        </w:rPr>
      </w:pPr>
      <w:r w:rsidRPr="002C1DAD">
        <w:rPr>
          <w:rFonts w:asciiTheme="minorHAnsi" w:hAnsiTheme="minorHAnsi"/>
          <w:sz w:val="24"/>
          <w:szCs w:val="22"/>
        </w:rPr>
        <w:t>Accordingly, we hold that the totality of the circumstances must be employed to determine whether a service mark has been adequately used in commerce so as to gain the protection of the Lanham Act. In applying this approach, the district courts should be guided in their consideration of non-sales activities by factors we have discussed, such as the genuineness and commercial character of the activity, the determination of whether the mark was sufficiently public to identify or distinguish the marked service in an appropriate segment of the public mind as those of the holder of the mark, the scope of the non-sales activity relative to what would be a commercially reasonable attempt to market the service, the degree of ongoing activity of the holder to conduct the business using the mark, the amount of business transacted, and other similar factors which might distinguish whether a service has actually been “rendered in commerce”.</w:t>
      </w:r>
    </w:p>
    <w:p w14:paraId="73B07D5D" w14:textId="77777777" w:rsidR="003E745A" w:rsidRPr="002C1DAD" w:rsidRDefault="003E745A" w:rsidP="003E745A">
      <w:pPr>
        <w:pStyle w:val="NormalNoIndent"/>
        <w:rPr>
          <w:rFonts w:asciiTheme="minorHAnsi" w:hAnsiTheme="minorHAnsi"/>
          <w:sz w:val="24"/>
          <w:szCs w:val="22"/>
        </w:rPr>
      </w:pPr>
      <w:r w:rsidRPr="002C1DAD">
        <w:rPr>
          <w:rFonts w:asciiTheme="minorHAnsi" w:hAnsiTheme="minorHAnsi"/>
          <w:i/>
          <w:sz w:val="24"/>
          <w:szCs w:val="22"/>
        </w:rPr>
        <w:t>Id</w:t>
      </w:r>
      <w:r w:rsidRPr="002C1DAD">
        <w:rPr>
          <w:rFonts w:asciiTheme="minorHAnsi" w:hAnsiTheme="minorHAnsi"/>
          <w:sz w:val="24"/>
          <w:szCs w:val="22"/>
        </w:rPr>
        <w:t xml:space="preserve">. at 1159. Applying these factors, the Ninth Circuit found that the October 1989 mailing by Allen Chance (“Chance”) of 35,000 postcards promoting his </w:t>
      </w:r>
      <w:proofErr w:type="spellStart"/>
      <w:r w:rsidRPr="002C1DAD">
        <w:rPr>
          <w:rFonts w:asciiTheme="minorHAnsi" w:hAnsiTheme="minorHAnsi"/>
          <w:smallCaps/>
          <w:sz w:val="24"/>
          <w:szCs w:val="22"/>
        </w:rPr>
        <w:t>teletrac</w:t>
      </w:r>
      <w:proofErr w:type="spellEnd"/>
      <w:r w:rsidRPr="002C1DAD">
        <w:rPr>
          <w:rFonts w:asciiTheme="minorHAnsi" w:hAnsiTheme="minorHAnsi"/>
          <w:sz w:val="24"/>
          <w:szCs w:val="22"/>
        </w:rPr>
        <w:t xml:space="preserve"> tracking service that led to 128 telephone </w:t>
      </w:r>
      <w:proofErr w:type="gramStart"/>
      <w:r w:rsidRPr="002C1DAD">
        <w:rPr>
          <w:rFonts w:asciiTheme="minorHAnsi" w:hAnsiTheme="minorHAnsi"/>
          <w:sz w:val="24"/>
          <w:szCs w:val="22"/>
        </w:rPr>
        <w:t>responses</w:t>
      </w:r>
      <w:proofErr w:type="gramEnd"/>
      <w:r w:rsidRPr="002C1DAD">
        <w:rPr>
          <w:rFonts w:asciiTheme="minorHAnsi" w:hAnsiTheme="minorHAnsi"/>
          <w:sz w:val="24"/>
          <w:szCs w:val="22"/>
        </w:rPr>
        <w:t xml:space="preserve"> but no sales was not sufficient to establish use in commerce. Meanwhile,</w:t>
      </w:r>
    </w:p>
    <w:p w14:paraId="54C6425C" w14:textId="77777777" w:rsidR="003E745A" w:rsidRPr="002C1DAD" w:rsidRDefault="003E745A" w:rsidP="003E745A">
      <w:pPr>
        <w:pStyle w:val="Blockquote"/>
        <w:rPr>
          <w:rFonts w:asciiTheme="minorHAnsi" w:hAnsiTheme="minorHAnsi"/>
          <w:sz w:val="24"/>
          <w:szCs w:val="22"/>
        </w:rPr>
      </w:pPr>
      <w:r w:rsidRPr="002C1DAD">
        <w:rPr>
          <w:rFonts w:asciiTheme="minorHAnsi" w:hAnsiTheme="minorHAnsi"/>
          <w:sz w:val="24"/>
          <w:szCs w:val="22"/>
        </w:rPr>
        <w:t xml:space="preserve">Pac–Tel, in contrast, had significant activities even prior to [Chance’s] post card mailing. The record demonstrates that as early as June 1989, Pac–Tel began using the mark on a continuous basis. As early as 1984, a Pac–Tel predecessor company was using the mark as part of its business name. Pac–Tel began a public relations campaign using the mark to introduce its new service in July </w:t>
      </w:r>
      <w:r w:rsidRPr="002C1DAD">
        <w:rPr>
          <w:rFonts w:asciiTheme="minorHAnsi" w:hAnsiTheme="minorHAnsi"/>
          <w:sz w:val="24"/>
          <w:szCs w:val="22"/>
        </w:rPr>
        <w:lastRenderedPageBreak/>
        <w:t xml:space="preserve">1989. In September 1989, it sent out brochures to potential customers. In early fall 1989, it conducted interviews with major newspapers including the </w:t>
      </w:r>
      <w:r w:rsidRPr="002C1DAD">
        <w:rPr>
          <w:rFonts w:asciiTheme="minorHAnsi" w:hAnsiTheme="minorHAnsi"/>
          <w:i/>
          <w:sz w:val="24"/>
          <w:szCs w:val="22"/>
        </w:rPr>
        <w:t>Wall Street Journal</w:t>
      </w:r>
      <w:r w:rsidRPr="002C1DAD">
        <w:rPr>
          <w:rFonts w:asciiTheme="minorHAnsi" w:hAnsiTheme="minorHAnsi"/>
          <w:sz w:val="24"/>
          <w:szCs w:val="22"/>
        </w:rPr>
        <w:t xml:space="preserve">, </w:t>
      </w:r>
      <w:r w:rsidRPr="002C1DAD">
        <w:rPr>
          <w:rFonts w:asciiTheme="minorHAnsi" w:hAnsiTheme="minorHAnsi"/>
          <w:i/>
          <w:sz w:val="24"/>
          <w:szCs w:val="22"/>
        </w:rPr>
        <w:t>Washington Post</w:t>
      </w:r>
      <w:r w:rsidRPr="002C1DAD">
        <w:rPr>
          <w:rFonts w:asciiTheme="minorHAnsi" w:hAnsiTheme="minorHAnsi"/>
          <w:sz w:val="24"/>
          <w:szCs w:val="22"/>
        </w:rPr>
        <w:t xml:space="preserve"> and </w:t>
      </w:r>
      <w:r w:rsidRPr="002C1DAD">
        <w:rPr>
          <w:rFonts w:asciiTheme="minorHAnsi" w:hAnsiTheme="minorHAnsi"/>
          <w:i/>
          <w:sz w:val="24"/>
          <w:szCs w:val="22"/>
        </w:rPr>
        <w:t>Chicago Tribune</w:t>
      </w:r>
      <w:r w:rsidRPr="002C1DAD">
        <w:rPr>
          <w:rFonts w:asciiTheme="minorHAnsi" w:hAnsiTheme="minorHAnsi"/>
          <w:sz w:val="24"/>
          <w:szCs w:val="22"/>
        </w:rPr>
        <w:t xml:space="preserve"> which resulted in a number of stories that mentioned the service mark. During this time the service was marketed to potential customers who managed large vehicle fleets through a slide presentation using the mark. While the district court found that Pac–Tel’s first use was in April 1990, when it began making its service available on a commercial basis for the first time on the Los Angeles school buses, the totality of the record demonstrates that its first use of the mark was significantly earlier and clearly predated [Chance]’s first use</w:t>
      </w:r>
    </w:p>
    <w:p w14:paraId="54EC9AB6" w14:textId="77777777" w:rsidR="003E745A" w:rsidRPr="002C1DAD" w:rsidRDefault="003E745A" w:rsidP="003E745A">
      <w:pPr>
        <w:pStyle w:val="NormalNoIndent"/>
        <w:rPr>
          <w:rFonts w:asciiTheme="minorHAnsi" w:hAnsiTheme="minorHAnsi"/>
          <w:sz w:val="24"/>
          <w:szCs w:val="22"/>
        </w:rPr>
      </w:pPr>
      <w:r w:rsidRPr="002C1DAD">
        <w:rPr>
          <w:rFonts w:asciiTheme="minorHAnsi" w:hAnsiTheme="minorHAnsi"/>
          <w:i/>
          <w:sz w:val="24"/>
          <w:szCs w:val="22"/>
        </w:rPr>
        <w:t>Id</w:t>
      </w:r>
      <w:r w:rsidRPr="002C1DAD">
        <w:rPr>
          <w:rFonts w:asciiTheme="minorHAnsi" w:hAnsiTheme="minorHAnsi"/>
          <w:sz w:val="24"/>
          <w:szCs w:val="22"/>
        </w:rPr>
        <w:t>. at 1160.</w:t>
      </w:r>
    </w:p>
    <w:p w14:paraId="13F82969"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 xml:space="preserve">Another example of the application of the totality of the circumstances test, along with a strong grounding in the balance of the equities, is </w:t>
      </w:r>
      <w:r w:rsidRPr="002C1DAD">
        <w:rPr>
          <w:rFonts w:asciiTheme="minorHAnsi" w:hAnsiTheme="minorHAnsi"/>
          <w:i/>
          <w:sz w:val="24"/>
          <w:szCs w:val="22"/>
        </w:rPr>
        <w:t>Johnny Blastoff, Inc. v. Los Angeles Rams Football Co</w:t>
      </w:r>
      <w:r w:rsidRPr="002C1DAD">
        <w:rPr>
          <w:rFonts w:asciiTheme="minorHAnsi" w:hAnsiTheme="minorHAnsi"/>
          <w:sz w:val="24"/>
          <w:szCs w:val="22"/>
        </w:rPr>
        <w:t xml:space="preserve">., 188 F.3d 427 (7th Cir. 1999). When the Los Angeles Rams announced that they were moving to St. Louis, Rodney Rigsby, proprietor of Johnny Blastoff, Inc., had the bright idea somehow to claim ownership of the </w:t>
      </w:r>
      <w:proofErr w:type="spellStart"/>
      <w:r w:rsidRPr="002C1DAD">
        <w:rPr>
          <w:rFonts w:asciiTheme="minorHAnsi" w:hAnsiTheme="minorHAnsi"/>
          <w:smallCaps/>
          <w:sz w:val="24"/>
          <w:szCs w:val="22"/>
        </w:rPr>
        <w:t>st.</w:t>
      </w:r>
      <w:proofErr w:type="spellEnd"/>
      <w:r w:rsidRPr="002C1DAD">
        <w:rPr>
          <w:rFonts w:asciiTheme="minorHAnsi" w:hAnsiTheme="minorHAnsi"/>
          <w:smallCaps/>
          <w:sz w:val="24"/>
          <w:szCs w:val="22"/>
        </w:rPr>
        <w:t xml:space="preserve"> louis rams</w:t>
      </w:r>
      <w:r w:rsidRPr="002C1DAD">
        <w:rPr>
          <w:rFonts w:asciiTheme="minorHAnsi" w:hAnsiTheme="minorHAnsi"/>
          <w:sz w:val="24"/>
          <w:szCs w:val="22"/>
        </w:rPr>
        <w:t xml:space="preserve"> mark before the football team could. He filed a State of Wisconsin trademark application on February 22, 1995, and two federal intent-to-use registration applications on March 10, 1995. The court found that the football team’s use in commerce preceded these dates. Here is the core of the court’s analysis:</w:t>
      </w:r>
    </w:p>
    <w:p w14:paraId="32596D33" w14:textId="77777777" w:rsidR="003E745A" w:rsidRPr="002C1DAD" w:rsidRDefault="003E745A" w:rsidP="003E745A">
      <w:pPr>
        <w:pStyle w:val="Blockquoteindent"/>
        <w:rPr>
          <w:rFonts w:asciiTheme="minorHAnsi" w:hAnsiTheme="minorHAnsi"/>
          <w:sz w:val="24"/>
          <w:szCs w:val="22"/>
        </w:rPr>
      </w:pPr>
      <w:r w:rsidRPr="002C1DAD">
        <w:rPr>
          <w:rFonts w:asciiTheme="minorHAnsi" w:hAnsiTheme="minorHAnsi"/>
          <w:sz w:val="24"/>
          <w:szCs w:val="22"/>
        </w:rPr>
        <w:t xml:space="preserve">On January 17, 1995, Georgia </w:t>
      </w:r>
      <w:proofErr w:type="spellStart"/>
      <w:r w:rsidRPr="002C1DAD">
        <w:rPr>
          <w:rFonts w:asciiTheme="minorHAnsi" w:hAnsiTheme="minorHAnsi"/>
          <w:sz w:val="24"/>
          <w:szCs w:val="22"/>
        </w:rPr>
        <w:t>Frontiere</w:t>
      </w:r>
      <w:proofErr w:type="spellEnd"/>
      <w:r w:rsidRPr="002C1DAD">
        <w:rPr>
          <w:rFonts w:asciiTheme="minorHAnsi" w:hAnsiTheme="minorHAnsi"/>
          <w:sz w:val="24"/>
          <w:szCs w:val="22"/>
        </w:rPr>
        <w:t xml:space="preserve">, the owner of the Rams, and St. Louis Mayor Freeman Bosley held a press conference at which they announced the Rams’ intention to relocate from Los Angeles to St. Louis. The press conference story received extensive national and local press, including the </w:t>
      </w:r>
      <w:r w:rsidRPr="002C1DAD">
        <w:rPr>
          <w:rFonts w:asciiTheme="minorHAnsi" w:hAnsiTheme="minorHAnsi"/>
          <w:i/>
          <w:iCs/>
          <w:sz w:val="24"/>
          <w:szCs w:val="22"/>
        </w:rPr>
        <w:t>St. Louis Dispatch’s</w:t>
      </w:r>
      <w:r w:rsidRPr="002C1DAD">
        <w:rPr>
          <w:rFonts w:asciiTheme="minorHAnsi" w:hAnsiTheme="minorHAnsi"/>
          <w:sz w:val="24"/>
          <w:szCs w:val="22"/>
        </w:rPr>
        <w:t xml:space="preserve"> publication, on January 18, 1995, of a sixteen-page pullout section of the newspaper entitled “St. Louis Rams.” Vendors sold unlicensed “St. Louis Rams” merchandise in the St. Louis area in January of 1995, and by February of 1995, more than 72,000 personal seat licenses for the St. Louis Rams’ home games had been received. By the time Blastoff registered the “St. Louis Rams” mark in Wisconsin in February of 1995, a significant portion of the public associated the mark with the Rams football club. However, Blastoff asserts that the defendants had not sufficiently used the mark “St. Louis Rams” to be given priority. Blastoff argues that at the January 17, 1995, press conference, none of the defendants used the words “St. Louis Rams,” and thus, this term was rendered an “unarticulated idea for a team name,” which is not protectable. Blastoff also states that newspaper and media coverage is insufficient to establish priority. Finally, Blastoff contends that the football club “operated publicly and exclusively as [the] ‘L.A. Rams’” as late as February 8, 1995.</w:t>
      </w:r>
    </w:p>
    <w:p w14:paraId="2BBEFF04" w14:textId="77777777" w:rsidR="003E745A" w:rsidRPr="002C1DAD" w:rsidRDefault="003E745A" w:rsidP="003E745A">
      <w:pPr>
        <w:pStyle w:val="Blockquoteindent"/>
        <w:rPr>
          <w:rFonts w:asciiTheme="minorHAnsi" w:hAnsiTheme="minorHAnsi"/>
          <w:sz w:val="24"/>
          <w:szCs w:val="22"/>
        </w:rPr>
      </w:pPr>
      <w:r w:rsidRPr="002C1DAD">
        <w:rPr>
          <w:rFonts w:asciiTheme="minorHAnsi" w:hAnsiTheme="minorHAnsi"/>
          <w:sz w:val="24"/>
          <w:szCs w:val="22"/>
        </w:rPr>
        <w:t xml:space="preserve">For the purpose of establishing public identification of a mark with a product or service, the fact-finder may rely on the use of the mark in “advertising </w:t>
      </w:r>
      <w:r w:rsidRPr="002C1DAD">
        <w:rPr>
          <w:rFonts w:asciiTheme="minorHAnsi" w:hAnsiTheme="minorHAnsi"/>
          <w:sz w:val="24"/>
          <w:szCs w:val="22"/>
        </w:rPr>
        <w:lastRenderedPageBreak/>
        <w:t xml:space="preserve">brochures, catalogs, newspaper ads, and articles in newspapers and trade publications,” </w:t>
      </w:r>
      <w:r w:rsidRPr="002C1DAD">
        <w:rPr>
          <w:rFonts w:asciiTheme="minorHAnsi" w:hAnsiTheme="minorHAnsi"/>
          <w:i/>
          <w:iCs/>
          <w:sz w:val="24"/>
          <w:szCs w:val="22"/>
        </w:rPr>
        <w:t xml:space="preserve">T.A.B. Systems v. </w:t>
      </w:r>
      <w:proofErr w:type="spellStart"/>
      <w:r w:rsidRPr="002C1DAD">
        <w:rPr>
          <w:rFonts w:asciiTheme="minorHAnsi" w:hAnsiTheme="minorHAnsi"/>
          <w:i/>
          <w:iCs/>
          <w:sz w:val="24"/>
          <w:szCs w:val="22"/>
        </w:rPr>
        <w:t>Pactel</w:t>
      </w:r>
      <w:proofErr w:type="spellEnd"/>
      <w:r w:rsidRPr="002C1DAD">
        <w:rPr>
          <w:rFonts w:asciiTheme="minorHAnsi" w:hAnsiTheme="minorHAnsi"/>
          <w:i/>
          <w:iCs/>
          <w:sz w:val="24"/>
          <w:szCs w:val="22"/>
        </w:rPr>
        <w:t xml:space="preserve"> Teletrac,</w:t>
      </w:r>
      <w:r w:rsidRPr="002C1DAD">
        <w:rPr>
          <w:rFonts w:asciiTheme="minorHAnsi" w:hAnsiTheme="minorHAnsi"/>
          <w:sz w:val="24"/>
          <w:szCs w:val="22"/>
        </w:rPr>
        <w:t xml:space="preserve"> 77 F.3d 1372, 1375 (Fed. Cir. 1996), as well as in media outlets such as television and radio. </w:t>
      </w:r>
      <w:r w:rsidRPr="002C1DAD">
        <w:rPr>
          <w:rFonts w:asciiTheme="minorHAnsi" w:hAnsiTheme="minorHAnsi"/>
          <w:i/>
          <w:iCs/>
          <w:sz w:val="24"/>
          <w:szCs w:val="22"/>
        </w:rPr>
        <w:t>See In re Owens–Corning Fiberglas Corp.</w:t>
      </w:r>
      <w:r w:rsidRPr="002C1DAD">
        <w:rPr>
          <w:rFonts w:asciiTheme="minorHAnsi" w:hAnsiTheme="minorHAnsi"/>
          <w:sz w:val="24"/>
          <w:szCs w:val="22"/>
        </w:rPr>
        <w:t xml:space="preserve">, 774 F.2d 1116, 1125 (Fed. Cir. 1985). In addition, courts have recognized that “abbreviations and nicknames of trademarks or names used </w:t>
      </w:r>
      <w:r w:rsidRPr="002C1DAD">
        <w:rPr>
          <w:rFonts w:asciiTheme="minorHAnsi" w:hAnsiTheme="minorHAnsi"/>
          <w:i/>
          <w:iCs/>
          <w:sz w:val="24"/>
          <w:szCs w:val="22"/>
        </w:rPr>
        <w:t>only</w:t>
      </w:r>
      <w:r w:rsidRPr="002C1DAD">
        <w:rPr>
          <w:rFonts w:asciiTheme="minorHAnsi" w:hAnsiTheme="minorHAnsi"/>
          <w:sz w:val="24"/>
          <w:szCs w:val="22"/>
        </w:rPr>
        <w:t xml:space="preserve"> by the public give rise to protectable rights in the owners of the trade name or mark which the public modified.” </w:t>
      </w:r>
      <w:proofErr w:type="spellStart"/>
      <w:r w:rsidRPr="002C1DAD">
        <w:rPr>
          <w:rFonts w:asciiTheme="minorHAnsi" w:hAnsiTheme="minorHAnsi"/>
          <w:i/>
          <w:iCs/>
          <w:sz w:val="24"/>
          <w:szCs w:val="22"/>
        </w:rPr>
        <w:t>Nat’l</w:t>
      </w:r>
      <w:proofErr w:type="spellEnd"/>
      <w:r w:rsidRPr="002C1DAD">
        <w:rPr>
          <w:rFonts w:asciiTheme="minorHAnsi" w:hAnsiTheme="minorHAnsi"/>
          <w:i/>
          <w:iCs/>
          <w:sz w:val="24"/>
          <w:szCs w:val="22"/>
        </w:rPr>
        <w:t xml:space="preserve"> Cable Television Assoc. v. Am. Cinema Editors, Inc.</w:t>
      </w:r>
      <w:r w:rsidRPr="002C1DAD">
        <w:rPr>
          <w:rFonts w:asciiTheme="minorHAnsi" w:hAnsiTheme="minorHAnsi"/>
          <w:sz w:val="24"/>
          <w:szCs w:val="22"/>
        </w:rPr>
        <w:t xml:space="preserve">, 937 F.2d 1572, 1577 (Fed. Cir. 1991). Such public use of a mark is deemed to be on behalf of the mark’s owners. </w:t>
      </w:r>
      <w:r w:rsidRPr="002C1DAD">
        <w:rPr>
          <w:rFonts w:asciiTheme="minorHAnsi" w:hAnsiTheme="minorHAnsi"/>
          <w:i/>
          <w:iCs/>
          <w:sz w:val="24"/>
          <w:szCs w:val="22"/>
        </w:rPr>
        <w:t>See</w:t>
      </w:r>
      <w:r w:rsidRPr="002C1DAD">
        <w:rPr>
          <w:rFonts w:asciiTheme="minorHAnsi" w:hAnsiTheme="minorHAnsi"/>
          <w:sz w:val="24"/>
          <w:szCs w:val="22"/>
        </w:rPr>
        <w:t xml:space="preserve"> </w:t>
      </w:r>
      <w:r w:rsidRPr="002C1DAD">
        <w:rPr>
          <w:rFonts w:asciiTheme="minorHAnsi" w:hAnsiTheme="minorHAnsi"/>
          <w:i/>
          <w:iCs/>
          <w:sz w:val="24"/>
          <w:szCs w:val="22"/>
        </w:rPr>
        <w:t>id.</w:t>
      </w:r>
      <w:r w:rsidRPr="002C1DAD">
        <w:rPr>
          <w:rFonts w:asciiTheme="minorHAnsi" w:hAnsiTheme="minorHAnsi"/>
          <w:sz w:val="24"/>
          <w:szCs w:val="22"/>
        </w:rPr>
        <w:t xml:space="preserve"> Blastoff has failed to demonstrate any equivalent use of the mark “St. Louis Rams” by February of 1995, when the defendants established, by use and public association, their priority in the mark. Blastoff’s insignificant and very limited use of the mark prior to February of 1995, consisting of the development of the “Tower City Rams” design, along with the production of a swatch of material with “St. Louis Rams” embroidery, is insufficient to establish a link between the mark and its products. Furthermore, the owner’s use of a trademark is relevant in establishing public identification of a mark with a product or service. Georgia </w:t>
      </w:r>
      <w:proofErr w:type="spellStart"/>
      <w:r w:rsidRPr="002C1DAD">
        <w:rPr>
          <w:rFonts w:asciiTheme="minorHAnsi" w:hAnsiTheme="minorHAnsi"/>
          <w:sz w:val="24"/>
          <w:szCs w:val="22"/>
        </w:rPr>
        <w:t>Frontiere</w:t>
      </w:r>
      <w:proofErr w:type="spellEnd"/>
      <w:r w:rsidRPr="002C1DAD">
        <w:rPr>
          <w:rFonts w:asciiTheme="minorHAnsi" w:hAnsiTheme="minorHAnsi"/>
          <w:sz w:val="24"/>
          <w:szCs w:val="22"/>
        </w:rPr>
        <w:t xml:space="preserve">, owner of the Rams, in announcing her intention to move the franchise to St. Louis from Los Angeles, implicitly adopted the exact phrase “St. Louis Rams” on the date of her press conference. This Court’s decision in </w:t>
      </w:r>
      <w:r w:rsidRPr="002C1DAD">
        <w:rPr>
          <w:rFonts w:asciiTheme="minorHAnsi" w:hAnsiTheme="minorHAnsi"/>
          <w:i/>
          <w:iCs/>
          <w:sz w:val="24"/>
          <w:szCs w:val="22"/>
        </w:rPr>
        <w:t>Indianapolis Colts, Inc. v. Metropolitan Baltimore Football Club Ltd</w:t>
      </w:r>
      <w:r w:rsidRPr="002C1DAD">
        <w:rPr>
          <w:rFonts w:asciiTheme="minorHAnsi" w:hAnsiTheme="minorHAnsi"/>
          <w:sz w:val="24"/>
          <w:szCs w:val="22"/>
        </w:rPr>
        <w:t>., 34 F.3d 410, 413 (7th Cir. 1994), is strong support for the proposition that the Rams organization and the NFL had a long-established priority over the use of the “Rams” name in connection with the same professional football team, regardless of urban affiliation.</w:t>
      </w:r>
    </w:p>
    <w:p w14:paraId="594A0CDA" w14:textId="77777777" w:rsidR="003E745A" w:rsidRPr="002C1DAD" w:rsidRDefault="003E745A" w:rsidP="003E745A">
      <w:pPr>
        <w:pStyle w:val="NormalNoIndent"/>
        <w:rPr>
          <w:rFonts w:asciiTheme="minorHAnsi" w:hAnsiTheme="minorHAnsi"/>
          <w:sz w:val="24"/>
          <w:szCs w:val="22"/>
        </w:rPr>
      </w:pPr>
      <w:r w:rsidRPr="002C1DAD">
        <w:rPr>
          <w:rFonts w:asciiTheme="minorHAnsi" w:hAnsiTheme="minorHAnsi"/>
          <w:i/>
          <w:sz w:val="24"/>
          <w:szCs w:val="22"/>
        </w:rPr>
        <w:t>Id</w:t>
      </w:r>
      <w:r w:rsidRPr="002C1DAD">
        <w:rPr>
          <w:rFonts w:asciiTheme="minorHAnsi" w:hAnsiTheme="minorHAnsi"/>
          <w:sz w:val="24"/>
          <w:szCs w:val="22"/>
        </w:rPr>
        <w:t>. at 435.</w:t>
      </w:r>
    </w:p>
    <w:p w14:paraId="08DBDD37"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2. “</w:t>
      </w:r>
      <w:r w:rsidRPr="002C1DAD">
        <w:rPr>
          <w:rFonts w:asciiTheme="minorHAnsi" w:hAnsiTheme="minorHAnsi"/>
          <w:i/>
          <w:sz w:val="24"/>
          <w:szCs w:val="22"/>
        </w:rPr>
        <w:t>Stealing” someone else’s idea for a trademark</w:t>
      </w:r>
      <w:r w:rsidRPr="002C1DAD">
        <w:rPr>
          <w:rFonts w:asciiTheme="minorHAnsi" w:hAnsiTheme="minorHAnsi"/>
          <w:sz w:val="24"/>
          <w:szCs w:val="22"/>
        </w:rPr>
        <w:t xml:space="preserve">. Because use, rather than invention, is the basis for trademark rights under the Lanham Act, there is no remedy under the Act for the “theft” of an idea for a trademark. In </w:t>
      </w:r>
      <w:r w:rsidRPr="002C1DAD">
        <w:rPr>
          <w:rFonts w:asciiTheme="minorHAnsi" w:hAnsiTheme="minorHAnsi"/>
          <w:i/>
          <w:sz w:val="24"/>
          <w:szCs w:val="22"/>
        </w:rPr>
        <w:t>American Express Co. v. Goetz</w:t>
      </w:r>
      <w:r w:rsidRPr="002C1DAD">
        <w:rPr>
          <w:rFonts w:asciiTheme="minorHAnsi" w:hAnsiTheme="minorHAnsi"/>
          <w:sz w:val="24"/>
          <w:szCs w:val="22"/>
        </w:rPr>
        <w:t xml:space="preserve">, 515 F.3d 156 (2d Cir. 2008), cert. denied, 129 S. Ct. 176 (U.S. 2008), the declaratory defendant Stephen Goetz developed the slogan “My Life. My Card.” for a credit card and sought to interest various credit card providers in using it and his consulting services. On July 30, 2004, Goetz mailed a proposal to American Express urging American Express to adopt the mark. American Express never responded. In </w:t>
      </w:r>
      <w:proofErr w:type="gramStart"/>
      <w:r w:rsidRPr="002C1DAD">
        <w:rPr>
          <w:rFonts w:asciiTheme="minorHAnsi" w:hAnsiTheme="minorHAnsi"/>
          <w:sz w:val="24"/>
          <w:szCs w:val="22"/>
        </w:rPr>
        <w:t>November,</w:t>
      </w:r>
      <w:proofErr w:type="gramEnd"/>
      <w:r w:rsidRPr="002C1DAD">
        <w:rPr>
          <w:rFonts w:asciiTheme="minorHAnsi" w:hAnsiTheme="minorHAnsi"/>
          <w:sz w:val="24"/>
          <w:szCs w:val="22"/>
        </w:rPr>
        <w:t xml:space="preserve"> 2004, however, American Express launched a global campaign based on the phrase “My Life. My Card.”</w:t>
      </w:r>
    </w:p>
    <w:p w14:paraId="75C24E89"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 xml:space="preserve">When Goetz threatened suit, American Express filed for a declaration of non-infringement. Documents produced in the litigation showed that the advertising firm Ogilvy Group first proposed the mark to American Express on July 22, 2004, and Goetz eventually conceded that Ogilvy had </w:t>
      </w:r>
      <w:proofErr w:type="gramStart"/>
      <w:r w:rsidRPr="002C1DAD">
        <w:rPr>
          <w:rFonts w:asciiTheme="minorHAnsi" w:hAnsiTheme="minorHAnsi"/>
          <w:sz w:val="24"/>
          <w:szCs w:val="22"/>
        </w:rPr>
        <w:t>developed</w:t>
      </w:r>
      <w:proofErr w:type="gramEnd"/>
      <w:r w:rsidRPr="002C1DAD">
        <w:rPr>
          <w:rFonts w:asciiTheme="minorHAnsi" w:hAnsiTheme="minorHAnsi"/>
          <w:sz w:val="24"/>
          <w:szCs w:val="22"/>
        </w:rPr>
        <w:t xml:space="preserve"> and American Express had adopted the mark without any knowledge of his proposal.</w:t>
      </w:r>
    </w:p>
    <w:p w14:paraId="3A4BC984"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lastRenderedPageBreak/>
        <w:t xml:space="preserve">The district court granted summary judgment to American </w:t>
      </w:r>
      <w:proofErr w:type="gramStart"/>
      <w:r w:rsidRPr="002C1DAD">
        <w:rPr>
          <w:rFonts w:asciiTheme="minorHAnsi" w:hAnsiTheme="minorHAnsi"/>
          <w:sz w:val="24"/>
          <w:szCs w:val="22"/>
        </w:rPr>
        <w:t>Express</w:t>
      </w:r>
      <w:proofErr w:type="gramEnd"/>
      <w:r w:rsidRPr="002C1DAD">
        <w:rPr>
          <w:rFonts w:asciiTheme="minorHAnsi" w:hAnsiTheme="minorHAnsi"/>
          <w:sz w:val="24"/>
          <w:szCs w:val="22"/>
        </w:rPr>
        <w:t xml:space="preserve"> and the Second Circuit affirmed. What drove the outcome of the litigation was not the priority of invention issue, however. Instead, it was the simple fact that Goetz never made a qualifying use in commerce of the mark: “[C]</w:t>
      </w:r>
      <w:proofErr w:type="spellStart"/>
      <w:r w:rsidRPr="002C1DAD">
        <w:rPr>
          <w:rFonts w:asciiTheme="minorHAnsi" w:hAnsiTheme="minorHAnsi"/>
          <w:sz w:val="24"/>
          <w:szCs w:val="22"/>
        </w:rPr>
        <w:t>onstruing</w:t>
      </w:r>
      <w:proofErr w:type="spellEnd"/>
      <w:r w:rsidRPr="002C1DAD">
        <w:rPr>
          <w:rFonts w:asciiTheme="minorHAnsi" w:hAnsiTheme="minorHAnsi"/>
          <w:sz w:val="24"/>
          <w:szCs w:val="22"/>
        </w:rPr>
        <w:t xml:space="preserve"> all the facts in Goetz’s favor, the only reasonable conclusion that can be drawn is that My Life, My Card was a component of Goetz’s business proposal to the credit card companies rather than a mark designating the origin of any goods or services he offered to them.” </w:t>
      </w:r>
      <w:r w:rsidRPr="002C1DAD">
        <w:rPr>
          <w:rFonts w:asciiTheme="minorHAnsi" w:hAnsiTheme="minorHAnsi"/>
          <w:i/>
          <w:sz w:val="24"/>
          <w:szCs w:val="22"/>
        </w:rPr>
        <w:t>Id</w:t>
      </w:r>
      <w:r w:rsidRPr="002C1DAD">
        <w:rPr>
          <w:rFonts w:asciiTheme="minorHAnsi" w:hAnsiTheme="minorHAnsi"/>
          <w:sz w:val="24"/>
          <w:szCs w:val="22"/>
        </w:rPr>
        <w:t>. at 160.</w:t>
      </w:r>
    </w:p>
    <w:p w14:paraId="087EAE97"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 xml:space="preserve">3. </w:t>
      </w:r>
      <w:r w:rsidRPr="002C1DAD">
        <w:rPr>
          <w:rFonts w:asciiTheme="minorHAnsi" w:hAnsiTheme="minorHAnsi"/>
          <w:i/>
          <w:sz w:val="24"/>
          <w:szCs w:val="22"/>
        </w:rPr>
        <w:t>Trademark trolls and the use in commerce requirement</w:t>
      </w:r>
      <w:r w:rsidRPr="002C1DAD">
        <w:rPr>
          <w:rFonts w:asciiTheme="minorHAnsi" w:hAnsiTheme="minorHAnsi"/>
          <w:sz w:val="24"/>
          <w:szCs w:val="22"/>
        </w:rPr>
        <w:t xml:space="preserve">. The use in commerce prerequisite for trademark rights has the salutary effect of limiting the ability of bad faith agents to exploit the trademark registration system in the way that some “non-practicing entities” arguably exploit the patent system. In </w:t>
      </w:r>
      <w:r w:rsidRPr="002C1DAD">
        <w:rPr>
          <w:rFonts w:asciiTheme="minorHAnsi" w:hAnsiTheme="minorHAnsi"/>
          <w:i/>
          <w:sz w:val="24"/>
          <w:szCs w:val="22"/>
        </w:rPr>
        <w:t>Central Mfg., Inc. v. Brett</w:t>
      </w:r>
      <w:r w:rsidRPr="002C1DAD">
        <w:rPr>
          <w:rFonts w:asciiTheme="minorHAnsi" w:hAnsiTheme="minorHAnsi"/>
          <w:sz w:val="24"/>
          <w:szCs w:val="22"/>
        </w:rPr>
        <w:t xml:space="preserve">, 492 F.3d 876 (9th Cir. 2007), the defendant George Brett (and brothers) manufactured a hybrid wood-metal bat under the trademark </w:t>
      </w:r>
      <w:r w:rsidRPr="002C1DAD">
        <w:rPr>
          <w:rFonts w:asciiTheme="minorHAnsi" w:hAnsiTheme="minorHAnsi"/>
          <w:smallCaps/>
          <w:sz w:val="24"/>
          <w:szCs w:val="22"/>
        </w:rPr>
        <w:t>stealth</w:t>
      </w:r>
      <w:r w:rsidRPr="002C1DAD">
        <w:rPr>
          <w:rFonts w:asciiTheme="minorHAnsi" w:hAnsiTheme="minorHAnsi"/>
          <w:sz w:val="24"/>
          <w:szCs w:val="22"/>
        </w:rPr>
        <w:t xml:space="preserve">. Plaintiff Central Mfg., of which the then-notorious trademark troll Leo Stoller was president and sole shareholder, sued for infringement of its own mark </w:t>
      </w:r>
      <w:r w:rsidRPr="002C1DAD">
        <w:rPr>
          <w:rFonts w:asciiTheme="minorHAnsi" w:hAnsiTheme="minorHAnsi"/>
          <w:smallCaps/>
          <w:sz w:val="24"/>
          <w:szCs w:val="22"/>
        </w:rPr>
        <w:t>stealth</w:t>
      </w:r>
      <w:r w:rsidRPr="002C1DAD">
        <w:rPr>
          <w:rFonts w:asciiTheme="minorHAnsi" w:hAnsiTheme="minorHAnsi"/>
          <w:sz w:val="24"/>
          <w:szCs w:val="22"/>
        </w:rPr>
        <w:t>, which it had registered in 1985 for “[s]</w:t>
      </w:r>
      <w:proofErr w:type="spellStart"/>
      <w:r w:rsidRPr="002C1DAD">
        <w:rPr>
          <w:rFonts w:asciiTheme="minorHAnsi" w:hAnsiTheme="minorHAnsi"/>
          <w:sz w:val="24"/>
          <w:szCs w:val="22"/>
        </w:rPr>
        <w:t>porting</w:t>
      </w:r>
      <w:proofErr w:type="spellEnd"/>
      <w:r w:rsidRPr="002C1DAD">
        <w:rPr>
          <w:rFonts w:asciiTheme="minorHAnsi" w:hAnsiTheme="minorHAnsi"/>
          <w:sz w:val="24"/>
          <w:szCs w:val="22"/>
        </w:rPr>
        <w:t xml:space="preserve"> goods, specifically, tennis rackets, golf clubs, tennis balls, basketballs, baseballs, soccer balls, golf balls, cross bows, tennis racket strings and shuttle cocks.” When Brett challenged Stoller to produce any evidence of use in commerce of the mark, Stoller’s documents failed to persuade the district court. For example: “Plaintiffs produced a table of ‘Stealth Brand Baseball Sales’ between 1996 and 2003, but could provide absolutely no information to justify the lump sum ‘sales’ figures listed. There is no way for this Court to know that this alleged sales sheet bears any relation to reality and is not simply something Plaintiffs generated on a home computer for the purposes of this litigation.”  </w:t>
      </w:r>
      <w:r w:rsidRPr="002C1DAD">
        <w:rPr>
          <w:rFonts w:asciiTheme="minorHAnsi" w:hAnsiTheme="minorHAnsi"/>
          <w:i/>
          <w:sz w:val="24"/>
          <w:szCs w:val="22"/>
        </w:rPr>
        <w:t>Id</w:t>
      </w:r>
      <w:r w:rsidRPr="002C1DAD">
        <w:rPr>
          <w:rFonts w:asciiTheme="minorHAnsi" w:hAnsiTheme="minorHAnsi"/>
          <w:sz w:val="24"/>
          <w:szCs w:val="22"/>
        </w:rPr>
        <w:t>. at 883 (quoting Central Mfg. Co. v. Brett, 2006 WL 681058 (</w:t>
      </w:r>
      <w:proofErr w:type="spellStart"/>
      <w:r w:rsidRPr="002C1DAD">
        <w:rPr>
          <w:rFonts w:asciiTheme="minorHAnsi" w:hAnsiTheme="minorHAnsi"/>
          <w:sz w:val="24"/>
          <w:szCs w:val="22"/>
        </w:rPr>
        <w:t>N.D.Ill</w:t>
      </w:r>
      <w:proofErr w:type="spellEnd"/>
      <w:r w:rsidRPr="002C1DAD">
        <w:rPr>
          <w:rFonts w:asciiTheme="minorHAnsi" w:hAnsiTheme="minorHAnsi"/>
          <w:sz w:val="24"/>
          <w:szCs w:val="22"/>
        </w:rPr>
        <w:t>. Mar 15, 2006)). The Seventh Circuit affirmed:</w:t>
      </w:r>
    </w:p>
    <w:p w14:paraId="7EFC7DF7" w14:textId="77777777" w:rsidR="003E745A" w:rsidRPr="002C1DAD" w:rsidRDefault="003E745A" w:rsidP="003E745A">
      <w:pPr>
        <w:pStyle w:val="Blockquote"/>
        <w:rPr>
          <w:rFonts w:asciiTheme="minorHAnsi" w:hAnsiTheme="minorHAnsi"/>
          <w:sz w:val="24"/>
          <w:szCs w:val="22"/>
        </w:rPr>
      </w:pPr>
      <w:r w:rsidRPr="002C1DAD">
        <w:rPr>
          <w:rFonts w:asciiTheme="minorHAnsi" w:hAnsiTheme="minorHAnsi"/>
          <w:sz w:val="24"/>
          <w:szCs w:val="22"/>
        </w:rPr>
        <w:t>Stoller has repeatedly sought ways to get around trademark law’s prohibition on the stockpiling of unused marks, and this case is no different. It is unfathomable that a company claiming to have engaged in thousands of dollars of sales of a product for more than a decade would be unable to produce even a single purchase order or invoice as proof. Self-serving deposition testimony is not enough to defeat a motion for summary judgment. By exposing Central’s failure to make bona fide use of the “Stealth” mark for baseballs, Brett Brothers met its burden to overcome the presumption afforded by the 1985 registration, and summary judgment in its favor was the appropriate course.</w:t>
      </w:r>
    </w:p>
    <w:p w14:paraId="377965E4" w14:textId="77777777" w:rsidR="003E745A" w:rsidRPr="002C1DAD" w:rsidRDefault="003E745A" w:rsidP="003E745A">
      <w:pPr>
        <w:pStyle w:val="NormalNoIndent"/>
        <w:rPr>
          <w:rFonts w:asciiTheme="minorHAnsi" w:hAnsiTheme="minorHAnsi"/>
          <w:sz w:val="24"/>
          <w:szCs w:val="22"/>
        </w:rPr>
      </w:pPr>
      <w:r w:rsidRPr="002C1DAD">
        <w:rPr>
          <w:rFonts w:asciiTheme="minorHAnsi" w:hAnsiTheme="minorHAnsi"/>
          <w:i/>
          <w:sz w:val="24"/>
          <w:szCs w:val="22"/>
        </w:rPr>
        <w:t>Id</w:t>
      </w:r>
      <w:r w:rsidRPr="002C1DAD">
        <w:rPr>
          <w:rFonts w:asciiTheme="minorHAnsi" w:hAnsiTheme="minorHAnsi"/>
          <w:sz w:val="24"/>
          <w:szCs w:val="22"/>
        </w:rPr>
        <w:t xml:space="preserve">. at 883. Brett was also awarded attorney fees. In December 2010, Stoller was indicted on fraud charges related to statements made in his bankruptcy filings. In November 2014, he was sentenced to 20 months in a federal prison. </w:t>
      </w:r>
      <w:r w:rsidRPr="002C1DAD">
        <w:rPr>
          <w:rFonts w:asciiTheme="minorHAnsi" w:hAnsiTheme="minorHAnsi"/>
          <w:i/>
          <w:sz w:val="24"/>
          <w:szCs w:val="22"/>
        </w:rPr>
        <w:t>See</w:t>
      </w:r>
      <w:r w:rsidRPr="002C1DAD">
        <w:rPr>
          <w:rFonts w:asciiTheme="minorHAnsi" w:hAnsiTheme="minorHAnsi"/>
          <w:sz w:val="24"/>
          <w:szCs w:val="22"/>
        </w:rPr>
        <w:t xml:space="preserve"> http://en.wikipedia.org/ wiki/</w:t>
      </w:r>
      <w:proofErr w:type="spellStart"/>
      <w:r w:rsidRPr="002C1DAD">
        <w:rPr>
          <w:rFonts w:asciiTheme="minorHAnsi" w:hAnsiTheme="minorHAnsi"/>
          <w:sz w:val="24"/>
          <w:szCs w:val="22"/>
        </w:rPr>
        <w:t>Leo_Stoller</w:t>
      </w:r>
      <w:proofErr w:type="spellEnd"/>
      <w:r w:rsidRPr="002C1DAD">
        <w:rPr>
          <w:rFonts w:asciiTheme="minorHAnsi" w:hAnsiTheme="minorHAnsi"/>
          <w:sz w:val="24"/>
          <w:szCs w:val="22"/>
        </w:rPr>
        <w:t>.</w:t>
      </w:r>
    </w:p>
    <w:p w14:paraId="4746AABA" w14:textId="77777777" w:rsidR="003E745A" w:rsidRPr="002C1DAD" w:rsidRDefault="003E745A" w:rsidP="003E745A">
      <w:pPr>
        <w:rPr>
          <w:rFonts w:asciiTheme="minorHAnsi" w:hAnsiTheme="minorHAnsi"/>
          <w:sz w:val="24"/>
          <w:szCs w:val="22"/>
        </w:rPr>
      </w:pPr>
      <w:r w:rsidRPr="002C1DAD">
        <w:rPr>
          <w:rFonts w:asciiTheme="minorHAnsi" w:hAnsiTheme="minorHAnsi"/>
          <w:sz w:val="24"/>
          <w:szCs w:val="22"/>
        </w:rPr>
        <w:t xml:space="preserve">For a more recent example of behavior possibly akin to trademark trolling,  see Eric Goldman, </w:t>
      </w:r>
      <w:r w:rsidRPr="002C1DAD">
        <w:rPr>
          <w:rFonts w:asciiTheme="minorHAnsi" w:hAnsiTheme="minorHAnsi"/>
          <w:i/>
          <w:sz w:val="24"/>
          <w:szCs w:val="22"/>
        </w:rPr>
        <w:t>My Declaration Identifying Emoji Co. GmbH as a Possible Trademark Troll</w:t>
      </w:r>
      <w:r w:rsidRPr="002C1DAD">
        <w:rPr>
          <w:rFonts w:asciiTheme="minorHAnsi" w:hAnsiTheme="minorHAnsi"/>
          <w:sz w:val="24"/>
          <w:szCs w:val="22"/>
        </w:rPr>
        <w:t xml:space="preserve">, </w:t>
      </w:r>
      <w:r w:rsidRPr="002C1DAD">
        <w:rPr>
          <w:rFonts w:asciiTheme="minorHAnsi" w:hAnsiTheme="minorHAnsi"/>
          <w:smallCaps/>
          <w:sz w:val="24"/>
          <w:szCs w:val="22"/>
        </w:rPr>
        <w:t xml:space="preserve">Tech. </w:t>
      </w:r>
      <w:r w:rsidRPr="002C1DAD">
        <w:rPr>
          <w:rFonts w:asciiTheme="minorHAnsi" w:hAnsiTheme="minorHAnsi"/>
          <w:smallCaps/>
          <w:sz w:val="24"/>
          <w:szCs w:val="22"/>
        </w:rPr>
        <w:lastRenderedPageBreak/>
        <w:t>&amp; Marketing L. Blog</w:t>
      </w:r>
      <w:r w:rsidRPr="002C1DAD">
        <w:rPr>
          <w:rFonts w:asciiTheme="minorHAnsi" w:hAnsiTheme="minorHAnsi"/>
          <w:sz w:val="24"/>
          <w:szCs w:val="22"/>
        </w:rPr>
        <w:t xml:space="preserve">, Sept. 20, 2021,  https://blog.ericgoldman.org/archives/2021/09/my-declaration-identifying-emoji-co-gmbh-as-a-possible-trademark-troll.htm (https://perma.cc/L4YN-X89U) (discussing the high-volume litigation behavior of  Emoji Co. GmbH). </w:t>
      </w:r>
    </w:p>
    <w:p w14:paraId="7151018A" w14:textId="77777777" w:rsidR="00EB3DF5" w:rsidRPr="002C1DAD" w:rsidRDefault="00EB3DF5">
      <w:pPr>
        <w:rPr>
          <w:rFonts w:asciiTheme="minorHAnsi" w:hAnsiTheme="minorHAnsi"/>
        </w:rPr>
      </w:pPr>
    </w:p>
    <w:sectPr w:rsidR="00EB3DF5" w:rsidRPr="002C1DAD" w:rsidSect="002C1DAD">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21306" w14:textId="77777777" w:rsidR="002233D3" w:rsidRDefault="002233D3" w:rsidP="003E745A">
      <w:pPr>
        <w:spacing w:after="0" w:line="240" w:lineRule="auto"/>
      </w:pPr>
      <w:r>
        <w:separator/>
      </w:r>
    </w:p>
  </w:endnote>
  <w:endnote w:type="continuationSeparator" w:id="0">
    <w:p w14:paraId="4224C96C" w14:textId="77777777" w:rsidR="002233D3" w:rsidRDefault="002233D3" w:rsidP="003E7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062F" w14:textId="77777777" w:rsidR="002C1DAD" w:rsidRPr="00A04E11" w:rsidRDefault="002C1DAD" w:rsidP="002C1DAD">
    <w:pPr>
      <w:pStyle w:val="Pagenumber"/>
      <w:rPr>
        <w:rFonts w:asciiTheme="minorHAnsi" w:hAnsiTheme="minorHAnsi"/>
        <w:noProof/>
      </w:rPr>
    </w:pPr>
    <w:r w:rsidRPr="00A04E11">
      <w:rPr>
        <w:rFonts w:asciiTheme="minorHAnsi" w:hAnsiTheme="minorHAnsi"/>
      </w:rPr>
      <w:fldChar w:fldCharType="begin"/>
    </w:r>
    <w:r w:rsidRPr="00A04E11">
      <w:rPr>
        <w:rFonts w:asciiTheme="minorHAnsi" w:hAnsiTheme="minorHAnsi"/>
      </w:rPr>
      <w:instrText xml:space="preserve"> PAGE   \* MERGEFORMAT </w:instrText>
    </w:r>
    <w:r w:rsidRPr="00A04E11">
      <w:rPr>
        <w:rFonts w:asciiTheme="minorHAnsi" w:hAnsiTheme="minorHAnsi"/>
      </w:rPr>
      <w:fldChar w:fldCharType="separate"/>
    </w:r>
    <w:r>
      <w:rPr>
        <w:rFonts w:asciiTheme="minorHAnsi" w:hAnsiTheme="minorHAnsi"/>
      </w:rPr>
      <w:t>2</w:t>
    </w:r>
    <w:r w:rsidRPr="00A04E11">
      <w:rPr>
        <w:rFonts w:asciiTheme="minorHAnsi" w:hAnsiTheme="minorHAnsi"/>
        <w:noProof/>
      </w:rPr>
      <w:fldChar w:fldCharType="end"/>
    </w:r>
  </w:p>
  <w:p w14:paraId="12470694" w14:textId="77777777" w:rsidR="002C1DAD" w:rsidRDefault="002C1DAD" w:rsidP="002C1DA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6235" w14:textId="77777777" w:rsidR="002233D3" w:rsidRDefault="002233D3" w:rsidP="003E745A">
      <w:pPr>
        <w:spacing w:after="0" w:line="240" w:lineRule="auto"/>
      </w:pPr>
      <w:r>
        <w:separator/>
      </w:r>
    </w:p>
  </w:footnote>
  <w:footnote w:type="continuationSeparator" w:id="0">
    <w:p w14:paraId="6C1B46E6" w14:textId="77777777" w:rsidR="002233D3" w:rsidRDefault="002233D3" w:rsidP="003E745A">
      <w:pPr>
        <w:spacing w:after="0" w:line="240" w:lineRule="auto"/>
      </w:pPr>
      <w:r>
        <w:continuationSeparator/>
      </w:r>
    </w:p>
  </w:footnote>
  <w:footnote w:id="1">
    <w:p w14:paraId="7849623B" w14:textId="77777777" w:rsidR="003E745A" w:rsidRPr="002C1DAD" w:rsidRDefault="003E745A" w:rsidP="003E745A">
      <w:pPr>
        <w:pStyle w:val="FootnoteText"/>
        <w:rPr>
          <w:rFonts w:asciiTheme="minorHAnsi" w:hAnsiTheme="minorHAnsi"/>
        </w:rPr>
      </w:pPr>
      <w:r w:rsidRPr="002C1DAD">
        <w:rPr>
          <w:rStyle w:val="FootnoteReference"/>
          <w:rFonts w:asciiTheme="minorHAnsi" w:hAnsiTheme="minorHAnsi"/>
        </w:rPr>
        <w:footnoteRef/>
      </w:r>
      <w:r w:rsidRPr="002C1DAD">
        <w:rPr>
          <w:rFonts w:asciiTheme="minorHAnsi" w:hAnsiTheme="minorHAnsi"/>
        </w:rPr>
        <w:t xml:space="preserve"> There is a minor exception to the general rule that a trademark owner must make use in commerce of its mark in order for the mark to qualify for federal registration. As discussed more fully in Part I.D below, Lanham Act § 44(e), 15 U.S.C. § 1126(e), provides that foreign applicants applying under a § 44 filing basis need not show actual use in commerce prior to obtaining registration. </w:t>
      </w:r>
      <w:r w:rsidRPr="002C1DAD">
        <w:rPr>
          <w:rFonts w:asciiTheme="minorHAnsi" w:hAnsiTheme="minorHAnsi"/>
          <w:i/>
        </w:rPr>
        <w:t>See</w:t>
      </w:r>
      <w:r w:rsidRPr="002C1DAD">
        <w:rPr>
          <w:rFonts w:asciiTheme="minorHAnsi" w:hAnsiTheme="minorHAnsi"/>
        </w:rPr>
        <w:t xml:space="preserve"> </w:t>
      </w:r>
      <w:r w:rsidRPr="002C1DAD">
        <w:rPr>
          <w:rFonts w:asciiTheme="minorHAnsi" w:hAnsiTheme="minorHAnsi"/>
          <w:smallCaps/>
        </w:rPr>
        <w:t>McCarthy</w:t>
      </w:r>
      <w:r w:rsidRPr="002C1DAD">
        <w:rPr>
          <w:rFonts w:asciiTheme="minorHAnsi" w:hAnsiTheme="minorHAnsi"/>
        </w:rPr>
        <w:t xml:space="preserve"> § 29:14.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FC18" w14:textId="77777777" w:rsidR="002C1DAD" w:rsidRPr="00546A59" w:rsidRDefault="002C1DAD" w:rsidP="002C1DAD">
    <w:pPr>
      <w:pStyle w:val="Header10"/>
      <w:rPr>
        <w:rFonts w:asciiTheme="minorHAnsi" w:hAnsiTheme="minorHAnsi"/>
      </w:rPr>
    </w:pPr>
    <w:r w:rsidRPr="00546A59">
      <w:rPr>
        <w:rFonts w:asciiTheme="minorHAnsi" w:hAnsiTheme="minorHAnsi"/>
      </w:rPr>
      <w:t>Beebe - Trademark Law: An Open-Access Casebook</w:t>
    </w:r>
  </w:p>
  <w:p w14:paraId="3572D167" w14:textId="77777777" w:rsidR="002C1DAD" w:rsidRDefault="002C1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092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84EB9"/>
    <w:multiLevelType w:val="hybridMultilevel"/>
    <w:tmpl w:val="89BC936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0423733E"/>
    <w:multiLevelType w:val="hybridMultilevel"/>
    <w:tmpl w:val="E042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0279D"/>
    <w:multiLevelType w:val="hybridMultilevel"/>
    <w:tmpl w:val="F594DD5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8273A4"/>
    <w:multiLevelType w:val="hybridMultilevel"/>
    <w:tmpl w:val="285011C4"/>
    <w:lvl w:ilvl="0" w:tplc="1DCC6E12">
      <w:start w:val="1"/>
      <w:numFmt w:val="decimal"/>
      <w:lvlText w:val="(%1)"/>
      <w:lvlJc w:val="left"/>
      <w:pPr>
        <w:ind w:left="1317" w:hanging="88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AE40A63"/>
    <w:multiLevelType w:val="hybridMultilevel"/>
    <w:tmpl w:val="5D12F92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0BE92379"/>
    <w:multiLevelType w:val="multilevel"/>
    <w:tmpl w:val="0A06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35AFA"/>
    <w:multiLevelType w:val="hybridMultilevel"/>
    <w:tmpl w:val="4862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D6D1C"/>
    <w:multiLevelType w:val="hybridMultilevel"/>
    <w:tmpl w:val="2D66EF0A"/>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18261816"/>
    <w:multiLevelType w:val="hybridMultilevel"/>
    <w:tmpl w:val="739E07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184550AA"/>
    <w:multiLevelType w:val="hybridMultilevel"/>
    <w:tmpl w:val="A1DAB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188B4ACF"/>
    <w:multiLevelType w:val="multilevel"/>
    <w:tmpl w:val="6E9C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B547C"/>
    <w:multiLevelType w:val="hybridMultilevel"/>
    <w:tmpl w:val="C27A4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D54631"/>
    <w:multiLevelType w:val="hybridMultilevel"/>
    <w:tmpl w:val="F04E9D9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18DC5483"/>
    <w:multiLevelType w:val="hybridMultilevel"/>
    <w:tmpl w:val="E92011D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19591D46"/>
    <w:multiLevelType w:val="hybridMultilevel"/>
    <w:tmpl w:val="8D08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9F5447"/>
    <w:multiLevelType w:val="hybridMultilevel"/>
    <w:tmpl w:val="DFCC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1301F8"/>
    <w:multiLevelType w:val="hybridMultilevel"/>
    <w:tmpl w:val="56D21EA6"/>
    <w:lvl w:ilvl="0" w:tplc="5E508B3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1F610550"/>
    <w:multiLevelType w:val="hybridMultilevel"/>
    <w:tmpl w:val="2034BC8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24EF106A"/>
    <w:multiLevelType w:val="hybridMultilevel"/>
    <w:tmpl w:val="C632179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28D65431"/>
    <w:multiLevelType w:val="hybridMultilevel"/>
    <w:tmpl w:val="38E044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AB65213"/>
    <w:multiLevelType w:val="hybridMultilevel"/>
    <w:tmpl w:val="D750A8A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2B6032AA"/>
    <w:multiLevelType w:val="hybridMultilevel"/>
    <w:tmpl w:val="CF5224E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2D4B4EA7"/>
    <w:multiLevelType w:val="hybridMultilevel"/>
    <w:tmpl w:val="502E4DDA"/>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15:restartNumberingAfterBreak="0">
    <w:nsid w:val="2F0E578D"/>
    <w:multiLevelType w:val="hybridMultilevel"/>
    <w:tmpl w:val="0E58A8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39401154"/>
    <w:multiLevelType w:val="hybridMultilevel"/>
    <w:tmpl w:val="FC088BB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6" w15:restartNumberingAfterBreak="0">
    <w:nsid w:val="397F6E5A"/>
    <w:multiLevelType w:val="hybridMultilevel"/>
    <w:tmpl w:val="8122673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3AD65CAB"/>
    <w:multiLevelType w:val="hybridMultilevel"/>
    <w:tmpl w:val="28629268"/>
    <w:lvl w:ilvl="0" w:tplc="04090001">
      <w:start w:val="1"/>
      <w:numFmt w:val="bullet"/>
      <w:lvlText w:val=""/>
      <w:lvlJc w:val="left"/>
      <w:pPr>
        <w:ind w:left="792" w:hanging="360"/>
      </w:pPr>
      <w:rPr>
        <w:rFonts w:ascii="Symbol" w:hAnsi="Symbol" w:hint="default"/>
      </w:rPr>
    </w:lvl>
    <w:lvl w:ilvl="1" w:tplc="3E6051B4">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3B1712AD"/>
    <w:multiLevelType w:val="hybridMultilevel"/>
    <w:tmpl w:val="60CE52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3B821B52"/>
    <w:multiLevelType w:val="hybridMultilevel"/>
    <w:tmpl w:val="8F48576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0" w15:restartNumberingAfterBreak="0">
    <w:nsid w:val="3F8C165E"/>
    <w:multiLevelType w:val="hybridMultilevel"/>
    <w:tmpl w:val="874CDB5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3FCD5516"/>
    <w:multiLevelType w:val="hybridMultilevel"/>
    <w:tmpl w:val="9A24DAF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4273099C"/>
    <w:multiLevelType w:val="hybridMultilevel"/>
    <w:tmpl w:val="A57031C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44D304F9"/>
    <w:multiLevelType w:val="hybridMultilevel"/>
    <w:tmpl w:val="ED406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785764A"/>
    <w:multiLevelType w:val="hybridMultilevel"/>
    <w:tmpl w:val="7B222EA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47C507A3"/>
    <w:multiLevelType w:val="hybridMultilevel"/>
    <w:tmpl w:val="6324F6A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15:restartNumberingAfterBreak="0">
    <w:nsid w:val="4845539C"/>
    <w:multiLevelType w:val="hybridMultilevel"/>
    <w:tmpl w:val="88B6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FC32D5"/>
    <w:multiLevelType w:val="hybridMultilevel"/>
    <w:tmpl w:val="C092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141C8B"/>
    <w:multiLevelType w:val="hybridMultilevel"/>
    <w:tmpl w:val="8C88B5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9" w15:restartNumberingAfterBreak="0">
    <w:nsid w:val="4B391ADB"/>
    <w:multiLevelType w:val="hybridMultilevel"/>
    <w:tmpl w:val="328EF278"/>
    <w:lvl w:ilvl="0" w:tplc="9EF232E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15:restartNumberingAfterBreak="0">
    <w:nsid w:val="4F081EF0"/>
    <w:multiLevelType w:val="hybridMultilevel"/>
    <w:tmpl w:val="8F5C59E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1" w15:restartNumberingAfterBreak="0">
    <w:nsid w:val="52194449"/>
    <w:multiLevelType w:val="hybridMultilevel"/>
    <w:tmpl w:val="6E52DC48"/>
    <w:lvl w:ilvl="0" w:tplc="99FAB11E">
      <w:start w:val="1"/>
      <w:numFmt w:val="decimal"/>
      <w:lvlText w:val="%1."/>
      <w:lvlJc w:val="left"/>
      <w:pPr>
        <w:ind w:left="867" w:hanging="43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2" w15:restartNumberingAfterBreak="0">
    <w:nsid w:val="55F90B9B"/>
    <w:multiLevelType w:val="hybridMultilevel"/>
    <w:tmpl w:val="D0829732"/>
    <w:lvl w:ilvl="0" w:tplc="04090001">
      <w:start w:val="1"/>
      <w:numFmt w:val="bullet"/>
      <w:lvlText w:val=""/>
      <w:lvlJc w:val="left"/>
      <w:pPr>
        <w:ind w:left="792" w:hanging="360"/>
      </w:pPr>
      <w:rPr>
        <w:rFonts w:ascii="Symbol" w:hAnsi="Symbol" w:hint="default"/>
      </w:rPr>
    </w:lvl>
    <w:lvl w:ilvl="1" w:tplc="FD404DCC">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3" w15:restartNumberingAfterBreak="0">
    <w:nsid w:val="58917C13"/>
    <w:multiLevelType w:val="hybridMultilevel"/>
    <w:tmpl w:val="EEC232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9B36249"/>
    <w:multiLevelType w:val="hybridMultilevel"/>
    <w:tmpl w:val="F536D4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5" w15:restartNumberingAfterBreak="0">
    <w:nsid w:val="5A7618F4"/>
    <w:multiLevelType w:val="hybridMultilevel"/>
    <w:tmpl w:val="06CAD86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6" w15:restartNumberingAfterBreak="0">
    <w:nsid w:val="5C0C080A"/>
    <w:multiLevelType w:val="hybridMultilevel"/>
    <w:tmpl w:val="1002A28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7" w15:restartNumberingAfterBreak="0">
    <w:nsid w:val="5CB427A0"/>
    <w:multiLevelType w:val="hybridMultilevel"/>
    <w:tmpl w:val="D99E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851092"/>
    <w:multiLevelType w:val="hybridMultilevel"/>
    <w:tmpl w:val="E5A81800"/>
    <w:lvl w:ilvl="0" w:tplc="7EC83F7C">
      <w:numFmt w:val="bullet"/>
      <w:lvlText w:val="•"/>
      <w:lvlJc w:val="left"/>
      <w:pPr>
        <w:ind w:left="792" w:hanging="360"/>
      </w:pPr>
      <w:rPr>
        <w:rFonts w:ascii="Cambria" w:eastAsia="Calibri" w:hAnsi="Cambria"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9" w15:restartNumberingAfterBreak="0">
    <w:nsid w:val="612C1D2D"/>
    <w:multiLevelType w:val="hybridMultilevel"/>
    <w:tmpl w:val="DA58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6029B"/>
    <w:multiLevelType w:val="hybridMultilevel"/>
    <w:tmpl w:val="3A309C1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1" w15:restartNumberingAfterBreak="0">
    <w:nsid w:val="64073E59"/>
    <w:multiLevelType w:val="hybridMultilevel"/>
    <w:tmpl w:val="410CF41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2" w15:restartNumberingAfterBreak="0">
    <w:nsid w:val="64EC778D"/>
    <w:multiLevelType w:val="hybridMultilevel"/>
    <w:tmpl w:val="78748E3A"/>
    <w:lvl w:ilvl="0" w:tplc="04090001">
      <w:start w:val="1"/>
      <w:numFmt w:val="bullet"/>
      <w:lvlText w:val=""/>
      <w:lvlJc w:val="left"/>
      <w:pPr>
        <w:ind w:left="792" w:hanging="360"/>
      </w:pPr>
      <w:rPr>
        <w:rFonts w:ascii="Symbol" w:hAnsi="Symbol" w:hint="default"/>
      </w:rPr>
    </w:lvl>
    <w:lvl w:ilvl="1" w:tplc="CCC8BBC6">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3" w15:restartNumberingAfterBreak="0">
    <w:nsid w:val="66BA3DAE"/>
    <w:multiLevelType w:val="hybridMultilevel"/>
    <w:tmpl w:val="D958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F32ED4"/>
    <w:multiLevelType w:val="hybridMultilevel"/>
    <w:tmpl w:val="4DBEF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2523ED"/>
    <w:multiLevelType w:val="hybridMultilevel"/>
    <w:tmpl w:val="DAF4528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6" w15:restartNumberingAfterBreak="0">
    <w:nsid w:val="6D5242D8"/>
    <w:multiLevelType w:val="multilevel"/>
    <w:tmpl w:val="19A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7D2188"/>
    <w:multiLevelType w:val="hybridMultilevel"/>
    <w:tmpl w:val="438A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724809"/>
    <w:multiLevelType w:val="hybridMultilevel"/>
    <w:tmpl w:val="7780C59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9" w15:restartNumberingAfterBreak="0">
    <w:nsid w:val="6F0E2DD3"/>
    <w:multiLevelType w:val="hybridMultilevel"/>
    <w:tmpl w:val="4A286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5E1A81"/>
    <w:multiLevelType w:val="hybridMultilevel"/>
    <w:tmpl w:val="1056F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45B156E"/>
    <w:multiLevelType w:val="hybridMultilevel"/>
    <w:tmpl w:val="4A180616"/>
    <w:lvl w:ilvl="0" w:tplc="ADF885D8">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2" w15:restartNumberingAfterBreak="0">
    <w:nsid w:val="74A53806"/>
    <w:multiLevelType w:val="hybridMultilevel"/>
    <w:tmpl w:val="E650370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3" w15:restartNumberingAfterBreak="0">
    <w:nsid w:val="7559310E"/>
    <w:multiLevelType w:val="hybridMultilevel"/>
    <w:tmpl w:val="6A6AE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6A15BCE"/>
    <w:multiLevelType w:val="hybridMultilevel"/>
    <w:tmpl w:val="222C77BC"/>
    <w:lvl w:ilvl="0" w:tplc="04090001">
      <w:start w:val="1"/>
      <w:numFmt w:val="bullet"/>
      <w:lvlText w:val=""/>
      <w:lvlJc w:val="left"/>
      <w:pPr>
        <w:ind w:left="792" w:hanging="360"/>
      </w:pPr>
      <w:rPr>
        <w:rFonts w:ascii="Symbol" w:hAnsi="Symbol" w:hint="default"/>
      </w:rPr>
    </w:lvl>
    <w:lvl w:ilvl="1" w:tplc="E1D68F02">
      <w:numFmt w:val="bullet"/>
      <w:lvlText w:val="•"/>
      <w:lvlJc w:val="left"/>
      <w:pPr>
        <w:ind w:left="1512" w:hanging="360"/>
      </w:pPr>
      <w:rPr>
        <w:rFonts w:ascii="Cambria" w:eastAsia="Calibri" w:hAnsi="Cambria"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5" w15:restartNumberingAfterBreak="0">
    <w:nsid w:val="76F30920"/>
    <w:multiLevelType w:val="hybridMultilevel"/>
    <w:tmpl w:val="79B8097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6" w15:restartNumberingAfterBreak="0">
    <w:nsid w:val="7F6C3508"/>
    <w:multiLevelType w:val="hybridMultilevel"/>
    <w:tmpl w:val="8974BA4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34164663">
    <w:abstractNumId w:val="45"/>
  </w:num>
  <w:num w:numId="2" w16cid:durableId="87389589">
    <w:abstractNumId w:val="24"/>
  </w:num>
  <w:num w:numId="3" w16cid:durableId="659501241">
    <w:abstractNumId w:val="0"/>
  </w:num>
  <w:num w:numId="4" w16cid:durableId="1387029198">
    <w:abstractNumId w:val="59"/>
  </w:num>
  <w:num w:numId="5" w16cid:durableId="396519674">
    <w:abstractNumId w:val="20"/>
  </w:num>
  <w:num w:numId="6" w16cid:durableId="762409789">
    <w:abstractNumId w:val="30"/>
  </w:num>
  <w:num w:numId="7" w16cid:durableId="186916907">
    <w:abstractNumId w:val="33"/>
  </w:num>
  <w:num w:numId="8" w16cid:durableId="1602369685">
    <w:abstractNumId w:val="53"/>
  </w:num>
  <w:num w:numId="9" w16cid:durableId="647127347">
    <w:abstractNumId w:val="54"/>
  </w:num>
  <w:num w:numId="10" w16cid:durableId="1220632107">
    <w:abstractNumId w:val="57"/>
  </w:num>
  <w:num w:numId="11" w16cid:durableId="1741755792">
    <w:abstractNumId w:val="13"/>
  </w:num>
  <w:num w:numId="12" w16cid:durableId="950279756">
    <w:abstractNumId w:val="66"/>
  </w:num>
  <w:num w:numId="13" w16cid:durableId="1947927468">
    <w:abstractNumId w:val="25"/>
  </w:num>
  <w:num w:numId="14" w16cid:durableId="1320496178">
    <w:abstractNumId w:val="14"/>
  </w:num>
  <w:num w:numId="15" w16cid:durableId="2007173233">
    <w:abstractNumId w:val="46"/>
  </w:num>
  <w:num w:numId="16" w16cid:durableId="1111507248">
    <w:abstractNumId w:val="58"/>
  </w:num>
  <w:num w:numId="17" w16cid:durableId="1221408092">
    <w:abstractNumId w:val="60"/>
  </w:num>
  <w:num w:numId="18" w16cid:durableId="203712722">
    <w:abstractNumId w:val="63"/>
  </w:num>
  <w:num w:numId="19" w16cid:durableId="1410805463">
    <w:abstractNumId w:val="42"/>
  </w:num>
  <w:num w:numId="20" w16cid:durableId="417406946">
    <w:abstractNumId w:val="32"/>
  </w:num>
  <w:num w:numId="21" w16cid:durableId="1402369868">
    <w:abstractNumId w:val="8"/>
  </w:num>
  <w:num w:numId="22" w16cid:durableId="1294822637">
    <w:abstractNumId w:val="47"/>
  </w:num>
  <w:num w:numId="23" w16cid:durableId="141772137">
    <w:abstractNumId w:val="44"/>
  </w:num>
  <w:num w:numId="24" w16cid:durableId="1502354178">
    <w:abstractNumId w:val="3"/>
  </w:num>
  <w:num w:numId="25" w16cid:durableId="1220477138">
    <w:abstractNumId w:val="15"/>
  </w:num>
  <w:num w:numId="26" w16cid:durableId="2101947328">
    <w:abstractNumId w:val="26"/>
  </w:num>
  <w:num w:numId="27" w16cid:durableId="514459451">
    <w:abstractNumId w:val="34"/>
  </w:num>
  <w:num w:numId="28" w16cid:durableId="2027360656">
    <w:abstractNumId w:val="4"/>
  </w:num>
  <w:num w:numId="29" w16cid:durableId="674038603">
    <w:abstractNumId w:val="36"/>
  </w:num>
  <w:num w:numId="30" w16cid:durableId="263154492">
    <w:abstractNumId w:val="29"/>
  </w:num>
  <w:num w:numId="31" w16cid:durableId="197669646">
    <w:abstractNumId w:val="22"/>
  </w:num>
  <w:num w:numId="32" w16cid:durableId="1158695189">
    <w:abstractNumId w:val="21"/>
  </w:num>
  <w:num w:numId="33" w16cid:durableId="379332153">
    <w:abstractNumId w:val="27"/>
  </w:num>
  <w:num w:numId="34" w16cid:durableId="1486774316">
    <w:abstractNumId w:val="52"/>
  </w:num>
  <w:num w:numId="35" w16cid:durableId="1188638900">
    <w:abstractNumId w:val="64"/>
  </w:num>
  <w:num w:numId="36" w16cid:durableId="189298484">
    <w:abstractNumId w:val="62"/>
  </w:num>
  <w:num w:numId="37" w16cid:durableId="1491868992">
    <w:abstractNumId w:val="19"/>
  </w:num>
  <w:num w:numId="38" w16cid:durableId="498739075">
    <w:abstractNumId w:val="50"/>
  </w:num>
  <w:num w:numId="39" w16cid:durableId="631864787">
    <w:abstractNumId w:val="40"/>
  </w:num>
  <w:num w:numId="40" w16cid:durableId="1165246301">
    <w:abstractNumId w:val="10"/>
  </w:num>
  <w:num w:numId="41" w16cid:durableId="34427852">
    <w:abstractNumId w:val="38"/>
  </w:num>
  <w:num w:numId="42" w16cid:durableId="7803443">
    <w:abstractNumId w:val="18"/>
  </w:num>
  <w:num w:numId="43" w16cid:durableId="1924802620">
    <w:abstractNumId w:val="35"/>
  </w:num>
  <w:num w:numId="44" w16cid:durableId="379090213">
    <w:abstractNumId w:val="55"/>
  </w:num>
  <w:num w:numId="45" w16cid:durableId="2084985156">
    <w:abstractNumId w:val="5"/>
  </w:num>
  <w:num w:numId="46" w16cid:durableId="1099332068">
    <w:abstractNumId w:val="65"/>
  </w:num>
  <w:num w:numId="47" w16cid:durableId="1328021998">
    <w:abstractNumId w:val="31"/>
  </w:num>
  <w:num w:numId="48" w16cid:durableId="1696542502">
    <w:abstractNumId w:val="1"/>
  </w:num>
  <w:num w:numId="49" w16cid:durableId="456333330">
    <w:abstractNumId w:val="51"/>
  </w:num>
  <w:num w:numId="50" w16cid:durableId="1007437737">
    <w:abstractNumId w:val="7"/>
  </w:num>
  <w:num w:numId="51" w16cid:durableId="1442384772">
    <w:abstractNumId w:val="48"/>
  </w:num>
  <w:num w:numId="52" w16cid:durableId="945842540">
    <w:abstractNumId w:val="56"/>
  </w:num>
  <w:num w:numId="53" w16cid:durableId="1931429483">
    <w:abstractNumId w:val="11"/>
  </w:num>
  <w:num w:numId="54" w16cid:durableId="343748175">
    <w:abstractNumId w:val="6"/>
  </w:num>
  <w:num w:numId="55" w16cid:durableId="343286677">
    <w:abstractNumId w:val="9"/>
  </w:num>
  <w:num w:numId="56" w16cid:durableId="172495038">
    <w:abstractNumId w:val="61"/>
  </w:num>
  <w:num w:numId="57" w16cid:durableId="708915505">
    <w:abstractNumId w:val="43"/>
  </w:num>
  <w:num w:numId="58" w16cid:durableId="181862554">
    <w:abstractNumId w:val="49"/>
  </w:num>
  <w:num w:numId="59" w16cid:durableId="1010136997">
    <w:abstractNumId w:val="37"/>
  </w:num>
  <w:num w:numId="60" w16cid:durableId="975648653">
    <w:abstractNumId w:val="2"/>
  </w:num>
  <w:num w:numId="61" w16cid:durableId="1587417292">
    <w:abstractNumId w:val="28"/>
  </w:num>
  <w:num w:numId="62" w16cid:durableId="1419904971">
    <w:abstractNumId w:val="23"/>
  </w:num>
  <w:num w:numId="63" w16cid:durableId="1815760357">
    <w:abstractNumId w:val="12"/>
  </w:num>
  <w:num w:numId="64" w16cid:durableId="1639263211">
    <w:abstractNumId w:val="16"/>
  </w:num>
  <w:num w:numId="65" w16cid:durableId="139153081">
    <w:abstractNumId w:val="41"/>
  </w:num>
  <w:num w:numId="66" w16cid:durableId="521818105">
    <w:abstractNumId w:val="39"/>
  </w:num>
  <w:num w:numId="67" w16cid:durableId="175770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45A"/>
    <w:rsid w:val="000A4AD4"/>
    <w:rsid w:val="000C53B3"/>
    <w:rsid w:val="001405E0"/>
    <w:rsid w:val="001F2506"/>
    <w:rsid w:val="002233D3"/>
    <w:rsid w:val="002C1DAD"/>
    <w:rsid w:val="003E745A"/>
    <w:rsid w:val="00875962"/>
    <w:rsid w:val="00C632CF"/>
    <w:rsid w:val="00DC1D13"/>
    <w:rsid w:val="00EB3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DFE06"/>
  <w15:chartTrackingRefBased/>
  <w15:docId w15:val="{A8459A27-46F4-4119-A293-8D26FFE9A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45A"/>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3E7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7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74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E74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E74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E745A"/>
    <w:pPr>
      <w:keepNext/>
      <w:keepLines/>
      <w:spacing w:before="40" w:after="0"/>
      <w:outlineLvl w:val="5"/>
    </w:pPr>
    <w:rPr>
      <w:rFonts w:eastAsiaTheme="majorEastAsia" w:cstheme="majorBidi"/>
      <w:i/>
      <w:iCs/>
      <w:color w:val="595959" w:themeColor="text1" w:themeTint="A6"/>
    </w:rPr>
  </w:style>
  <w:style w:type="paragraph" w:styleId="Heading7">
    <w:name w:val="heading 7"/>
    <w:aliases w:val="Case name"/>
    <w:basedOn w:val="Normal"/>
    <w:next w:val="Normal"/>
    <w:link w:val="Heading7Char"/>
    <w:uiPriority w:val="9"/>
    <w:unhideWhenUsed/>
    <w:qFormat/>
    <w:rsid w:val="003E74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4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4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4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74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E74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E74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E745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E745A"/>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3E74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4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45A"/>
    <w:rPr>
      <w:rFonts w:eastAsiaTheme="majorEastAsia" w:cstheme="majorBidi"/>
      <w:color w:val="272727" w:themeColor="text1" w:themeTint="D8"/>
    </w:rPr>
  </w:style>
  <w:style w:type="paragraph" w:styleId="Title">
    <w:name w:val="Title"/>
    <w:basedOn w:val="Normal"/>
    <w:next w:val="Normal"/>
    <w:link w:val="TitleChar"/>
    <w:uiPriority w:val="10"/>
    <w:qFormat/>
    <w:rsid w:val="003E74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45A"/>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45A"/>
    <w:pPr>
      <w:spacing w:before="160"/>
      <w:jc w:val="center"/>
    </w:pPr>
    <w:rPr>
      <w:i/>
      <w:iCs/>
      <w:color w:val="404040" w:themeColor="text1" w:themeTint="BF"/>
    </w:rPr>
  </w:style>
  <w:style w:type="character" w:customStyle="1" w:styleId="QuoteChar">
    <w:name w:val="Quote Char"/>
    <w:basedOn w:val="DefaultParagraphFont"/>
    <w:link w:val="Quote"/>
    <w:uiPriority w:val="29"/>
    <w:rsid w:val="003E745A"/>
    <w:rPr>
      <w:i/>
      <w:iCs/>
      <w:color w:val="404040" w:themeColor="text1" w:themeTint="BF"/>
    </w:rPr>
  </w:style>
  <w:style w:type="paragraph" w:styleId="ListParagraph">
    <w:name w:val="List Paragraph"/>
    <w:basedOn w:val="Normal"/>
    <w:uiPriority w:val="34"/>
    <w:qFormat/>
    <w:rsid w:val="003E745A"/>
    <w:pPr>
      <w:ind w:left="720"/>
      <w:contextualSpacing/>
    </w:pPr>
  </w:style>
  <w:style w:type="character" w:styleId="IntenseEmphasis">
    <w:name w:val="Intense Emphasis"/>
    <w:basedOn w:val="DefaultParagraphFont"/>
    <w:uiPriority w:val="21"/>
    <w:qFormat/>
    <w:rsid w:val="003E745A"/>
    <w:rPr>
      <w:i/>
      <w:iCs/>
      <w:color w:val="0F4761" w:themeColor="accent1" w:themeShade="BF"/>
    </w:rPr>
  </w:style>
  <w:style w:type="paragraph" w:styleId="IntenseQuote">
    <w:name w:val="Intense Quote"/>
    <w:basedOn w:val="Normal"/>
    <w:next w:val="Normal"/>
    <w:link w:val="IntenseQuoteChar"/>
    <w:uiPriority w:val="30"/>
    <w:qFormat/>
    <w:rsid w:val="003E7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45A"/>
    <w:rPr>
      <w:i/>
      <w:iCs/>
      <w:color w:val="0F4761" w:themeColor="accent1" w:themeShade="BF"/>
    </w:rPr>
  </w:style>
  <w:style w:type="character" w:styleId="IntenseReference">
    <w:name w:val="Intense Reference"/>
    <w:basedOn w:val="DefaultParagraphFont"/>
    <w:uiPriority w:val="32"/>
    <w:qFormat/>
    <w:rsid w:val="003E745A"/>
    <w:rPr>
      <w:b/>
      <w:bCs/>
      <w:smallCaps/>
      <w:color w:val="0F4761" w:themeColor="accent1" w:themeShade="BF"/>
      <w:spacing w:val="5"/>
    </w:rPr>
  </w:style>
  <w:style w:type="paragraph" w:customStyle="1" w:styleId="OpinionCitation">
    <w:name w:val="Opinion Citation"/>
    <w:basedOn w:val="Normal"/>
    <w:link w:val="OpinionCitationChar"/>
    <w:qFormat/>
    <w:rsid w:val="003E745A"/>
    <w:pPr>
      <w:keepNext/>
      <w:spacing w:after="120"/>
      <w:ind w:firstLine="0"/>
    </w:pPr>
    <w:rPr>
      <w:b/>
    </w:rPr>
  </w:style>
  <w:style w:type="character" w:customStyle="1" w:styleId="OpinionCitationChar">
    <w:name w:val="Opinion Citation Char"/>
    <w:link w:val="OpinionCitation"/>
    <w:rsid w:val="003E745A"/>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3E745A"/>
    <w:pPr>
      <w:ind w:left="576" w:right="576" w:firstLine="0"/>
    </w:pPr>
  </w:style>
  <w:style w:type="character" w:customStyle="1" w:styleId="BlockquoteChar">
    <w:name w:val="Blockquote Char"/>
    <w:link w:val="Blockquote"/>
    <w:rsid w:val="003E745A"/>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3E745A"/>
    <w:rPr>
      <w:sz w:val="20"/>
    </w:rPr>
  </w:style>
  <w:style w:type="character" w:customStyle="1" w:styleId="FootnoteTextChar">
    <w:name w:val="Footnote Text Char"/>
    <w:basedOn w:val="DefaultParagraphFont"/>
    <w:link w:val="FootnoteText"/>
    <w:uiPriority w:val="99"/>
    <w:rsid w:val="003E745A"/>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3E745A"/>
    <w:rPr>
      <w:vertAlign w:val="superscript"/>
    </w:rPr>
  </w:style>
  <w:style w:type="paragraph" w:styleId="BalloonText">
    <w:name w:val="Balloon Text"/>
    <w:basedOn w:val="Normal"/>
    <w:link w:val="BalloonTextChar"/>
    <w:uiPriority w:val="99"/>
    <w:semiHidden/>
    <w:unhideWhenUsed/>
    <w:rsid w:val="003E74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45A"/>
    <w:rPr>
      <w:rFonts w:ascii="Tahoma" w:eastAsia="Calibri" w:hAnsi="Tahoma" w:cs="Tahoma"/>
      <w:kern w:val="0"/>
      <w:sz w:val="16"/>
      <w:szCs w:val="16"/>
      <w14:ligatures w14:val="none"/>
    </w:rPr>
  </w:style>
  <w:style w:type="paragraph" w:customStyle="1" w:styleId="NormalNoIndent">
    <w:name w:val="Normal No Indent"/>
    <w:basedOn w:val="Normal"/>
    <w:link w:val="NormalNoIndentChar"/>
    <w:qFormat/>
    <w:rsid w:val="003E745A"/>
    <w:pPr>
      <w:ind w:firstLine="0"/>
    </w:pPr>
  </w:style>
  <w:style w:type="character" w:customStyle="1" w:styleId="NormalNoIndentChar">
    <w:name w:val="Normal No Indent Char"/>
    <w:link w:val="NormalNoIndent"/>
    <w:rsid w:val="003E745A"/>
    <w:rPr>
      <w:rFonts w:ascii="Cambria" w:eastAsia="Calibri" w:hAnsi="Cambria" w:cs="Times New Roman"/>
      <w:kern w:val="0"/>
      <w:sz w:val="22"/>
      <w:szCs w:val="20"/>
      <w14:ligatures w14:val="none"/>
    </w:rPr>
  </w:style>
  <w:style w:type="paragraph" w:styleId="Header">
    <w:name w:val="header"/>
    <w:basedOn w:val="Normal"/>
    <w:link w:val="HeaderChar"/>
    <w:uiPriority w:val="99"/>
    <w:unhideWhenUsed/>
    <w:rsid w:val="003E745A"/>
    <w:pPr>
      <w:tabs>
        <w:tab w:val="center" w:pos="4680"/>
        <w:tab w:val="right" w:pos="9360"/>
      </w:tabs>
    </w:pPr>
  </w:style>
  <w:style w:type="character" w:customStyle="1" w:styleId="HeaderChar">
    <w:name w:val="Header Char"/>
    <w:basedOn w:val="DefaultParagraphFont"/>
    <w:link w:val="Header"/>
    <w:uiPriority w:val="99"/>
    <w:rsid w:val="003E745A"/>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3E745A"/>
    <w:pPr>
      <w:tabs>
        <w:tab w:val="center" w:pos="4680"/>
        <w:tab w:val="right" w:pos="9360"/>
      </w:tabs>
    </w:pPr>
  </w:style>
  <w:style w:type="character" w:customStyle="1" w:styleId="FooterChar">
    <w:name w:val="Footer Char"/>
    <w:basedOn w:val="DefaultParagraphFont"/>
    <w:link w:val="Footer"/>
    <w:uiPriority w:val="99"/>
    <w:rsid w:val="003E745A"/>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3E745A"/>
    <w:pPr>
      <w:keepNext/>
      <w:spacing w:before="120" w:after="120"/>
      <w:ind w:firstLine="0"/>
      <w:jc w:val="center"/>
    </w:pPr>
    <w:rPr>
      <w:b/>
    </w:rPr>
  </w:style>
  <w:style w:type="character" w:customStyle="1" w:styleId="CommentsandQuestionsChar">
    <w:name w:val="Comments and Questions Char"/>
    <w:link w:val="CommentsandQuestions"/>
    <w:rsid w:val="003E745A"/>
    <w:rPr>
      <w:rFonts w:ascii="Cambria" w:eastAsia="Calibri" w:hAnsi="Cambria" w:cs="Times New Roman"/>
      <w:b/>
      <w:kern w:val="0"/>
      <w:sz w:val="22"/>
      <w:szCs w:val="20"/>
      <w14:ligatures w14:val="none"/>
    </w:rPr>
  </w:style>
  <w:style w:type="paragraph" w:styleId="ListBullet">
    <w:name w:val="List Bullet"/>
    <w:basedOn w:val="Normal"/>
    <w:uiPriority w:val="99"/>
    <w:unhideWhenUsed/>
    <w:rsid w:val="003E745A"/>
    <w:pPr>
      <w:numPr>
        <w:numId w:val="3"/>
      </w:numPr>
      <w:contextualSpacing/>
    </w:pPr>
  </w:style>
  <w:style w:type="paragraph" w:customStyle="1" w:styleId="Dashbreak">
    <w:name w:val="Dash break"/>
    <w:basedOn w:val="NormalNoIndent"/>
    <w:link w:val="DashbreakChar"/>
    <w:qFormat/>
    <w:rsid w:val="003E745A"/>
    <w:pPr>
      <w:spacing w:before="240" w:after="240"/>
      <w:jc w:val="center"/>
    </w:pPr>
  </w:style>
  <w:style w:type="character" w:customStyle="1" w:styleId="DashbreakChar">
    <w:name w:val="Dash break Char"/>
    <w:basedOn w:val="NormalNoIndentChar"/>
    <w:link w:val="Dashbreak"/>
    <w:rsid w:val="003E745A"/>
    <w:rPr>
      <w:rFonts w:ascii="Cambria" w:eastAsia="Calibri" w:hAnsi="Cambria" w:cs="Times New Roman"/>
      <w:kern w:val="0"/>
      <w:sz w:val="22"/>
      <w:szCs w:val="20"/>
      <w14:ligatures w14:val="none"/>
    </w:rPr>
  </w:style>
  <w:style w:type="paragraph" w:styleId="BodyText">
    <w:name w:val="Body Text"/>
    <w:basedOn w:val="Normal"/>
    <w:link w:val="BodyTextChar"/>
    <w:uiPriority w:val="99"/>
    <w:semiHidden/>
    <w:unhideWhenUsed/>
    <w:rsid w:val="003E745A"/>
    <w:pPr>
      <w:spacing w:after="120"/>
    </w:pPr>
  </w:style>
  <w:style w:type="character" w:customStyle="1" w:styleId="BodyTextChar">
    <w:name w:val="Body Text Char"/>
    <w:basedOn w:val="DefaultParagraphFont"/>
    <w:link w:val="BodyText"/>
    <w:uiPriority w:val="99"/>
    <w:semiHidden/>
    <w:rsid w:val="003E745A"/>
    <w:rPr>
      <w:rFonts w:ascii="Cambria" w:eastAsia="Calibri" w:hAnsi="Cambria" w:cs="Times New Roman"/>
      <w:kern w:val="0"/>
      <w:sz w:val="22"/>
      <w:szCs w:val="20"/>
      <w14:ligatures w14:val="none"/>
    </w:rPr>
  </w:style>
  <w:style w:type="paragraph" w:customStyle="1" w:styleId="ReferenceLine">
    <w:name w:val="Reference Line"/>
    <w:basedOn w:val="BodyText"/>
    <w:rsid w:val="003E745A"/>
  </w:style>
  <w:style w:type="character" w:styleId="Hyperlink">
    <w:name w:val="Hyperlink"/>
    <w:uiPriority w:val="99"/>
    <w:unhideWhenUsed/>
    <w:rsid w:val="003E745A"/>
    <w:rPr>
      <w:color w:val="0000FF"/>
      <w:u w:val="single"/>
    </w:rPr>
  </w:style>
  <w:style w:type="paragraph" w:styleId="EndnoteText">
    <w:name w:val="endnote text"/>
    <w:basedOn w:val="Normal"/>
    <w:link w:val="EndnoteTextChar"/>
    <w:uiPriority w:val="99"/>
    <w:semiHidden/>
    <w:unhideWhenUsed/>
    <w:rsid w:val="003E745A"/>
  </w:style>
  <w:style w:type="character" w:customStyle="1" w:styleId="EndnoteTextChar">
    <w:name w:val="Endnote Text Char"/>
    <w:basedOn w:val="DefaultParagraphFont"/>
    <w:link w:val="EndnoteText"/>
    <w:uiPriority w:val="99"/>
    <w:semiHidden/>
    <w:rsid w:val="003E745A"/>
    <w:rPr>
      <w:rFonts w:ascii="Cambria" w:eastAsia="Calibri" w:hAnsi="Cambria" w:cs="Times New Roman"/>
      <w:kern w:val="0"/>
      <w:sz w:val="22"/>
      <w:szCs w:val="20"/>
      <w14:ligatures w14:val="none"/>
    </w:rPr>
  </w:style>
  <w:style w:type="character" w:styleId="EndnoteReference">
    <w:name w:val="endnote reference"/>
    <w:uiPriority w:val="99"/>
    <w:semiHidden/>
    <w:unhideWhenUsed/>
    <w:rsid w:val="003E745A"/>
    <w:rPr>
      <w:vertAlign w:val="superscript"/>
    </w:rPr>
  </w:style>
  <w:style w:type="paragraph" w:styleId="TOCHeading">
    <w:name w:val="TOC Heading"/>
    <w:basedOn w:val="Heading1"/>
    <w:next w:val="Normal"/>
    <w:uiPriority w:val="39"/>
    <w:semiHidden/>
    <w:unhideWhenUsed/>
    <w:qFormat/>
    <w:rsid w:val="003E745A"/>
    <w:pPr>
      <w:spacing w:before="480" w:after="120" w:line="276" w:lineRule="auto"/>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unhideWhenUsed/>
    <w:rsid w:val="003E745A"/>
    <w:pPr>
      <w:tabs>
        <w:tab w:val="right" w:leader="dot" w:pos="8784"/>
      </w:tabs>
      <w:ind w:left="270" w:hanging="270"/>
      <w:jc w:val="center"/>
    </w:pPr>
  </w:style>
  <w:style w:type="paragraph" w:styleId="TOC2">
    <w:name w:val="toc 2"/>
    <w:basedOn w:val="Normal"/>
    <w:next w:val="Normal"/>
    <w:autoRedefine/>
    <w:uiPriority w:val="39"/>
    <w:unhideWhenUsed/>
    <w:rsid w:val="003E745A"/>
    <w:pPr>
      <w:tabs>
        <w:tab w:val="left" w:pos="810"/>
        <w:tab w:val="right" w:leader="dot" w:pos="8784"/>
      </w:tabs>
      <w:ind w:left="540" w:hanging="270"/>
    </w:pPr>
    <w:rPr>
      <w:b/>
      <w:bCs/>
      <w:noProof/>
    </w:rPr>
  </w:style>
  <w:style w:type="paragraph" w:styleId="TOC3">
    <w:name w:val="toc 3"/>
    <w:basedOn w:val="Normal"/>
    <w:next w:val="Normal"/>
    <w:autoRedefine/>
    <w:uiPriority w:val="39"/>
    <w:unhideWhenUsed/>
    <w:rsid w:val="003E745A"/>
    <w:pPr>
      <w:tabs>
        <w:tab w:val="right" w:leader="dot" w:pos="8784"/>
      </w:tabs>
      <w:ind w:left="810" w:hanging="270"/>
    </w:pPr>
  </w:style>
  <w:style w:type="paragraph" w:styleId="TOC4">
    <w:name w:val="toc 4"/>
    <w:basedOn w:val="Normal"/>
    <w:next w:val="Normal"/>
    <w:autoRedefine/>
    <w:uiPriority w:val="39"/>
    <w:unhideWhenUsed/>
    <w:rsid w:val="003E745A"/>
    <w:pPr>
      <w:tabs>
        <w:tab w:val="right" w:leader="dot" w:pos="8784"/>
      </w:tabs>
      <w:ind w:left="1080" w:hanging="270"/>
    </w:pPr>
  </w:style>
  <w:style w:type="paragraph" w:styleId="TOC5">
    <w:name w:val="toc 5"/>
    <w:basedOn w:val="Normal"/>
    <w:next w:val="Normal"/>
    <w:autoRedefine/>
    <w:uiPriority w:val="39"/>
    <w:unhideWhenUsed/>
    <w:rsid w:val="003E745A"/>
    <w:pPr>
      <w:tabs>
        <w:tab w:val="right" w:leader="dot" w:pos="8784"/>
      </w:tabs>
      <w:ind w:left="1350" w:hanging="270"/>
    </w:pPr>
  </w:style>
  <w:style w:type="paragraph" w:styleId="TOC6">
    <w:name w:val="toc 6"/>
    <w:basedOn w:val="Normal"/>
    <w:next w:val="Normal"/>
    <w:autoRedefine/>
    <w:uiPriority w:val="39"/>
    <w:unhideWhenUsed/>
    <w:rsid w:val="003E745A"/>
    <w:pPr>
      <w:tabs>
        <w:tab w:val="left" w:pos="1710"/>
        <w:tab w:val="right" w:leader="dot" w:pos="8784"/>
      </w:tabs>
      <w:ind w:left="1710" w:hanging="360"/>
    </w:pPr>
  </w:style>
  <w:style w:type="character" w:styleId="LineNumber">
    <w:name w:val="line number"/>
    <w:uiPriority w:val="99"/>
    <w:semiHidden/>
    <w:unhideWhenUsed/>
    <w:rsid w:val="003E745A"/>
  </w:style>
  <w:style w:type="paragraph" w:customStyle="1" w:styleId="FootNote">
    <w:name w:val="_FootNote"/>
    <w:basedOn w:val="Normal"/>
    <w:link w:val="FootNoteChar"/>
    <w:rsid w:val="003E745A"/>
    <w:pPr>
      <w:widowControl w:val="0"/>
      <w:suppressLineNumbers/>
      <w:tabs>
        <w:tab w:val="right" w:pos="480"/>
        <w:tab w:val="left" w:pos="720"/>
      </w:tabs>
      <w:spacing w:before="20" w:line="200" w:lineRule="exact"/>
      <w:ind w:firstLine="0"/>
    </w:pPr>
    <w:rPr>
      <w:rFonts w:ascii="NewCenturySchlbk" w:eastAsia="Times New Roman" w:hAnsi="NewCenturySchlbk"/>
      <w:sz w:val="16"/>
      <w:szCs w:val="24"/>
    </w:rPr>
  </w:style>
  <w:style w:type="character" w:customStyle="1" w:styleId="FootNoteChar">
    <w:name w:val="_FootNote Char"/>
    <w:link w:val="FootNote"/>
    <w:rsid w:val="003E745A"/>
    <w:rPr>
      <w:rFonts w:ascii="NewCenturySchlbk" w:eastAsia="Times New Roman" w:hAnsi="NewCenturySchlbk" w:cs="Times New Roman"/>
      <w:kern w:val="0"/>
      <w:sz w:val="16"/>
      <w14:ligatures w14:val="none"/>
    </w:rPr>
  </w:style>
  <w:style w:type="character" w:customStyle="1" w:styleId="NoterefInNote">
    <w:name w:val="_NoterefInNote"/>
    <w:rsid w:val="003E745A"/>
    <w:rPr>
      <w:rFonts w:ascii="NewCenturySchlbk" w:hAnsi="NewCenturySchlbk" w:hint="default"/>
      <w:sz w:val="16"/>
      <w:vertAlign w:val="baseline"/>
    </w:rPr>
  </w:style>
  <w:style w:type="paragraph" w:customStyle="1" w:styleId="Centered">
    <w:name w:val="Centered"/>
    <w:basedOn w:val="Normal"/>
    <w:link w:val="CenteredChar"/>
    <w:qFormat/>
    <w:rsid w:val="003E745A"/>
    <w:pPr>
      <w:ind w:firstLine="0"/>
      <w:jc w:val="center"/>
    </w:pPr>
    <w:rPr>
      <w:i/>
      <w:iCs/>
    </w:rPr>
  </w:style>
  <w:style w:type="character" w:customStyle="1" w:styleId="CenteredChar">
    <w:name w:val="Centered Char"/>
    <w:link w:val="Centered"/>
    <w:rsid w:val="003E745A"/>
    <w:rPr>
      <w:rFonts w:ascii="Cambria" w:eastAsia="Calibri" w:hAnsi="Cambria" w:cs="Times New Roman"/>
      <w:i/>
      <w:iCs/>
      <w:kern w:val="0"/>
      <w:sz w:val="22"/>
      <w:szCs w:val="20"/>
      <w14:ligatures w14:val="none"/>
    </w:rPr>
  </w:style>
  <w:style w:type="paragraph" w:customStyle="1" w:styleId="Opinionheading">
    <w:name w:val="Opinion heading"/>
    <w:basedOn w:val="NormalNoIndent"/>
    <w:link w:val="OpinionheadingChar"/>
    <w:qFormat/>
    <w:rsid w:val="003E745A"/>
    <w:rPr>
      <w:i/>
    </w:rPr>
  </w:style>
  <w:style w:type="character" w:customStyle="1" w:styleId="OpinionheadingChar">
    <w:name w:val="Opinion heading Char"/>
    <w:link w:val="Opinionheading"/>
    <w:rsid w:val="003E745A"/>
    <w:rPr>
      <w:rFonts w:ascii="Cambria" w:eastAsia="Calibri" w:hAnsi="Cambria" w:cs="Times New Roman"/>
      <w:i/>
      <w:kern w:val="0"/>
      <w:sz w:val="22"/>
      <w:szCs w:val="20"/>
      <w14:ligatures w14:val="none"/>
    </w:rPr>
  </w:style>
  <w:style w:type="paragraph" w:styleId="TOC8">
    <w:name w:val="toc 8"/>
    <w:basedOn w:val="Normal"/>
    <w:next w:val="Normal"/>
    <w:autoRedefine/>
    <w:uiPriority w:val="39"/>
    <w:unhideWhenUsed/>
    <w:rsid w:val="003E745A"/>
    <w:pPr>
      <w:spacing w:after="100" w:line="276" w:lineRule="auto"/>
      <w:ind w:left="1540" w:firstLine="0"/>
      <w:jc w:val="left"/>
    </w:pPr>
    <w:rPr>
      <w:rFonts w:ascii="Calibri" w:eastAsia="Times New Roman" w:hAnsi="Calibri"/>
      <w:szCs w:val="22"/>
    </w:rPr>
  </w:style>
  <w:style w:type="paragraph" w:styleId="TOC7">
    <w:name w:val="toc 7"/>
    <w:basedOn w:val="Normal"/>
    <w:next w:val="Normal"/>
    <w:autoRedefine/>
    <w:uiPriority w:val="39"/>
    <w:unhideWhenUsed/>
    <w:rsid w:val="003E745A"/>
    <w:pPr>
      <w:tabs>
        <w:tab w:val="right" w:leader="dot" w:pos="8784"/>
      </w:tabs>
      <w:ind w:left="1710" w:firstLine="0"/>
    </w:pPr>
    <w:rPr>
      <w:i/>
    </w:rPr>
  </w:style>
  <w:style w:type="paragraph" w:styleId="TOC9">
    <w:name w:val="toc 9"/>
    <w:basedOn w:val="Normal"/>
    <w:next w:val="Normal"/>
    <w:autoRedefine/>
    <w:uiPriority w:val="39"/>
    <w:unhideWhenUsed/>
    <w:rsid w:val="003E745A"/>
    <w:pPr>
      <w:spacing w:after="100" w:line="276" w:lineRule="auto"/>
      <w:ind w:left="1760" w:firstLine="0"/>
      <w:jc w:val="left"/>
    </w:pPr>
    <w:rPr>
      <w:rFonts w:ascii="Calibri" w:eastAsia="Times New Roman" w:hAnsi="Calibri"/>
      <w:szCs w:val="22"/>
    </w:rPr>
  </w:style>
  <w:style w:type="paragraph" w:customStyle="1" w:styleId="Blockquoteindent">
    <w:name w:val="Blockquote indent"/>
    <w:basedOn w:val="Blockquote"/>
    <w:link w:val="BlockquoteindentChar"/>
    <w:qFormat/>
    <w:rsid w:val="003E745A"/>
    <w:pPr>
      <w:ind w:firstLine="432"/>
    </w:pPr>
  </w:style>
  <w:style w:type="character" w:customStyle="1" w:styleId="BlockquoteindentChar">
    <w:name w:val="Blockquote indent Char"/>
    <w:basedOn w:val="BlockquoteChar"/>
    <w:link w:val="Blockquoteindent"/>
    <w:rsid w:val="003E745A"/>
    <w:rPr>
      <w:rFonts w:ascii="Cambria" w:eastAsia="Calibri" w:hAnsi="Cambria" w:cs="Times New Roman"/>
      <w:kern w:val="0"/>
      <w:sz w:val="22"/>
      <w:szCs w:val="20"/>
      <w14:ligatures w14:val="none"/>
    </w:rPr>
  </w:style>
  <w:style w:type="paragraph" w:customStyle="1" w:styleId="Normal-Centered">
    <w:name w:val="*Normal-Centered"/>
    <w:basedOn w:val="NormalNoIndent"/>
    <w:link w:val="Normal-CenteredChar"/>
    <w:qFormat/>
    <w:rsid w:val="003E745A"/>
    <w:pPr>
      <w:jc w:val="center"/>
    </w:pPr>
  </w:style>
  <w:style w:type="character" w:customStyle="1" w:styleId="Normal-CenteredChar">
    <w:name w:val="*Normal-Centered Char"/>
    <w:basedOn w:val="NormalNoIndentChar"/>
    <w:link w:val="Normal-Centered"/>
    <w:rsid w:val="003E745A"/>
    <w:rPr>
      <w:rFonts w:ascii="Cambria" w:eastAsia="Calibri" w:hAnsi="Cambria" w:cs="Times New Roman"/>
      <w:kern w:val="0"/>
      <w:sz w:val="22"/>
      <w:szCs w:val="20"/>
      <w14:ligatures w14:val="none"/>
    </w:rPr>
  </w:style>
  <w:style w:type="character" w:styleId="Emphasis">
    <w:name w:val="Emphasis"/>
    <w:uiPriority w:val="20"/>
    <w:qFormat/>
    <w:rsid w:val="003E745A"/>
    <w:rPr>
      <w:i/>
      <w:iCs/>
    </w:rPr>
  </w:style>
  <w:style w:type="character" w:customStyle="1" w:styleId="cosearchterm">
    <w:name w:val="co_searchterm"/>
    <w:rsid w:val="003E745A"/>
  </w:style>
  <w:style w:type="paragraph" w:customStyle="1" w:styleId="CommentsandQuestions0">
    <w:name w:val="CommentsandQuestions"/>
    <w:basedOn w:val="Normal-Centered"/>
    <w:rsid w:val="003E745A"/>
    <w:rPr>
      <w:b/>
    </w:rPr>
  </w:style>
  <w:style w:type="character" w:styleId="FollowedHyperlink">
    <w:name w:val="FollowedHyperlink"/>
    <w:uiPriority w:val="99"/>
    <w:semiHidden/>
    <w:unhideWhenUsed/>
    <w:rsid w:val="003E745A"/>
    <w:rPr>
      <w:color w:val="954F72"/>
      <w:u w:val="single"/>
    </w:rPr>
  </w:style>
  <w:style w:type="paragraph" w:customStyle="1" w:styleId="Dashedline">
    <w:name w:val="Dashed line"/>
    <w:basedOn w:val="CommentsandQuestions"/>
    <w:qFormat/>
    <w:rsid w:val="003E745A"/>
    <w:pPr>
      <w:spacing w:after="240"/>
    </w:pPr>
  </w:style>
  <w:style w:type="character" w:styleId="CommentReference">
    <w:name w:val="annotation reference"/>
    <w:semiHidden/>
    <w:rsid w:val="003E745A"/>
    <w:rPr>
      <w:sz w:val="16"/>
      <w:szCs w:val="16"/>
    </w:rPr>
  </w:style>
  <w:style w:type="paragraph" w:styleId="CommentText">
    <w:name w:val="annotation text"/>
    <w:basedOn w:val="Normal"/>
    <w:link w:val="CommentTextChar"/>
    <w:semiHidden/>
    <w:rsid w:val="003E745A"/>
    <w:pPr>
      <w:spacing w:line="240" w:lineRule="auto"/>
      <w:ind w:firstLine="0"/>
      <w:jc w:val="left"/>
    </w:pPr>
    <w:rPr>
      <w:rFonts w:ascii="Times New Roman" w:eastAsia="Times New Roman" w:hAnsi="Times New Roman"/>
    </w:rPr>
  </w:style>
  <w:style w:type="character" w:customStyle="1" w:styleId="CommentTextChar">
    <w:name w:val="Comment Text Char"/>
    <w:basedOn w:val="DefaultParagraphFont"/>
    <w:link w:val="CommentText"/>
    <w:semiHidden/>
    <w:rsid w:val="003E745A"/>
    <w:rPr>
      <w:rFonts w:ascii="Times New Roman" w:eastAsia="Times New Roman" w:hAnsi="Times New Roman" w:cs="Times New Roman"/>
      <w:kern w:val="0"/>
      <w:sz w:val="22"/>
      <w:szCs w:val="20"/>
      <w14:ligatures w14:val="none"/>
    </w:rPr>
  </w:style>
  <w:style w:type="character" w:customStyle="1" w:styleId="ptext-">
    <w:name w:val="ptext-"/>
    <w:rsid w:val="003E745A"/>
  </w:style>
  <w:style w:type="paragraph" w:customStyle="1" w:styleId="NormalCentered">
    <w:name w:val="NormalCentered"/>
    <w:basedOn w:val="Normal"/>
    <w:link w:val="NormalCenteredChar"/>
    <w:qFormat/>
    <w:rsid w:val="003E745A"/>
    <w:pPr>
      <w:ind w:firstLine="0"/>
      <w:jc w:val="center"/>
    </w:pPr>
  </w:style>
  <w:style w:type="character" w:customStyle="1" w:styleId="NormalCenteredChar">
    <w:name w:val="NormalCentered Char"/>
    <w:link w:val="NormalCentered"/>
    <w:rsid w:val="003E745A"/>
    <w:rPr>
      <w:rFonts w:ascii="Cambria" w:eastAsia="Calibri" w:hAnsi="Cambria" w:cs="Times New Roman"/>
      <w:kern w:val="0"/>
      <w:sz w:val="22"/>
      <w:szCs w:val="20"/>
      <w14:ligatures w14:val="none"/>
    </w:rPr>
  </w:style>
  <w:style w:type="paragraph" w:customStyle="1" w:styleId="Blockquoteindentnoindent">
    <w:name w:val="Blockquoteindentnoindent"/>
    <w:basedOn w:val="Blockquoteindent"/>
    <w:link w:val="BlockquoteindentnoindentChar"/>
    <w:qFormat/>
    <w:rsid w:val="003E745A"/>
    <w:pPr>
      <w:ind w:hanging="36"/>
    </w:pPr>
  </w:style>
  <w:style w:type="paragraph" w:customStyle="1" w:styleId="NormCntrItal">
    <w:name w:val="NormCntrItal"/>
    <w:basedOn w:val="NormalCentered"/>
    <w:qFormat/>
    <w:rsid w:val="003E745A"/>
    <w:pPr>
      <w:keepNext/>
      <w:keepLines/>
    </w:pPr>
    <w:rPr>
      <w:i/>
      <w:szCs w:val="22"/>
    </w:rPr>
  </w:style>
  <w:style w:type="character" w:customStyle="1" w:styleId="ssrfcpassagedeactivated">
    <w:name w:val="ss_rfcpassage_deactivated"/>
    <w:rsid w:val="003E745A"/>
  </w:style>
  <w:style w:type="character" w:customStyle="1" w:styleId="costarpage">
    <w:name w:val="co_starpage"/>
    <w:rsid w:val="003E745A"/>
  </w:style>
  <w:style w:type="paragraph" w:customStyle="1" w:styleId="CenteredBold">
    <w:name w:val="Centered Bold"/>
    <w:basedOn w:val="Centered"/>
    <w:link w:val="CenteredBoldChar"/>
    <w:qFormat/>
    <w:rsid w:val="003E745A"/>
    <w:rPr>
      <w:b/>
      <w:i w:val="0"/>
    </w:rPr>
  </w:style>
  <w:style w:type="character" w:customStyle="1" w:styleId="CenteredBoldChar">
    <w:name w:val="Centered Bold Char"/>
    <w:link w:val="CenteredBold"/>
    <w:rsid w:val="003E745A"/>
    <w:rPr>
      <w:rFonts w:ascii="Cambria" w:eastAsia="Calibri" w:hAnsi="Cambria" w:cs="Times New Roman"/>
      <w:b/>
      <w:iCs/>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3E745A"/>
    <w:pPr>
      <w:spacing w:line="288" w:lineRule="auto"/>
      <w:ind w:firstLine="432"/>
      <w:jc w:val="both"/>
    </w:pPr>
    <w:rPr>
      <w:rFonts w:ascii="Cambria" w:eastAsia="Calibri" w:hAnsi="Cambria"/>
      <w:b/>
      <w:bCs/>
    </w:rPr>
  </w:style>
  <w:style w:type="character" w:customStyle="1" w:styleId="CommentSubjectChar">
    <w:name w:val="Comment Subject Char"/>
    <w:basedOn w:val="CommentTextChar"/>
    <w:link w:val="CommentSubject"/>
    <w:uiPriority w:val="99"/>
    <w:semiHidden/>
    <w:rsid w:val="003E745A"/>
    <w:rPr>
      <w:rFonts w:ascii="Cambria" w:eastAsia="Calibri" w:hAnsi="Cambria" w:cs="Times New Roman"/>
      <w:b/>
      <w:bCs/>
      <w:kern w:val="0"/>
      <w:sz w:val="22"/>
      <w:szCs w:val="20"/>
      <w14:ligatures w14:val="none"/>
    </w:rPr>
  </w:style>
  <w:style w:type="paragraph" w:styleId="Revision">
    <w:name w:val="Revision"/>
    <w:hidden/>
    <w:uiPriority w:val="99"/>
    <w:semiHidden/>
    <w:rsid w:val="003E745A"/>
    <w:pPr>
      <w:spacing w:after="0" w:line="240" w:lineRule="auto"/>
    </w:pPr>
    <w:rPr>
      <w:rFonts w:ascii="Cambria" w:eastAsia="Calibri" w:hAnsi="Cambria" w:cs="Times New Roman"/>
      <w:kern w:val="0"/>
      <w:sz w:val="22"/>
      <w:szCs w:val="20"/>
      <w14:ligatures w14:val="none"/>
    </w:rPr>
  </w:style>
  <w:style w:type="paragraph" w:customStyle="1" w:styleId="Normal-centered0">
    <w:name w:val="Normal-centered"/>
    <w:basedOn w:val="Normal"/>
    <w:qFormat/>
    <w:rsid w:val="003E745A"/>
    <w:pPr>
      <w:ind w:firstLine="0"/>
      <w:jc w:val="center"/>
    </w:pPr>
    <w:rPr>
      <w:noProof/>
    </w:rPr>
  </w:style>
  <w:style w:type="character" w:customStyle="1" w:styleId="cosearchdetaillevel1">
    <w:name w:val="co_search_detaillevel_1"/>
    <w:rsid w:val="003E745A"/>
  </w:style>
  <w:style w:type="table" w:styleId="TableGrid">
    <w:name w:val="Table Grid"/>
    <w:basedOn w:val="TableNormal"/>
    <w:uiPriority w:val="59"/>
    <w:rsid w:val="003E745A"/>
    <w:pPr>
      <w:spacing w:after="0" w:line="240" w:lineRule="auto"/>
    </w:pPr>
    <w:rPr>
      <w:rFonts w:ascii="Cambria" w:eastAsia="Calibri"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indented">
    <w:name w:val="Blockquote indented"/>
    <w:basedOn w:val="Blockquote"/>
    <w:qFormat/>
    <w:rsid w:val="003E745A"/>
    <w:pPr>
      <w:ind w:firstLine="432"/>
    </w:pPr>
  </w:style>
  <w:style w:type="paragraph" w:customStyle="1" w:styleId="doubleblockquote">
    <w:name w:val="doubleblockquote"/>
    <w:basedOn w:val="Blockquoteindent"/>
    <w:qFormat/>
    <w:rsid w:val="003E745A"/>
    <w:pPr>
      <w:ind w:left="1008" w:right="1008"/>
    </w:pPr>
  </w:style>
  <w:style w:type="paragraph" w:customStyle="1" w:styleId="CntrdNoItal">
    <w:name w:val="CntrdNoItal"/>
    <w:basedOn w:val="Centered"/>
    <w:qFormat/>
    <w:rsid w:val="003E745A"/>
    <w:rPr>
      <w:i w:val="0"/>
    </w:rPr>
  </w:style>
  <w:style w:type="paragraph" w:customStyle="1" w:styleId="NoIndentItalics">
    <w:name w:val="NoIndentItalics"/>
    <w:basedOn w:val="NormalNoIndent"/>
    <w:qFormat/>
    <w:rsid w:val="003E745A"/>
    <w:rPr>
      <w:i/>
      <w:iCs/>
    </w:rPr>
  </w:style>
  <w:style w:type="paragraph" w:customStyle="1" w:styleId="HalfBlock">
    <w:name w:val="HalfBlock"/>
    <w:basedOn w:val="NormalNoIndent"/>
    <w:qFormat/>
    <w:rsid w:val="003E745A"/>
    <w:pPr>
      <w:ind w:left="432"/>
    </w:pPr>
  </w:style>
  <w:style w:type="character" w:customStyle="1" w:styleId="ssleftalign">
    <w:name w:val="ss_leftalign"/>
    <w:rsid w:val="003E745A"/>
  </w:style>
  <w:style w:type="character" w:customStyle="1" w:styleId="UnresolvedMention1">
    <w:name w:val="Unresolved Mention1"/>
    <w:uiPriority w:val="99"/>
    <w:semiHidden/>
    <w:unhideWhenUsed/>
    <w:rsid w:val="003E745A"/>
    <w:rPr>
      <w:color w:val="605E5C"/>
      <w:shd w:val="clear" w:color="auto" w:fill="E1DFDD"/>
    </w:rPr>
  </w:style>
  <w:style w:type="paragraph" w:customStyle="1" w:styleId="Footer-V-Date">
    <w:name w:val="Footer-V-Date"/>
    <w:basedOn w:val="NormalNoIndent"/>
    <w:link w:val="Footer-V-DateChar"/>
    <w:qFormat/>
    <w:rsid w:val="003E745A"/>
    <w:rPr>
      <w:sz w:val="16"/>
      <w:szCs w:val="16"/>
    </w:rPr>
  </w:style>
  <w:style w:type="paragraph" w:customStyle="1" w:styleId="DoubleBlockQuote0">
    <w:name w:val="DoubleBlockQuote"/>
    <w:basedOn w:val="Blockquoteindent"/>
    <w:link w:val="DoubleBlockQuoteChar"/>
    <w:qFormat/>
    <w:rsid w:val="003E745A"/>
    <w:pPr>
      <w:ind w:left="1152" w:right="1152" w:firstLine="0"/>
    </w:pPr>
  </w:style>
  <w:style w:type="character" w:customStyle="1" w:styleId="Footer-V-DateChar">
    <w:name w:val="Footer-V-Date Char"/>
    <w:link w:val="Footer-V-Date"/>
    <w:rsid w:val="003E745A"/>
    <w:rPr>
      <w:rFonts w:ascii="Cambria" w:eastAsia="Calibri" w:hAnsi="Cambria" w:cs="Times New Roman"/>
      <w:kern w:val="0"/>
      <w:sz w:val="16"/>
      <w:szCs w:val="16"/>
      <w14:ligatures w14:val="none"/>
    </w:rPr>
  </w:style>
  <w:style w:type="paragraph" w:customStyle="1" w:styleId="Doubleindentblockquote">
    <w:name w:val="Doubleindentblockquote"/>
    <w:basedOn w:val="Blockquoteindentnoindent"/>
    <w:link w:val="DoubleindentblockquoteChar"/>
    <w:qFormat/>
    <w:rsid w:val="003E745A"/>
    <w:pPr>
      <w:ind w:left="1008" w:firstLine="0"/>
    </w:pPr>
  </w:style>
  <w:style w:type="character" w:customStyle="1" w:styleId="DoubleBlockQuoteChar">
    <w:name w:val="DoubleBlockQuote Char"/>
    <w:basedOn w:val="BlockquoteindentChar"/>
    <w:link w:val="DoubleBlockQuote0"/>
    <w:rsid w:val="003E745A"/>
    <w:rPr>
      <w:rFonts w:ascii="Cambria" w:eastAsia="Calibri" w:hAnsi="Cambria" w:cs="Times New Roman"/>
      <w:kern w:val="0"/>
      <w:sz w:val="22"/>
      <w:szCs w:val="20"/>
      <w14:ligatures w14:val="none"/>
    </w:rPr>
  </w:style>
  <w:style w:type="character" w:customStyle="1" w:styleId="BlockquoteindentnoindentChar">
    <w:name w:val="Blockquoteindentnoindent Char"/>
    <w:basedOn w:val="BlockquoteindentChar"/>
    <w:link w:val="Blockquoteindentnoindent"/>
    <w:rsid w:val="003E745A"/>
    <w:rPr>
      <w:rFonts w:ascii="Cambria" w:eastAsia="Calibri" w:hAnsi="Cambria" w:cs="Times New Roman"/>
      <w:kern w:val="0"/>
      <w:sz w:val="22"/>
      <w:szCs w:val="20"/>
      <w14:ligatures w14:val="none"/>
    </w:rPr>
  </w:style>
  <w:style w:type="character" w:customStyle="1" w:styleId="DoubleindentblockquoteChar">
    <w:name w:val="Doubleindentblockquote Char"/>
    <w:basedOn w:val="BlockquoteindentnoindentChar"/>
    <w:link w:val="Doubleindentblockquote"/>
    <w:rsid w:val="003E745A"/>
    <w:rPr>
      <w:rFonts w:ascii="Cambria" w:eastAsia="Calibri" w:hAnsi="Cambria" w:cs="Times New Roman"/>
      <w:kern w:val="0"/>
      <w:sz w:val="22"/>
      <w:szCs w:val="20"/>
      <w14:ligatures w14:val="none"/>
    </w:rPr>
  </w:style>
  <w:style w:type="paragraph" w:customStyle="1" w:styleId="TimeProgression">
    <w:name w:val="TimeProgression"/>
    <w:basedOn w:val="Blockquote"/>
    <w:link w:val="TimeProgressionChar"/>
    <w:qFormat/>
    <w:rsid w:val="003E745A"/>
    <w:pPr>
      <w:ind w:left="1350" w:hanging="774"/>
    </w:pPr>
  </w:style>
  <w:style w:type="character" w:customStyle="1" w:styleId="TimeProgressionChar">
    <w:name w:val="TimeProgression Char"/>
    <w:basedOn w:val="BlockquoteChar"/>
    <w:link w:val="TimeProgression"/>
    <w:rsid w:val="003E745A"/>
    <w:rPr>
      <w:rFonts w:ascii="Cambria" w:eastAsia="Calibri" w:hAnsi="Cambria" w:cs="Times New Roman"/>
      <w:kern w:val="0"/>
      <w:sz w:val="22"/>
      <w:szCs w:val="20"/>
      <w14:ligatures w14:val="none"/>
    </w:rPr>
  </w:style>
  <w:style w:type="paragraph" w:customStyle="1" w:styleId="Pagenumber">
    <w:name w:val="Pagenumber"/>
    <w:basedOn w:val="Normal-Centered"/>
    <w:link w:val="PagenumberChar"/>
    <w:qFormat/>
    <w:rsid w:val="003E745A"/>
    <w:rPr>
      <w:sz w:val="20"/>
    </w:rPr>
  </w:style>
  <w:style w:type="character" w:customStyle="1" w:styleId="PagenumberChar">
    <w:name w:val="Pagenumber Char"/>
    <w:basedOn w:val="Normal-CenteredChar"/>
    <w:link w:val="Pagenumber"/>
    <w:rsid w:val="003E745A"/>
    <w:rPr>
      <w:rFonts w:ascii="Cambria" w:eastAsia="Calibri" w:hAnsi="Cambria" w:cs="Times New Roman"/>
      <w:kern w:val="0"/>
      <w:sz w:val="20"/>
      <w:szCs w:val="20"/>
      <w14:ligatures w14:val="none"/>
    </w:rPr>
  </w:style>
  <w:style w:type="paragraph" w:customStyle="1" w:styleId="Header10">
    <w:name w:val="Header10"/>
    <w:basedOn w:val="Centered"/>
    <w:link w:val="Header10Char"/>
    <w:qFormat/>
    <w:rsid w:val="003E745A"/>
    <w:rPr>
      <w:sz w:val="20"/>
    </w:rPr>
  </w:style>
  <w:style w:type="character" w:customStyle="1" w:styleId="Header10Char">
    <w:name w:val="Header10 Char"/>
    <w:basedOn w:val="CenteredChar"/>
    <w:link w:val="Header10"/>
    <w:rsid w:val="003E745A"/>
    <w:rPr>
      <w:rFonts w:ascii="Cambria" w:eastAsia="Calibri" w:hAnsi="Cambria" w:cs="Times New Roman"/>
      <w:i/>
      <w:iCs/>
      <w:kern w:val="0"/>
      <w:sz w:val="20"/>
      <w:szCs w:val="20"/>
      <w14:ligatures w14:val="none"/>
    </w:rPr>
  </w:style>
  <w:style w:type="character" w:styleId="UnresolvedMention">
    <w:name w:val="Unresolved Mention"/>
    <w:basedOn w:val="DefaultParagraphFont"/>
    <w:uiPriority w:val="99"/>
    <w:semiHidden/>
    <w:unhideWhenUsed/>
    <w:rsid w:val="003E7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3491</Words>
  <Characters>19900</Characters>
  <Application>Microsoft Office Word</Application>
  <DocSecurity>0</DocSecurity>
  <Lines>165</Lines>
  <Paragraphs>46</Paragraphs>
  <ScaleCrop>false</ScaleCrop>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2</cp:revision>
  <dcterms:created xsi:type="dcterms:W3CDTF">2025-07-21T20:58:00Z</dcterms:created>
  <dcterms:modified xsi:type="dcterms:W3CDTF">2025-07-24T17:19:00Z</dcterms:modified>
</cp:coreProperties>
</file>